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4C4" w:rsidRDefault="006834C4">
      <w:pPr>
        <w:rPr>
          <w:b/>
        </w:rPr>
      </w:pPr>
    </w:p>
    <w:p w:rsidR="006834C4" w:rsidRPr="006834C4" w:rsidRDefault="006834C4" w:rsidP="006834C4">
      <w:pPr>
        <w:jc w:val="right"/>
        <w:rPr>
          <w:rFonts w:ascii="Arial" w:eastAsia="Calibri" w:hAnsi="Arial" w:cs="Arial"/>
          <w:b/>
        </w:rPr>
      </w:pPr>
      <w:r>
        <w:rPr>
          <w:rFonts w:ascii="Arial" w:eastAsia="Calibri" w:hAnsi="Arial" w:cs="Arial"/>
          <w:b/>
        </w:rPr>
        <w:t>CEPT (11)04</w:t>
      </w:r>
      <w:r w:rsidRPr="006834C4">
        <w:rPr>
          <w:rFonts w:ascii="Arial" w:eastAsia="Calibri" w:hAnsi="Arial" w:cs="Arial"/>
          <w:b/>
        </w:rPr>
        <w:t xml:space="preserve"> -E</w:t>
      </w:r>
    </w:p>
    <w:p w:rsidR="006834C4" w:rsidRPr="006834C4" w:rsidRDefault="006834C4" w:rsidP="006834C4">
      <w:pPr>
        <w:rPr>
          <w:rFonts w:ascii="Arial" w:eastAsia="Calibri" w:hAnsi="Arial" w:cs="Arial"/>
          <w:b/>
        </w:rPr>
      </w:pPr>
      <w:r>
        <w:rPr>
          <w:rFonts w:ascii="Calibri" w:eastAsia="Calibri" w:hAnsi="Calibri" w:cs="Times New Roman"/>
          <w:noProof/>
          <w:lang w:eastAsia="en-GB"/>
        </w:rPr>
        <mc:AlternateContent>
          <mc:Choice Requires="wps">
            <w:drawing>
              <wp:anchor distT="0" distB="0" distL="114300" distR="114300" simplePos="0" relativeHeight="251659264" behindDoc="0" locked="0" layoutInCell="1" allowOverlap="1">
                <wp:simplePos x="0" y="0"/>
                <wp:positionH relativeFrom="column">
                  <wp:posOffset>921385</wp:posOffset>
                </wp:positionH>
                <wp:positionV relativeFrom="paragraph">
                  <wp:posOffset>104775</wp:posOffset>
                </wp:positionV>
                <wp:extent cx="2431415" cy="470535"/>
                <wp:effectExtent l="0" t="0" r="28575" b="2540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470535"/>
                        </a:xfrm>
                        <a:prstGeom prst="rect">
                          <a:avLst/>
                        </a:prstGeom>
                        <a:solidFill>
                          <a:srgbClr val="FFFFFF"/>
                        </a:solidFill>
                        <a:ln w="9525">
                          <a:solidFill>
                            <a:srgbClr val="000000"/>
                          </a:solidFill>
                          <a:miter lim="800000"/>
                          <a:headEnd/>
                          <a:tailEnd/>
                        </a:ln>
                      </wps:spPr>
                      <wps:txbx>
                        <w:txbxContent>
                          <w:p w:rsidR="006834C4" w:rsidRPr="00625E6C" w:rsidRDefault="006834C4" w:rsidP="006834C4">
                            <w:pPr>
                              <w:rPr>
                                <w:rFonts w:ascii="Arial" w:hAnsi="Arial" w:cs="Arial"/>
                                <w:b/>
                              </w:rPr>
                            </w:pPr>
                            <w:r w:rsidRPr="00625E6C">
                              <w:rPr>
                                <w:rFonts w:ascii="Arial" w:hAnsi="Arial" w:cs="Arial"/>
                                <w:b/>
                              </w:rPr>
                              <w:t>CEPT Assembly, Copenhagen, 19</w:t>
                            </w:r>
                            <w:r w:rsidRPr="00625E6C">
                              <w:rPr>
                                <w:rFonts w:ascii="Arial" w:hAnsi="Arial" w:cs="Arial"/>
                                <w:b/>
                                <w:vertAlign w:val="superscript"/>
                              </w:rPr>
                              <w:t>th</w:t>
                            </w:r>
                            <w:r w:rsidRPr="00625E6C">
                              <w:rPr>
                                <w:rFonts w:ascii="Arial" w:hAnsi="Arial" w:cs="Arial"/>
                                <w:b/>
                              </w:rPr>
                              <w:t xml:space="preserve"> December 2011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72.55pt;margin-top:8.25pt;width:191.45pt;height:37.0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">
                <v:textbox style="mso-fit-shape-to-text:t">
                  <w:txbxContent>
                    <w:p w:rsidR="006834C4" w:rsidRPr="00625E6C" w:rsidRDefault="006834C4" w:rsidP="006834C4">
                      <w:pPr>
                        <w:rPr>
                          <w:rFonts w:ascii="Arial" w:hAnsi="Arial" w:cs="Arial"/>
                          <w:b/>
                        </w:rPr>
                      </w:pPr>
                      <w:r w:rsidRPr="00625E6C">
                        <w:rPr>
                          <w:rFonts w:ascii="Arial" w:hAnsi="Arial" w:cs="Arial"/>
                          <w:b/>
                        </w:rPr>
                        <w:t>CEPT Assembly, Copenhagen, 19</w:t>
                      </w:r>
                      <w:r w:rsidRPr="00625E6C">
                        <w:rPr>
                          <w:rFonts w:ascii="Arial" w:hAnsi="Arial" w:cs="Arial"/>
                          <w:b/>
                          <w:vertAlign w:val="superscript"/>
                        </w:rPr>
                        <w:t>th</w:t>
                      </w:r>
                      <w:r w:rsidRPr="00625E6C">
                        <w:rPr>
                          <w:rFonts w:ascii="Arial" w:hAnsi="Arial" w:cs="Arial"/>
                          <w:b/>
                        </w:rPr>
                        <w:t xml:space="preserve"> December 2011</w:t>
                      </w:r>
                    </w:p>
                  </w:txbxContent>
                </v:textbox>
              </v:shape>
            </w:pict>
          </mc:Fallback>
        </mc:AlternateContent>
      </w:r>
      <w:r>
        <w:rPr>
          <w:rFonts w:ascii="Calibri" w:eastAsia="Calibri" w:hAnsi="Calibri" w:cs="Times New Roman"/>
          <w:b/>
          <w:noProof/>
          <w:lang w:eastAsia="en-GB"/>
        </w:rPr>
        <w:drawing>
          <wp:inline distT="0" distB="0" distL="0" distR="0">
            <wp:extent cx="714375" cy="714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6834C4" w:rsidDel="00625E6C">
        <w:rPr>
          <w:rFonts w:ascii="Arial" w:eastAsia="Calibri" w:hAnsi="Arial" w:cs="Arial"/>
          <w:b/>
        </w:rPr>
        <w:t xml:space="preserve"> </w:t>
      </w:r>
      <w:r w:rsidRPr="006834C4">
        <w:rPr>
          <w:rFonts w:ascii="Arial" w:eastAsia="Calibri" w:hAnsi="Arial" w:cs="Arial"/>
          <w:b/>
        </w:rPr>
        <w:tab/>
      </w:r>
      <w:r w:rsidRPr="006834C4">
        <w:rPr>
          <w:rFonts w:ascii="Arial" w:eastAsia="Calibri" w:hAnsi="Arial" w:cs="Arial"/>
          <w:b/>
        </w:rPr>
        <w:tab/>
      </w:r>
      <w:r w:rsidRPr="006834C4">
        <w:rPr>
          <w:rFonts w:ascii="Arial" w:eastAsia="Calibri" w:hAnsi="Arial" w:cs="Arial"/>
          <w:b/>
        </w:rPr>
        <w:tab/>
      </w:r>
      <w:r w:rsidRPr="006834C4">
        <w:rPr>
          <w:rFonts w:ascii="Arial" w:eastAsia="Calibri" w:hAnsi="Arial" w:cs="Arial"/>
          <w:b/>
        </w:rPr>
        <w:tab/>
      </w:r>
      <w:r w:rsidRPr="006834C4">
        <w:rPr>
          <w:rFonts w:ascii="Arial" w:eastAsia="Calibri" w:hAnsi="Arial" w:cs="Arial"/>
          <w:b/>
        </w:rPr>
        <w:tab/>
      </w:r>
      <w:r w:rsidRPr="006834C4">
        <w:rPr>
          <w:rFonts w:ascii="Arial" w:eastAsia="Calibri" w:hAnsi="Arial" w:cs="Arial"/>
          <w:b/>
        </w:rPr>
        <w:tab/>
      </w:r>
      <w:r w:rsidRPr="006834C4">
        <w:rPr>
          <w:rFonts w:ascii="Arial" w:eastAsia="Calibri" w:hAnsi="Arial" w:cs="Arial"/>
          <w:b/>
        </w:rPr>
        <w:tab/>
      </w:r>
      <w:r w:rsidRPr="006834C4">
        <w:rPr>
          <w:rFonts w:ascii="Arial" w:eastAsia="Calibri" w:hAnsi="Arial" w:cs="Arial"/>
          <w:b/>
        </w:rPr>
        <w:tab/>
      </w:r>
      <w:r w:rsidRPr="006834C4">
        <w:rPr>
          <w:rFonts w:ascii="Arial" w:eastAsia="Calibri" w:hAnsi="Arial" w:cs="Arial"/>
          <w:b/>
        </w:rPr>
        <w:tab/>
        <w:t xml:space="preserve">       </w:t>
      </w:r>
    </w:p>
    <w:p w:rsidR="006834C4" w:rsidRPr="006834C4" w:rsidRDefault="006834C4" w:rsidP="006834C4">
      <w:pPr>
        <w:jc w:val="center"/>
        <w:rPr>
          <w:rFonts w:ascii="Arial" w:eastAsia="Calibri" w:hAnsi="Arial" w:cs="Arial"/>
          <w:b/>
        </w:rPr>
      </w:pPr>
    </w:p>
    <w:p w:rsidR="006834C4" w:rsidRPr="006834C4" w:rsidRDefault="006834C4" w:rsidP="006834C4">
      <w:pPr>
        <w:jc w:val="center"/>
        <w:rPr>
          <w:rFonts w:ascii="Arial" w:eastAsia="Calibri" w:hAnsi="Arial" w:cs="Arial"/>
          <w:b/>
        </w:rPr>
      </w:pPr>
    </w:p>
    <w:p w:rsidR="006834C4" w:rsidRPr="006834C4" w:rsidRDefault="006834C4" w:rsidP="006834C4">
      <w:pPr>
        <w:jc w:val="center"/>
        <w:rPr>
          <w:rFonts w:ascii="Arial" w:eastAsia="Calibri" w:hAnsi="Arial" w:cs="Arial"/>
          <w:b/>
        </w:rPr>
      </w:pPr>
      <w:r w:rsidRPr="006834C4">
        <w:rPr>
          <w:rFonts w:ascii="Arial" w:eastAsia="Calibri" w:hAnsi="Arial" w:cs="Arial"/>
          <w:b/>
        </w:rPr>
        <w:t xml:space="preserve">Report of the </w:t>
      </w:r>
      <w:r>
        <w:rPr>
          <w:rFonts w:ascii="Arial" w:eastAsia="Calibri" w:hAnsi="Arial" w:cs="Arial"/>
          <w:b/>
        </w:rPr>
        <w:t>Com-ITU</w:t>
      </w:r>
      <w:r w:rsidRPr="006834C4">
        <w:rPr>
          <w:rFonts w:ascii="Arial" w:eastAsia="Calibri" w:hAnsi="Arial" w:cs="Arial"/>
          <w:b/>
        </w:rPr>
        <w:t xml:space="preserve"> to the CEPT Assembly</w:t>
      </w:r>
    </w:p>
    <w:p w:rsidR="006834C4" w:rsidRPr="006834C4" w:rsidRDefault="00947D91" w:rsidP="006834C4">
      <w:pPr>
        <w:jc w:val="center"/>
        <w:rPr>
          <w:rFonts w:ascii="Arial" w:eastAsia="Calibri" w:hAnsi="Arial" w:cs="Arial"/>
        </w:rPr>
      </w:pPr>
      <w:r>
        <w:rPr>
          <w:rFonts w:ascii="Arial" w:eastAsia="Calibri" w:hAnsi="Arial" w:cs="Arial"/>
          <w:b/>
        </w:rPr>
        <w:t xml:space="preserve">1 </w:t>
      </w:r>
      <w:bookmarkStart w:id="0" w:name="_GoBack"/>
      <w:bookmarkEnd w:id="0"/>
      <w:r w:rsidR="006834C4">
        <w:rPr>
          <w:rFonts w:ascii="Arial" w:eastAsia="Calibri" w:hAnsi="Arial" w:cs="Arial"/>
          <w:b/>
        </w:rPr>
        <w:t>November</w:t>
      </w:r>
      <w:r w:rsidR="006834C4" w:rsidRPr="006834C4">
        <w:rPr>
          <w:rFonts w:ascii="Arial" w:eastAsia="Calibri" w:hAnsi="Arial" w:cs="Arial"/>
          <w:b/>
        </w:rPr>
        <w:t xml:space="preserve"> 2011</w:t>
      </w:r>
    </w:p>
    <w:p w:rsidR="006834C4" w:rsidRDefault="006834C4">
      <w:pPr>
        <w:rPr>
          <w:b/>
        </w:rPr>
      </w:pPr>
    </w:p>
    <w:p w:rsidR="006834C4" w:rsidRDefault="006834C4">
      <w:pPr>
        <w:rPr>
          <w:b/>
        </w:rPr>
      </w:pPr>
    </w:p>
    <w:p w:rsidR="002324A4" w:rsidRPr="002324A4" w:rsidRDefault="002324A4" w:rsidP="002324A4">
      <w:pPr>
        <w:pStyle w:val="ListParagraph"/>
        <w:numPr>
          <w:ilvl w:val="0"/>
          <w:numId w:val="10"/>
        </w:numPr>
        <w:rPr>
          <w:b/>
        </w:rPr>
      </w:pPr>
      <w:r w:rsidRPr="002324A4">
        <w:rPr>
          <w:b/>
        </w:rPr>
        <w:t>Introduction</w:t>
      </w:r>
    </w:p>
    <w:p w:rsidR="002324A4" w:rsidRDefault="002324A4"/>
    <w:p w:rsidR="008F7C4C" w:rsidRDefault="008F7C4C">
      <w:r>
        <w:t>This report covers the period from March 2009 (the time of the CEPT’s Extraordinary Assembly, which established the present Presidency Arrangements), to October 2011.</w:t>
      </w:r>
    </w:p>
    <w:p w:rsidR="008F7C4C" w:rsidRDefault="008F7C4C"/>
    <w:p w:rsidR="004B72CA" w:rsidRPr="0056641E" w:rsidRDefault="00DD4654" w:rsidP="004B72CA">
      <w:pPr>
        <w:rPr>
          <w:b/>
        </w:rPr>
      </w:pPr>
      <w:r>
        <w:t>The primary</w:t>
      </w:r>
      <w:r w:rsidR="00BA02FF">
        <w:t xml:space="preserve"> </w:t>
      </w:r>
      <w:r w:rsidR="008F7C4C">
        <w:t xml:space="preserve">focus </w:t>
      </w:r>
      <w:r>
        <w:t xml:space="preserve">for Com-ITU </w:t>
      </w:r>
      <w:r w:rsidR="00F66D6C">
        <w:t>has been</w:t>
      </w:r>
      <w:r w:rsidR="00EF4EAD">
        <w:t xml:space="preserve"> the preparations for ITU Conferences </w:t>
      </w:r>
      <w:r w:rsidR="00645709">
        <w:t xml:space="preserve">(except the R-sector) </w:t>
      </w:r>
      <w:r w:rsidR="00EF4EAD">
        <w:t>and the ITU Council.</w:t>
      </w:r>
      <w:r w:rsidR="004B72CA">
        <w:t xml:space="preserve">  </w:t>
      </w:r>
    </w:p>
    <w:p w:rsidR="00645709" w:rsidRDefault="00645709" w:rsidP="004B72CA">
      <w:pPr>
        <w:rPr>
          <w:highlight w:val="yellow"/>
        </w:rPr>
      </w:pPr>
    </w:p>
    <w:p w:rsidR="00645709" w:rsidRPr="001E10E4" w:rsidRDefault="00645709" w:rsidP="00645709">
      <w:pPr>
        <w:pStyle w:val="ListParagraph"/>
        <w:numPr>
          <w:ilvl w:val="0"/>
          <w:numId w:val="10"/>
        </w:numPr>
        <w:rPr>
          <w:b/>
        </w:rPr>
      </w:pPr>
      <w:r>
        <w:rPr>
          <w:b/>
        </w:rPr>
        <w:t>Organisation</w:t>
      </w:r>
    </w:p>
    <w:p w:rsidR="00645709" w:rsidRDefault="00645709" w:rsidP="00645709"/>
    <w:p w:rsidR="00645709" w:rsidRDefault="00645709" w:rsidP="00645709">
      <w:r>
        <w:t xml:space="preserve">The Com-ITU was established by the CEPT Extraordinary Assembly in March 2009 </w:t>
      </w:r>
      <w:r w:rsidR="00F66D6C">
        <w:t>replacing</w:t>
      </w:r>
      <w:r>
        <w:t xml:space="preserve"> the WG ITU.  </w:t>
      </w:r>
      <w:r w:rsidRPr="00A9484D">
        <w:t xml:space="preserve">The work is managed by the </w:t>
      </w:r>
      <w:proofErr w:type="gramStart"/>
      <w:r w:rsidRPr="00A9484D">
        <w:t>Plenary</w:t>
      </w:r>
      <w:proofErr w:type="gramEnd"/>
      <w:r w:rsidRPr="00A9484D">
        <w:t xml:space="preserve"> meeting, normally </w:t>
      </w:r>
      <w:r w:rsidR="00F66D6C">
        <w:t xml:space="preserve">held </w:t>
      </w:r>
      <w:r w:rsidRPr="00A9484D">
        <w:t xml:space="preserve">three – four times per year. </w:t>
      </w:r>
      <w:r>
        <w:t xml:space="preserve"> </w:t>
      </w:r>
      <w:r w:rsidR="00F66D6C">
        <w:t>The Office provides support for the web, the document server and, during conferences, an electronic document and messaging system.</w:t>
      </w:r>
    </w:p>
    <w:p w:rsidR="00645709" w:rsidRDefault="00645709" w:rsidP="00645709"/>
    <w:p w:rsidR="00645709" w:rsidRDefault="00645709" w:rsidP="00645709">
      <w:r>
        <w:t xml:space="preserve">The Com-ITU has </w:t>
      </w:r>
      <w:r w:rsidR="00F66D6C">
        <w:t xml:space="preserve">decided </w:t>
      </w:r>
      <w:r>
        <w:t xml:space="preserve">not </w:t>
      </w:r>
      <w:r w:rsidR="00F66D6C">
        <w:t>to establish</w:t>
      </w:r>
      <w:r>
        <w:t xml:space="preserve"> any Working Groups.  Project Teams are established when required.  Project Teams were established for the preparations of the ITU Conferences in 2010. For the preparations of the Conferences in 2012 it has been decided not to establish any Project Teams. </w:t>
      </w:r>
      <w:r w:rsidR="00F66D6C">
        <w:t xml:space="preserve"> The main reason has been to limit </w:t>
      </w:r>
      <w:r w:rsidR="00CF63BC">
        <w:t>the resources needed by administrations needed to follow the work of Com-ITU by reducing the number of meetings</w:t>
      </w:r>
      <w:r w:rsidR="00F66D6C">
        <w:t>.</w:t>
      </w:r>
      <w:r w:rsidR="00CF63BC">
        <w:t xml:space="preserve"> </w:t>
      </w:r>
    </w:p>
    <w:p w:rsidR="00645709" w:rsidRDefault="00645709" w:rsidP="00645709">
      <w:pPr>
        <w:rPr>
          <w:highlight w:val="yellow"/>
        </w:rPr>
      </w:pPr>
    </w:p>
    <w:p w:rsidR="007C1F5B" w:rsidRDefault="00645709" w:rsidP="004B72CA">
      <w:r w:rsidRPr="00107ECB">
        <w:t xml:space="preserve">Since March 2009 the Com-ITU has held </w:t>
      </w:r>
      <w:proofErr w:type="gramStart"/>
      <w:r w:rsidRPr="00107ECB">
        <w:t>Plenary</w:t>
      </w:r>
      <w:proofErr w:type="gramEnd"/>
      <w:r w:rsidRPr="00107ECB">
        <w:t xml:space="preserve"> meetings in </w:t>
      </w:r>
      <w:proofErr w:type="spellStart"/>
      <w:r w:rsidR="00CF63BC" w:rsidRPr="00107ECB">
        <w:t>Cluj</w:t>
      </w:r>
      <w:proofErr w:type="spellEnd"/>
      <w:r w:rsidR="00CF63BC" w:rsidRPr="00107ECB">
        <w:t xml:space="preserve">, </w:t>
      </w:r>
      <w:r w:rsidRPr="00107ECB">
        <w:t xml:space="preserve">Helsinki, </w:t>
      </w:r>
      <w:r w:rsidR="00107ECB" w:rsidRPr="00107ECB">
        <w:t xml:space="preserve">Istanbul, </w:t>
      </w:r>
      <w:r w:rsidRPr="00107ECB">
        <w:t xml:space="preserve">Lisbon, </w:t>
      </w:r>
      <w:r w:rsidR="00A9484D" w:rsidRPr="00107ECB">
        <w:t xml:space="preserve">Madrid, </w:t>
      </w:r>
      <w:r w:rsidRPr="00107ECB">
        <w:t xml:space="preserve">Vilnius, Warsaw </w:t>
      </w:r>
      <w:r w:rsidR="00CF63BC" w:rsidRPr="00107ECB">
        <w:t>hosted by the administrations</w:t>
      </w:r>
      <w:r w:rsidR="00107ECB">
        <w:t xml:space="preserve"> and in</w:t>
      </w:r>
      <w:r w:rsidR="00CF63BC" w:rsidRPr="00107ECB">
        <w:t xml:space="preserve"> Copenhagen hosted by the Office</w:t>
      </w:r>
      <w:r w:rsidR="00107ECB">
        <w:t>.</w:t>
      </w:r>
    </w:p>
    <w:p w:rsidR="00107ECB" w:rsidRDefault="00107ECB" w:rsidP="004B72CA"/>
    <w:p w:rsidR="00107ECB" w:rsidRPr="00CF63BC" w:rsidRDefault="00107ECB" w:rsidP="004B72CA">
      <w:r>
        <w:t xml:space="preserve">Com-ITU adopted the first set of Rules of Procedures in 2009. The rules were based, as far as possible, on the ECC </w:t>
      </w:r>
      <w:proofErr w:type="spellStart"/>
      <w:r>
        <w:t>RoP</w:t>
      </w:r>
      <w:proofErr w:type="spellEnd"/>
      <w:r>
        <w:t xml:space="preserve"> in order to align the work between the two committees. </w:t>
      </w:r>
      <w:r w:rsidR="008648F9">
        <w:t xml:space="preserve"> Also the rules for European Common Proposals (ECP) and CEPT coordination during ITU Conferences are aligned with the ones used by ECC:</w:t>
      </w:r>
    </w:p>
    <w:p w:rsidR="00AC72F4" w:rsidRDefault="00AC72F4"/>
    <w:p w:rsidR="00AC72F4" w:rsidRPr="00E32F7C" w:rsidRDefault="00C11B5C" w:rsidP="00E32F7C">
      <w:pPr>
        <w:pStyle w:val="ListParagraph"/>
        <w:numPr>
          <w:ilvl w:val="0"/>
          <w:numId w:val="10"/>
        </w:numPr>
        <w:rPr>
          <w:b/>
        </w:rPr>
      </w:pPr>
      <w:r w:rsidRPr="00E32F7C">
        <w:rPr>
          <w:b/>
        </w:rPr>
        <w:t>External Relations</w:t>
      </w:r>
    </w:p>
    <w:p w:rsidR="00D22FB9" w:rsidRDefault="00D22FB9"/>
    <w:p w:rsidR="00CF63BC" w:rsidRDefault="0056641E" w:rsidP="0056641E">
      <w:r>
        <w:t>Before the establishment of Com-ITU there already existed a Letter</w:t>
      </w:r>
      <w:r w:rsidRPr="0056641E">
        <w:t xml:space="preserve"> of Understanding </w:t>
      </w:r>
      <w:r>
        <w:t>(</w:t>
      </w:r>
      <w:proofErr w:type="spellStart"/>
      <w:r>
        <w:t>LoU</w:t>
      </w:r>
      <w:proofErr w:type="spellEnd"/>
      <w:r>
        <w:t>) between ETSI and WG-ITU</w:t>
      </w:r>
      <w:r w:rsidR="00A9484D">
        <w:t>.  The cooperation with ETSI has</w:t>
      </w:r>
      <w:r>
        <w:t xml:space="preserve"> continued based on that </w:t>
      </w:r>
      <w:proofErr w:type="spellStart"/>
      <w:r>
        <w:t>LoU</w:t>
      </w:r>
      <w:proofErr w:type="spellEnd"/>
      <w:r>
        <w:t xml:space="preserve">. </w:t>
      </w:r>
    </w:p>
    <w:p w:rsidR="00CF63BC" w:rsidRDefault="00CF63BC" w:rsidP="0056641E"/>
    <w:p w:rsidR="007B73BB" w:rsidRDefault="0056641E" w:rsidP="0056641E">
      <w:r>
        <w:lastRenderedPageBreak/>
        <w:t xml:space="preserve">Com-ITU </w:t>
      </w:r>
      <w:r w:rsidR="00107ECB">
        <w:t>has</w:t>
      </w:r>
      <w:r w:rsidR="00C11B5C" w:rsidRPr="0056641E">
        <w:t xml:space="preserve"> </w:t>
      </w:r>
      <w:r w:rsidR="00107ECB">
        <w:t xml:space="preserve">concluded </w:t>
      </w:r>
      <w:proofErr w:type="spellStart"/>
      <w:r w:rsidR="00107ECB">
        <w:t>LoU</w:t>
      </w:r>
      <w:proofErr w:type="spellEnd"/>
      <w:r w:rsidR="00A9484D">
        <w:t xml:space="preserve"> </w:t>
      </w:r>
      <w:r w:rsidR="007B73BB" w:rsidRPr="0056641E">
        <w:t>with the</w:t>
      </w:r>
      <w:r w:rsidR="00EF4EAD" w:rsidRPr="0056641E">
        <w:t xml:space="preserve"> Digital Europe,</w:t>
      </w:r>
      <w:r>
        <w:t xml:space="preserve"> ESOA, </w:t>
      </w:r>
      <w:r w:rsidR="00A9484D">
        <w:t>ETNO and</w:t>
      </w:r>
      <w:r w:rsidR="00EF4EAD" w:rsidRPr="0056641E">
        <w:t xml:space="preserve"> GSM Association</w:t>
      </w:r>
      <w:r w:rsidR="00EF4EAD">
        <w:t xml:space="preserve">. </w:t>
      </w:r>
      <w:r w:rsidR="00107ECB">
        <w:t xml:space="preserve"> This allows the organisations to participate on a regular basis in the work of Com-ITU and also provides an opportunity for Com-ITU to receive input from stakeholders on the different issues discussed in ITU.</w:t>
      </w:r>
    </w:p>
    <w:p w:rsidR="00107ECB" w:rsidRDefault="00107ECB" w:rsidP="0056641E"/>
    <w:p w:rsidR="00107ECB" w:rsidRDefault="00107ECB" w:rsidP="0056641E">
      <w:r>
        <w:t>ITU normally participate in the Com-ITU meetings as an observer. This provides an opportunity for exchange of information between the organisations on a regular basis.</w:t>
      </w:r>
    </w:p>
    <w:p w:rsidR="0056641E" w:rsidRDefault="0056641E" w:rsidP="0056641E"/>
    <w:p w:rsidR="0056641E" w:rsidRDefault="00BC3E4D" w:rsidP="0056641E">
      <w:r>
        <w:t xml:space="preserve">The </w:t>
      </w:r>
      <w:r w:rsidR="00EF4EAD">
        <w:t xml:space="preserve">Com-ITU </w:t>
      </w:r>
      <w:r>
        <w:t xml:space="preserve">Chairman attended the Heads of Administrations meeting of the RCC in November 2010 </w:t>
      </w:r>
      <w:r w:rsidR="00EF4EAD">
        <w:t>together with the ECC Chairman</w:t>
      </w:r>
      <w:r w:rsidR="00A9484D">
        <w:t>. He also attended a</w:t>
      </w:r>
      <w:r w:rsidR="0056641E">
        <w:t xml:space="preserve"> meeting of the Arab Group preparing for PP-10 in Damascus 2010. </w:t>
      </w:r>
      <w:r w:rsidR="00CF63BC">
        <w:t>Representatives of Com-ITU have</w:t>
      </w:r>
      <w:r w:rsidR="00A9484D">
        <w:t xml:space="preserve"> also </w:t>
      </w:r>
      <w:r w:rsidR="0056641E">
        <w:t xml:space="preserve">participated in </w:t>
      </w:r>
      <w:r w:rsidR="00A9484D">
        <w:t xml:space="preserve">meetings of </w:t>
      </w:r>
      <w:r w:rsidR="0056641E">
        <w:t xml:space="preserve">the APT and </w:t>
      </w:r>
      <w:r w:rsidR="00A9484D">
        <w:t xml:space="preserve">the </w:t>
      </w:r>
      <w:r w:rsidR="0056641E">
        <w:t xml:space="preserve">ATU </w:t>
      </w:r>
      <w:r w:rsidR="00A9484D">
        <w:t>preparing</w:t>
      </w:r>
      <w:r w:rsidR="0056641E">
        <w:t xml:space="preserve"> for PP-1</w:t>
      </w:r>
      <w:r w:rsidR="00CF63BC">
        <w:t>0</w:t>
      </w:r>
      <w:r w:rsidR="0056641E">
        <w:t>.</w:t>
      </w:r>
    </w:p>
    <w:p w:rsidR="00EF4EAD" w:rsidRDefault="00EF4EAD" w:rsidP="0056641E"/>
    <w:p w:rsidR="00EF4EAD" w:rsidRDefault="00CF63BC" w:rsidP="0056641E">
      <w:r>
        <w:t>The Chairman of Com-ITU regularly participates in meetings of ECC informing about the on-going work in Com-ITU and ITU of interest for ECC. He</w:t>
      </w:r>
      <w:r w:rsidR="00EF4EAD">
        <w:t xml:space="preserve"> has </w:t>
      </w:r>
      <w:r w:rsidR="00A9484D">
        <w:t xml:space="preserve">also </w:t>
      </w:r>
      <w:r w:rsidR="00EF4EAD">
        <w:t xml:space="preserve">attended one meeting of CERP informing about the Com-ITU work with focus on the preparations for ITU Conferences. </w:t>
      </w:r>
    </w:p>
    <w:p w:rsidR="0005768E" w:rsidRPr="0005768E" w:rsidRDefault="0005768E" w:rsidP="0005768E">
      <w:pPr>
        <w:rPr>
          <w:b/>
        </w:rPr>
      </w:pPr>
    </w:p>
    <w:p w:rsidR="0005768E" w:rsidRDefault="0005768E" w:rsidP="0005768E">
      <w:pPr>
        <w:rPr>
          <w:b/>
        </w:rPr>
      </w:pPr>
    </w:p>
    <w:p w:rsidR="00526845" w:rsidRDefault="00526845" w:rsidP="00A9484D">
      <w:pPr>
        <w:pStyle w:val="ListParagraph"/>
        <w:numPr>
          <w:ilvl w:val="0"/>
          <w:numId w:val="10"/>
        </w:numPr>
        <w:rPr>
          <w:b/>
        </w:rPr>
      </w:pPr>
      <w:r>
        <w:rPr>
          <w:b/>
        </w:rPr>
        <w:t xml:space="preserve">Preparation for the ITU </w:t>
      </w:r>
      <w:r w:rsidR="00A9484D">
        <w:rPr>
          <w:b/>
        </w:rPr>
        <w:t>conferences in 2010</w:t>
      </w:r>
    </w:p>
    <w:p w:rsidR="00CF63BC" w:rsidRPr="00645709" w:rsidRDefault="00CF63BC" w:rsidP="00CF63BC">
      <w:pPr>
        <w:pStyle w:val="ListParagraph"/>
        <w:ind w:left="360"/>
        <w:rPr>
          <w:b/>
        </w:rPr>
      </w:pPr>
    </w:p>
    <w:p w:rsidR="00DA46EB" w:rsidRDefault="00DA46EB" w:rsidP="0005768E">
      <w:r>
        <w:t xml:space="preserve">During the period 2009 – 2012 the Com-ITU has prepared for </w:t>
      </w:r>
      <w:r w:rsidR="00CF63BC">
        <w:t xml:space="preserve">the 2010 Plenipotentiary Conference (PP-10) and </w:t>
      </w:r>
      <w:r>
        <w:t xml:space="preserve">the 2010 World Telecommunication Development Conference (WTDC-10). </w:t>
      </w:r>
    </w:p>
    <w:p w:rsidR="00DA46EB" w:rsidRDefault="00DA46EB" w:rsidP="0005768E"/>
    <w:p w:rsidR="00CF63BC" w:rsidRDefault="0005768E" w:rsidP="0005768E">
      <w:r>
        <w:t>Th</w:t>
      </w:r>
      <w:r w:rsidR="00DA46EB">
        <w:t>e preparations for WTDC-10 was done in o</w:t>
      </w:r>
      <w:r w:rsidR="00A9484D">
        <w:t>ne</w:t>
      </w:r>
      <w:r w:rsidR="00DA46EB">
        <w:t xml:space="preserve"> Project Team  </w:t>
      </w:r>
      <w:r w:rsidR="00CF63BC">
        <w:t xml:space="preserve">dedicated  to WTDC-preparations </w:t>
      </w:r>
      <w:r w:rsidR="00DA46EB">
        <w:t>an</w:t>
      </w:r>
      <w:r w:rsidR="00CF63BC">
        <w:t>d the preparations for PP</w:t>
      </w:r>
      <w:r w:rsidR="00DA46EB">
        <w:t xml:space="preserve">-10 was done in three </w:t>
      </w:r>
      <w:r>
        <w:t>Project Teams</w:t>
      </w:r>
      <w:r w:rsidR="00CF63BC">
        <w:t xml:space="preserve"> dealing with revisions to the CS /CV, financial and personnel matter and  internet and other issues. </w:t>
      </w:r>
    </w:p>
    <w:p w:rsidR="00CF63BC" w:rsidRDefault="00CF63BC" w:rsidP="0005768E"/>
    <w:p w:rsidR="00CF63BC" w:rsidRDefault="00A9484D" w:rsidP="0005768E">
      <w:r>
        <w:t xml:space="preserve">The Project Teams </w:t>
      </w:r>
      <w:r w:rsidR="00CF63BC">
        <w:t xml:space="preserve">for both conferences </w:t>
      </w:r>
      <w:r>
        <w:t>prepared draft European Common Proposals (ECP) and CEPT Briefs for the two conferences. The final approval of the proposals took place at the plenary meetings of Com-ITU.</w:t>
      </w:r>
    </w:p>
    <w:p w:rsidR="002E7FE3" w:rsidRDefault="002E7FE3" w:rsidP="0005768E"/>
    <w:p w:rsidR="002E7FE3" w:rsidRDefault="00107ECB" w:rsidP="0005768E">
      <w:r>
        <w:t xml:space="preserve">CEPT coordination meetings took place at numerous occasions both at the WTDC-10 and PP-10. </w:t>
      </w:r>
      <w:r w:rsidR="002E7FE3">
        <w:t>A separate report on the preparations for and result of PP-10 was developed within Com-ITU.</w:t>
      </w:r>
      <w:r>
        <w:t xml:space="preserve">  </w:t>
      </w:r>
    </w:p>
    <w:p w:rsidR="00A9484D" w:rsidRDefault="00A9484D" w:rsidP="0005768E"/>
    <w:p w:rsidR="00A9484D" w:rsidRPr="00645709" w:rsidRDefault="00A9484D" w:rsidP="00A9484D">
      <w:pPr>
        <w:pStyle w:val="ListParagraph"/>
        <w:numPr>
          <w:ilvl w:val="0"/>
          <w:numId w:val="10"/>
        </w:numPr>
        <w:rPr>
          <w:b/>
        </w:rPr>
      </w:pPr>
      <w:r>
        <w:rPr>
          <w:b/>
        </w:rPr>
        <w:t>Preparation for the ITU conferences in 2012</w:t>
      </w:r>
    </w:p>
    <w:p w:rsidR="0005768E" w:rsidRDefault="0005768E" w:rsidP="0005768E"/>
    <w:p w:rsidR="00DA46EB" w:rsidRDefault="00A9484D" w:rsidP="0005768E">
      <w:r>
        <w:t>The</w:t>
      </w:r>
      <w:r w:rsidR="00DA46EB">
        <w:t xml:space="preserve"> Com-ITU has started</w:t>
      </w:r>
      <w:r>
        <w:t xml:space="preserve"> the preparations for the 2012</w:t>
      </w:r>
      <w:r w:rsidR="00DA46EB">
        <w:t xml:space="preserve"> World </w:t>
      </w:r>
      <w:r>
        <w:t>Telecommunications</w:t>
      </w:r>
      <w:r w:rsidR="00DA46EB">
        <w:t xml:space="preserve"> </w:t>
      </w:r>
      <w:r>
        <w:t xml:space="preserve">Standardisation </w:t>
      </w:r>
      <w:r w:rsidR="00DA46EB">
        <w:t xml:space="preserve">Conference </w:t>
      </w:r>
      <w:r>
        <w:t>(WTSA-12</w:t>
      </w:r>
      <w:r w:rsidR="00DA46EB">
        <w:t>) and the World Conference on International Telecommunications (WCIT) t</w:t>
      </w:r>
      <w:r>
        <w:t>hat will also take place in 2012</w:t>
      </w:r>
      <w:r w:rsidR="00DA46EB">
        <w:t xml:space="preserve">. The preparations for both conferences are done </w:t>
      </w:r>
      <w:r w:rsidR="002E7FE3">
        <w:t>in</w:t>
      </w:r>
      <w:r w:rsidR="00DA46EB">
        <w:t xml:space="preserve"> Com-ITU without</w:t>
      </w:r>
      <w:r>
        <w:t xml:space="preserve"> the establishment of</w:t>
      </w:r>
      <w:r w:rsidR="00DA46EB">
        <w:t xml:space="preserve"> dedicated Project Teams.</w:t>
      </w:r>
    </w:p>
    <w:p w:rsidR="00DA46EB" w:rsidRDefault="00DA46EB" w:rsidP="0005768E"/>
    <w:p w:rsidR="00DA46EB" w:rsidRDefault="00DA46EB" w:rsidP="0005768E">
      <w:r>
        <w:t>One of the m</w:t>
      </w:r>
      <w:r w:rsidR="00A9484D">
        <w:t>ore important issues for WTSA-12</w:t>
      </w:r>
      <w:r>
        <w:t xml:space="preserve"> would be the structure of </w:t>
      </w:r>
      <w:r w:rsidR="002E7FE3">
        <w:t>ITU-T study groups</w:t>
      </w:r>
      <w:r>
        <w:t xml:space="preserve"> f</w:t>
      </w:r>
      <w:r w:rsidR="00A9484D">
        <w:t xml:space="preserve">or the </w:t>
      </w:r>
      <w:r w:rsidR="002E7FE3">
        <w:t xml:space="preserve">study </w:t>
      </w:r>
      <w:r w:rsidR="00A9484D">
        <w:t>period 2012-2016</w:t>
      </w:r>
      <w:r>
        <w:t xml:space="preserve"> taking </w:t>
      </w:r>
      <w:r w:rsidR="00A9484D">
        <w:t xml:space="preserve">into account the rapid changes in the standardisation area </w:t>
      </w:r>
      <w:r w:rsidR="002E7FE3">
        <w:t xml:space="preserve">and the “competition” </w:t>
      </w:r>
      <w:r w:rsidR="00592F05">
        <w:t xml:space="preserve">in </w:t>
      </w:r>
      <w:r w:rsidR="002E7FE3">
        <w:t xml:space="preserve">new </w:t>
      </w:r>
      <w:r w:rsidR="00A9484D">
        <w:t xml:space="preserve">standardisation </w:t>
      </w:r>
      <w:proofErr w:type="spellStart"/>
      <w:r w:rsidR="00592F05">
        <w:t>fora</w:t>
      </w:r>
      <w:proofErr w:type="spellEnd"/>
      <w:r w:rsidR="00592F05">
        <w:t xml:space="preserve"> </w:t>
      </w:r>
      <w:r w:rsidR="00A9484D">
        <w:t>outside the ITU.</w:t>
      </w:r>
    </w:p>
    <w:p w:rsidR="00DA46EB" w:rsidRDefault="00DA46EB" w:rsidP="0005768E"/>
    <w:p w:rsidR="00DA46EB" w:rsidRDefault="00A9484D" w:rsidP="0005768E">
      <w:r>
        <w:lastRenderedPageBreak/>
        <w:t>WCIT-12</w:t>
      </w:r>
      <w:r w:rsidR="00DA46EB">
        <w:t xml:space="preserve"> will revise the International Telecommunications Regulations (ITR)</w:t>
      </w:r>
      <w:r w:rsidR="00B86CBD">
        <w:t xml:space="preserve"> which date</w:t>
      </w:r>
      <w:r w:rsidR="00DA46EB">
        <w:t xml:space="preserve"> from 1988. ITR is one of the</w:t>
      </w:r>
      <w:r w:rsidR="00DD4654">
        <w:t xml:space="preserve"> two </w:t>
      </w:r>
      <w:r w:rsidR="00DA46EB">
        <w:t>administrative regulations</w:t>
      </w:r>
      <w:r>
        <w:t xml:space="preserve"> within ITU. </w:t>
      </w:r>
      <w:r w:rsidR="002E7FE3">
        <w:t xml:space="preserve"> The existing ITR are “out-of-date” and need to be reviewed.  The Com-ITU has established a number of principles for the future preparations for WCIT-12:</w:t>
      </w:r>
    </w:p>
    <w:p w:rsidR="002E7FE3" w:rsidRDefault="002E7FE3" w:rsidP="0005768E"/>
    <w:p w:rsidR="002E7FE3" w:rsidRPr="002E7FE3" w:rsidRDefault="002E7FE3" w:rsidP="002E7FE3">
      <w:pPr>
        <w:pStyle w:val="ListParagraph"/>
        <w:numPr>
          <w:ilvl w:val="0"/>
          <w:numId w:val="19"/>
        </w:numPr>
      </w:pPr>
      <w:r w:rsidRPr="002E7FE3">
        <w:t>General compliance with the key principles indicated in CEPT Contribution 35</w:t>
      </w:r>
    </w:p>
    <w:p w:rsidR="002E7FE3" w:rsidRPr="002E7FE3" w:rsidRDefault="002E7FE3" w:rsidP="002E7FE3">
      <w:pPr>
        <w:pStyle w:val="ListParagraph"/>
        <w:numPr>
          <w:ilvl w:val="0"/>
          <w:numId w:val="19"/>
        </w:numPr>
      </w:pPr>
      <w:r w:rsidRPr="002E7FE3">
        <w:t xml:space="preserve">Consistency with the Preamble and Article 1 of the </w:t>
      </w:r>
      <w:r w:rsidR="00592F05">
        <w:t>ITU Constitution (</w:t>
      </w:r>
      <w:r w:rsidRPr="002E7FE3">
        <w:t>CS</w:t>
      </w:r>
      <w:r w:rsidR="00592F05">
        <w:t>)</w:t>
      </w:r>
    </w:p>
    <w:p w:rsidR="002E7FE3" w:rsidRPr="002E7FE3" w:rsidRDefault="002E7FE3" w:rsidP="002E7FE3">
      <w:pPr>
        <w:pStyle w:val="ListParagraph"/>
        <w:numPr>
          <w:ilvl w:val="0"/>
          <w:numId w:val="19"/>
        </w:numPr>
      </w:pPr>
      <w:r w:rsidRPr="002E7FE3">
        <w:t>Consistency with International agreements / legislation adopted by CEPT members</w:t>
      </w:r>
    </w:p>
    <w:p w:rsidR="002E7FE3" w:rsidRPr="002E7FE3" w:rsidRDefault="002E7FE3" w:rsidP="002E7FE3">
      <w:pPr>
        <w:pStyle w:val="ListParagraph"/>
        <w:numPr>
          <w:ilvl w:val="0"/>
          <w:numId w:val="19"/>
        </w:numPr>
      </w:pPr>
      <w:r w:rsidRPr="002E7FE3">
        <w:t xml:space="preserve">Areas related to Member States' application of legal or policy principles which are within their sovereign rights </w:t>
      </w:r>
    </w:p>
    <w:p w:rsidR="002E7FE3" w:rsidRPr="002E7FE3" w:rsidRDefault="002E7FE3" w:rsidP="002E7FE3">
      <w:pPr>
        <w:pStyle w:val="ListParagraph"/>
        <w:numPr>
          <w:ilvl w:val="0"/>
          <w:numId w:val="19"/>
        </w:numPr>
      </w:pPr>
      <w:r w:rsidRPr="002E7FE3">
        <w:t xml:space="preserve">Exclusion of areas not related to the Purpose and Scope of the ITRs </w:t>
      </w:r>
    </w:p>
    <w:p w:rsidR="00F66D6C" w:rsidRDefault="00F66D6C" w:rsidP="0005768E"/>
    <w:p w:rsidR="00F66D6C" w:rsidRDefault="00F66D6C" w:rsidP="00F66D6C">
      <w:pPr>
        <w:pStyle w:val="ListParagraph"/>
        <w:numPr>
          <w:ilvl w:val="0"/>
          <w:numId w:val="10"/>
        </w:numPr>
        <w:rPr>
          <w:b/>
        </w:rPr>
      </w:pPr>
      <w:r>
        <w:rPr>
          <w:b/>
        </w:rPr>
        <w:t>Preparation for the ITU Council</w:t>
      </w:r>
    </w:p>
    <w:p w:rsidR="00F66D6C" w:rsidRDefault="00F66D6C" w:rsidP="00F66D6C">
      <w:pPr>
        <w:pStyle w:val="ListParagraph"/>
        <w:ind w:left="360"/>
        <w:rPr>
          <w:b/>
        </w:rPr>
      </w:pPr>
    </w:p>
    <w:p w:rsidR="002E7FE3" w:rsidRDefault="002E7FE3" w:rsidP="00F66D6C">
      <w:r>
        <w:t>Another task</w:t>
      </w:r>
      <w:r w:rsidR="00F66D6C" w:rsidRPr="00F66D6C">
        <w:t xml:space="preserve"> for Com-</w:t>
      </w:r>
      <w:r w:rsidR="00F66D6C">
        <w:t xml:space="preserve">ITU is the preparations for ITU Council and </w:t>
      </w:r>
      <w:r>
        <w:t>the</w:t>
      </w:r>
      <w:r w:rsidR="00F66D6C">
        <w:t xml:space="preserve"> Council Working Groups (CWG).  The Council meets once per year and </w:t>
      </w:r>
      <w:r>
        <w:t xml:space="preserve">the CWG two-three times per year. </w:t>
      </w:r>
    </w:p>
    <w:p w:rsidR="00107ECB" w:rsidRDefault="00107ECB" w:rsidP="00F66D6C"/>
    <w:p w:rsidR="00F66D6C" w:rsidRDefault="00F66D6C" w:rsidP="0005768E">
      <w:r>
        <w:t xml:space="preserve">Com-ITU allows for an exchange of views between Council members and non-Council members on many of the issues to be discussed at the Council meetings. Normally this exchange of view is done the day before the Council meeting on </w:t>
      </w:r>
      <w:r w:rsidR="002E7FE3">
        <w:t xml:space="preserve">an </w:t>
      </w:r>
      <w:r>
        <w:t xml:space="preserve">informal basis. </w:t>
      </w:r>
      <w:r w:rsidR="002E7FE3">
        <w:t xml:space="preserve"> </w:t>
      </w:r>
      <w:r>
        <w:t xml:space="preserve">Com-ITU also provides an opportunity to prepare </w:t>
      </w:r>
      <w:r w:rsidR="002E7FE3">
        <w:t xml:space="preserve">for </w:t>
      </w:r>
      <w:r>
        <w:t xml:space="preserve">and exchange views </w:t>
      </w:r>
      <w:r w:rsidR="002E7FE3">
        <w:t>on the work of</w:t>
      </w:r>
      <w:r>
        <w:t xml:space="preserve"> the CWG. When this is not possible </w:t>
      </w:r>
      <w:r w:rsidR="002E7FE3">
        <w:t xml:space="preserve">at Com-ITU meetings </w:t>
      </w:r>
      <w:r>
        <w:t>the CEPT coordinator for the specific group normally arranges a short coordination meeting during the CWG.</w:t>
      </w:r>
    </w:p>
    <w:p w:rsidR="0005768E" w:rsidRDefault="0005768E" w:rsidP="0005768E"/>
    <w:p w:rsidR="00EC48C5" w:rsidRPr="001E10E4" w:rsidRDefault="00EC48C5" w:rsidP="001E10E4">
      <w:pPr>
        <w:pStyle w:val="ListParagraph"/>
        <w:numPr>
          <w:ilvl w:val="0"/>
          <w:numId w:val="10"/>
        </w:numPr>
        <w:rPr>
          <w:b/>
        </w:rPr>
      </w:pPr>
      <w:r w:rsidRPr="001E10E4">
        <w:rPr>
          <w:b/>
        </w:rPr>
        <w:t>Electronic Methods of Working</w:t>
      </w:r>
    </w:p>
    <w:p w:rsidR="00FC1D59" w:rsidRDefault="00FC1D59"/>
    <w:p w:rsidR="003167D0" w:rsidRDefault="003167D0">
      <w:r>
        <w:t xml:space="preserve">The </w:t>
      </w:r>
      <w:r w:rsidR="00DD4654">
        <w:t xml:space="preserve">Com-ITU has followed the development of electronic working methods by the Office.  </w:t>
      </w:r>
      <w:r w:rsidR="002E7FE3">
        <w:t>These methods</w:t>
      </w:r>
      <w:r>
        <w:t xml:space="preserve"> complement existing </w:t>
      </w:r>
      <w:r w:rsidR="001E10E4">
        <w:t xml:space="preserve">electronic </w:t>
      </w:r>
      <w:r>
        <w:t>working</w:t>
      </w:r>
      <w:r w:rsidR="001E10E4">
        <w:t xml:space="preserve"> tools</w:t>
      </w:r>
      <w:r>
        <w:t xml:space="preserve">, </w:t>
      </w:r>
      <w:r w:rsidR="00107ECB">
        <w:t xml:space="preserve"> including </w:t>
      </w:r>
      <w:r w:rsidR="001E10E4">
        <w:t xml:space="preserve">the use of </w:t>
      </w:r>
      <w:r>
        <w:t>e-mail reflectors</w:t>
      </w:r>
      <w:r w:rsidR="00107ECB">
        <w:t xml:space="preserve">, </w:t>
      </w:r>
      <w:r>
        <w:t xml:space="preserve">the website-based document server </w:t>
      </w:r>
      <w:r w:rsidR="001E10E4">
        <w:t>and calendar planning.</w:t>
      </w:r>
    </w:p>
    <w:p w:rsidR="00F175EE" w:rsidRDefault="00F175EE"/>
    <w:p w:rsidR="00F175EE" w:rsidRDefault="00F175EE">
      <w:r>
        <w:t xml:space="preserve">The </w:t>
      </w:r>
      <w:r w:rsidR="00DD4654">
        <w:t xml:space="preserve">Com-ITU </w:t>
      </w:r>
      <w:r>
        <w:t xml:space="preserve">will continue to monitor and encourage its use of Electronic </w:t>
      </w:r>
      <w:r w:rsidR="006B23C0">
        <w:t>M</w:t>
      </w:r>
      <w:r>
        <w:t>ethods of Working</w:t>
      </w:r>
    </w:p>
    <w:sectPr w:rsidR="00F175EE" w:rsidSect="0058390E">
      <w:footerReference w:type="default" r:id="rId10"/>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489" w:rsidRDefault="00D11489" w:rsidP="00BC3E4D">
      <w:pPr>
        <w:spacing w:line="240" w:lineRule="auto"/>
      </w:pPr>
      <w:r>
        <w:separator/>
      </w:r>
    </w:p>
  </w:endnote>
  <w:endnote w:type="continuationSeparator" w:id="0">
    <w:p w:rsidR="00D11489" w:rsidRDefault="00D11489" w:rsidP="00BC3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668378"/>
      <w:docPartObj>
        <w:docPartGallery w:val="Page Numbers (Bottom of Page)"/>
        <w:docPartUnique/>
      </w:docPartObj>
    </w:sdtPr>
    <w:sdtEndPr>
      <w:rPr>
        <w:noProof/>
      </w:rPr>
    </w:sdtEndPr>
    <w:sdtContent>
      <w:p w:rsidR="00F351C5" w:rsidRDefault="00F351C5">
        <w:pPr>
          <w:pStyle w:val="Footer"/>
          <w:jc w:val="right"/>
        </w:pPr>
        <w:r>
          <w:fldChar w:fldCharType="begin"/>
        </w:r>
        <w:r>
          <w:instrText xml:space="preserve"> PAGE   \* MERGEFORMAT </w:instrText>
        </w:r>
        <w:r>
          <w:fldChar w:fldCharType="separate"/>
        </w:r>
        <w:r w:rsidR="0058390E">
          <w:rPr>
            <w:noProof/>
          </w:rPr>
          <w:t>3</w:t>
        </w:r>
        <w:r>
          <w:rPr>
            <w:noProof/>
          </w:rPr>
          <w:fldChar w:fldCharType="end"/>
        </w:r>
      </w:p>
    </w:sdtContent>
  </w:sdt>
  <w:p w:rsidR="00F351C5" w:rsidRDefault="00F35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489" w:rsidRDefault="00D11489" w:rsidP="00BC3E4D">
      <w:pPr>
        <w:spacing w:line="240" w:lineRule="auto"/>
      </w:pPr>
      <w:r>
        <w:separator/>
      </w:r>
    </w:p>
  </w:footnote>
  <w:footnote w:type="continuationSeparator" w:id="0">
    <w:p w:rsidR="00D11489" w:rsidRDefault="00D11489" w:rsidP="00BC3E4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B95"/>
    <w:multiLevelType w:val="hybridMultilevel"/>
    <w:tmpl w:val="C2A2319E"/>
    <w:lvl w:ilvl="0" w:tplc="5CF6C2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6B0C40"/>
    <w:multiLevelType w:val="hybridMultilevel"/>
    <w:tmpl w:val="2970FCBC"/>
    <w:lvl w:ilvl="0" w:tplc="FA2ADE9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C726FF"/>
    <w:multiLevelType w:val="hybridMultilevel"/>
    <w:tmpl w:val="8A20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272FF3"/>
    <w:multiLevelType w:val="hybridMultilevel"/>
    <w:tmpl w:val="63E8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793047"/>
    <w:multiLevelType w:val="hybridMultilevel"/>
    <w:tmpl w:val="C94622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3FE00CF"/>
    <w:multiLevelType w:val="hybridMultilevel"/>
    <w:tmpl w:val="813A0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224C5F"/>
    <w:multiLevelType w:val="hybridMultilevel"/>
    <w:tmpl w:val="35488630"/>
    <w:lvl w:ilvl="0" w:tplc="A5E85B70">
      <w:numFmt w:val="bullet"/>
      <w:lvlText w:val="-"/>
      <w:lvlJc w:val="left"/>
      <w:pPr>
        <w:ind w:left="1125" w:hanging="360"/>
      </w:pPr>
      <w:rPr>
        <w:rFonts w:ascii="Calibri" w:eastAsiaTheme="minorHAnsi" w:hAnsi="Calibri" w:cs="Calibr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7">
    <w:nsid w:val="2763400C"/>
    <w:multiLevelType w:val="hybridMultilevel"/>
    <w:tmpl w:val="BD9699BC"/>
    <w:lvl w:ilvl="0" w:tplc="D5A0E66C">
      <w:start w:val="2"/>
      <w:numFmt w:val="bullet"/>
      <w:lvlText w:val="-"/>
      <w:lvlJc w:val="left"/>
      <w:pPr>
        <w:tabs>
          <w:tab w:val="num" w:pos="720"/>
        </w:tabs>
        <w:ind w:left="720" w:hanging="360"/>
      </w:pPr>
      <w:rPr>
        <w:rFonts w:ascii="Arial" w:eastAsia="MS Mincho"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28C244DA"/>
    <w:multiLevelType w:val="hybridMultilevel"/>
    <w:tmpl w:val="E1C6E2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8B07D8D"/>
    <w:multiLevelType w:val="hybridMultilevel"/>
    <w:tmpl w:val="C8308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692A0C"/>
    <w:multiLevelType w:val="hybridMultilevel"/>
    <w:tmpl w:val="51D24772"/>
    <w:lvl w:ilvl="0" w:tplc="D7C086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DB92DBC"/>
    <w:multiLevelType w:val="hybridMultilevel"/>
    <w:tmpl w:val="5D7CE9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DA912B5"/>
    <w:multiLevelType w:val="hybridMultilevel"/>
    <w:tmpl w:val="4208A218"/>
    <w:lvl w:ilvl="0" w:tplc="A09C3360">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3570A34"/>
    <w:multiLevelType w:val="hybridMultilevel"/>
    <w:tmpl w:val="3CF8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6030234"/>
    <w:multiLevelType w:val="hybridMultilevel"/>
    <w:tmpl w:val="460209C0"/>
    <w:lvl w:ilvl="0" w:tplc="231C2F2A">
      <w:start w:val="2"/>
      <w:numFmt w:val="bullet"/>
      <w:lvlText w:val="-"/>
      <w:lvlJc w:val="left"/>
      <w:pPr>
        <w:tabs>
          <w:tab w:val="num" w:pos="720"/>
        </w:tabs>
        <w:ind w:left="720" w:hanging="360"/>
      </w:pPr>
      <w:rPr>
        <w:rFonts w:ascii="Arial" w:eastAsia="MS Mincho" w:hAnsi="Arial" w:cs="Arial" w:hint="default"/>
      </w:rPr>
    </w:lvl>
    <w:lvl w:ilvl="1" w:tplc="04070003">
      <w:start w:val="1"/>
      <w:numFmt w:val="lowerLetter"/>
      <w:lvlText w:val="%2."/>
      <w:lvlJc w:val="left"/>
      <w:pPr>
        <w:tabs>
          <w:tab w:val="num" w:pos="1440"/>
        </w:tabs>
        <w:ind w:left="1440" w:hanging="360"/>
      </w:pPr>
    </w:lvl>
    <w:lvl w:ilvl="2" w:tplc="04070005">
      <w:start w:val="1"/>
      <w:numFmt w:val="lowerRoman"/>
      <w:lvlText w:val="%3."/>
      <w:lvlJc w:val="right"/>
      <w:pPr>
        <w:tabs>
          <w:tab w:val="num" w:pos="2160"/>
        </w:tabs>
        <w:ind w:left="2160" w:hanging="180"/>
      </w:pPr>
    </w:lvl>
    <w:lvl w:ilvl="3" w:tplc="04070001">
      <w:start w:val="1"/>
      <w:numFmt w:val="decimal"/>
      <w:lvlText w:val="%4."/>
      <w:lvlJc w:val="left"/>
      <w:pPr>
        <w:tabs>
          <w:tab w:val="num" w:pos="2880"/>
        </w:tabs>
        <w:ind w:left="2880" w:hanging="360"/>
      </w:pPr>
    </w:lvl>
    <w:lvl w:ilvl="4" w:tplc="04070003">
      <w:start w:val="1"/>
      <w:numFmt w:val="lowerLetter"/>
      <w:lvlText w:val="%5."/>
      <w:lvlJc w:val="left"/>
      <w:pPr>
        <w:tabs>
          <w:tab w:val="num" w:pos="3600"/>
        </w:tabs>
        <w:ind w:left="3600" w:hanging="360"/>
      </w:pPr>
    </w:lvl>
    <w:lvl w:ilvl="5" w:tplc="04070005">
      <w:start w:val="1"/>
      <w:numFmt w:val="lowerRoman"/>
      <w:lvlText w:val="%6."/>
      <w:lvlJc w:val="right"/>
      <w:pPr>
        <w:tabs>
          <w:tab w:val="num" w:pos="4320"/>
        </w:tabs>
        <w:ind w:left="4320" w:hanging="180"/>
      </w:pPr>
    </w:lvl>
    <w:lvl w:ilvl="6" w:tplc="04070001">
      <w:start w:val="1"/>
      <w:numFmt w:val="decimal"/>
      <w:lvlText w:val="%7."/>
      <w:lvlJc w:val="left"/>
      <w:pPr>
        <w:tabs>
          <w:tab w:val="num" w:pos="5040"/>
        </w:tabs>
        <w:ind w:left="5040" w:hanging="360"/>
      </w:pPr>
    </w:lvl>
    <w:lvl w:ilvl="7" w:tplc="04070003">
      <w:start w:val="1"/>
      <w:numFmt w:val="lowerLetter"/>
      <w:lvlText w:val="%8."/>
      <w:lvlJc w:val="left"/>
      <w:pPr>
        <w:tabs>
          <w:tab w:val="num" w:pos="5760"/>
        </w:tabs>
        <w:ind w:left="5760" w:hanging="360"/>
      </w:pPr>
    </w:lvl>
    <w:lvl w:ilvl="8" w:tplc="04070005">
      <w:start w:val="1"/>
      <w:numFmt w:val="lowerRoman"/>
      <w:lvlText w:val="%9."/>
      <w:lvlJc w:val="right"/>
      <w:pPr>
        <w:tabs>
          <w:tab w:val="num" w:pos="6480"/>
        </w:tabs>
        <w:ind w:left="6480" w:hanging="180"/>
      </w:pPr>
    </w:lvl>
  </w:abstractNum>
  <w:abstractNum w:abstractNumId="15">
    <w:nsid w:val="57341ED7"/>
    <w:multiLevelType w:val="hybridMultilevel"/>
    <w:tmpl w:val="CBB8DB0E"/>
    <w:lvl w:ilvl="0" w:tplc="4F803A1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6A162F04"/>
    <w:multiLevelType w:val="hybridMultilevel"/>
    <w:tmpl w:val="435EC53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7">
    <w:nsid w:val="6FF1412B"/>
    <w:multiLevelType w:val="hybridMultilevel"/>
    <w:tmpl w:val="33244608"/>
    <w:lvl w:ilvl="0" w:tplc="0407000F">
      <w:start w:val="3"/>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18">
    <w:nsid w:val="719D5EF6"/>
    <w:multiLevelType w:val="hybridMultilevel"/>
    <w:tmpl w:val="3AD0C65A"/>
    <w:lvl w:ilvl="0" w:tplc="4F803A1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6"/>
  </w:num>
  <w:num w:numId="2">
    <w:abstractNumId w:val="9"/>
  </w:num>
  <w:num w:numId="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2"/>
  </w:num>
  <w:num w:numId="8">
    <w:abstractNumId w:val="3"/>
  </w:num>
  <w:num w:numId="9">
    <w:abstractNumId w:val="13"/>
  </w:num>
  <w:num w:numId="10">
    <w:abstractNumId w:val="4"/>
  </w:num>
  <w:num w:numId="11">
    <w:abstractNumId w:val="1"/>
  </w:num>
  <w:num w:numId="12">
    <w:abstractNumId w:val="10"/>
  </w:num>
  <w:num w:numId="13">
    <w:abstractNumId w:val="0"/>
  </w:num>
  <w:num w:numId="14">
    <w:abstractNumId w:val="12"/>
  </w:num>
  <w:num w:numId="15">
    <w:abstractNumId w:val="8"/>
  </w:num>
  <w:num w:numId="16">
    <w:abstractNumId w:val="18"/>
  </w:num>
  <w:num w:numId="17">
    <w:abstractNumId w:val="15"/>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1DC"/>
    <w:rsid w:val="00003401"/>
    <w:rsid w:val="0005768E"/>
    <w:rsid w:val="00107ECB"/>
    <w:rsid w:val="001104F6"/>
    <w:rsid w:val="00133D35"/>
    <w:rsid w:val="00194A0C"/>
    <w:rsid w:val="001C5275"/>
    <w:rsid w:val="001E10E4"/>
    <w:rsid w:val="00230557"/>
    <w:rsid w:val="002324A4"/>
    <w:rsid w:val="002448F3"/>
    <w:rsid w:val="002C42C7"/>
    <w:rsid w:val="002E2E3A"/>
    <w:rsid w:val="002E7FE3"/>
    <w:rsid w:val="00300276"/>
    <w:rsid w:val="003167D0"/>
    <w:rsid w:val="00385FA8"/>
    <w:rsid w:val="003E0E98"/>
    <w:rsid w:val="004266D1"/>
    <w:rsid w:val="004274AB"/>
    <w:rsid w:val="004568EA"/>
    <w:rsid w:val="004B1FC5"/>
    <w:rsid w:val="004B72CA"/>
    <w:rsid w:val="004E1B84"/>
    <w:rsid w:val="005005DB"/>
    <w:rsid w:val="005217C4"/>
    <w:rsid w:val="00526845"/>
    <w:rsid w:val="00540071"/>
    <w:rsid w:val="0056641E"/>
    <w:rsid w:val="0058390E"/>
    <w:rsid w:val="00592F05"/>
    <w:rsid w:val="005E4AEC"/>
    <w:rsid w:val="00614B44"/>
    <w:rsid w:val="00645709"/>
    <w:rsid w:val="00655E95"/>
    <w:rsid w:val="006834C4"/>
    <w:rsid w:val="006B23C0"/>
    <w:rsid w:val="006B246E"/>
    <w:rsid w:val="006E2982"/>
    <w:rsid w:val="007B73BB"/>
    <w:rsid w:val="007C1F5B"/>
    <w:rsid w:val="007F21DC"/>
    <w:rsid w:val="008648F9"/>
    <w:rsid w:val="008F7C4C"/>
    <w:rsid w:val="009160C6"/>
    <w:rsid w:val="00917C68"/>
    <w:rsid w:val="00947D91"/>
    <w:rsid w:val="00951730"/>
    <w:rsid w:val="009915D0"/>
    <w:rsid w:val="009B39ED"/>
    <w:rsid w:val="00A20135"/>
    <w:rsid w:val="00A611AE"/>
    <w:rsid w:val="00A9484D"/>
    <w:rsid w:val="00AA79A7"/>
    <w:rsid w:val="00AC0B17"/>
    <w:rsid w:val="00AC40C3"/>
    <w:rsid w:val="00AC72F4"/>
    <w:rsid w:val="00B03492"/>
    <w:rsid w:val="00B86CBD"/>
    <w:rsid w:val="00BA02FF"/>
    <w:rsid w:val="00BA2BB5"/>
    <w:rsid w:val="00BC3E4D"/>
    <w:rsid w:val="00BD41AF"/>
    <w:rsid w:val="00C046AF"/>
    <w:rsid w:val="00C11B5C"/>
    <w:rsid w:val="00CF63BC"/>
    <w:rsid w:val="00D05420"/>
    <w:rsid w:val="00D11489"/>
    <w:rsid w:val="00D144A6"/>
    <w:rsid w:val="00D22FB9"/>
    <w:rsid w:val="00DA46EB"/>
    <w:rsid w:val="00DD4654"/>
    <w:rsid w:val="00E004FC"/>
    <w:rsid w:val="00E32F7C"/>
    <w:rsid w:val="00E44B50"/>
    <w:rsid w:val="00E45F94"/>
    <w:rsid w:val="00EA5A07"/>
    <w:rsid w:val="00EA6CF3"/>
    <w:rsid w:val="00EC48C5"/>
    <w:rsid w:val="00EC4AE3"/>
    <w:rsid w:val="00EF4EAD"/>
    <w:rsid w:val="00F0583C"/>
    <w:rsid w:val="00F175EE"/>
    <w:rsid w:val="00F351C5"/>
    <w:rsid w:val="00F66D6C"/>
    <w:rsid w:val="00F675E4"/>
    <w:rsid w:val="00FC1D59"/>
    <w:rsid w:val="00FE5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1DC"/>
    <w:pPr>
      <w:ind w:left="720"/>
      <w:contextualSpacing/>
    </w:pPr>
  </w:style>
  <w:style w:type="character" w:styleId="Hyperlink">
    <w:name w:val="Hyperlink"/>
    <w:basedOn w:val="DefaultParagraphFont"/>
    <w:uiPriority w:val="99"/>
    <w:unhideWhenUsed/>
    <w:rsid w:val="00EA6CF3"/>
    <w:rPr>
      <w:color w:val="0000FF" w:themeColor="hyperlink"/>
      <w:u w:val="single"/>
    </w:rPr>
  </w:style>
  <w:style w:type="paragraph" w:styleId="PlainText">
    <w:name w:val="Plain Text"/>
    <w:basedOn w:val="Normal"/>
    <w:link w:val="PlainTextChar"/>
    <w:semiHidden/>
    <w:unhideWhenUsed/>
    <w:rsid w:val="00E004FC"/>
    <w:pPr>
      <w:autoSpaceDE w:val="0"/>
      <w:autoSpaceDN w:val="0"/>
      <w:spacing w:line="240" w:lineRule="auto"/>
    </w:pPr>
    <w:rPr>
      <w:rFonts w:ascii="Courier New" w:eastAsia="Times New Roman" w:hAnsi="Courier New" w:cs="Courier New"/>
      <w:sz w:val="20"/>
      <w:szCs w:val="20"/>
      <w:lang w:eastAsia="nl-NL"/>
    </w:rPr>
  </w:style>
  <w:style w:type="character" w:customStyle="1" w:styleId="PlainTextChar">
    <w:name w:val="Plain Text Char"/>
    <w:basedOn w:val="DefaultParagraphFont"/>
    <w:link w:val="PlainText"/>
    <w:semiHidden/>
    <w:rsid w:val="00E004FC"/>
    <w:rPr>
      <w:rFonts w:ascii="Courier New" w:eastAsia="Times New Roman" w:hAnsi="Courier New" w:cs="Courier New"/>
      <w:sz w:val="20"/>
      <w:szCs w:val="20"/>
      <w:lang w:eastAsia="nl-NL"/>
    </w:rPr>
  </w:style>
  <w:style w:type="table" w:styleId="TableGrid">
    <w:name w:val="Table Grid"/>
    <w:basedOn w:val="TableNormal"/>
    <w:rsid w:val="00E004FC"/>
    <w:pPr>
      <w:spacing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03492"/>
    <w:rPr>
      <w:color w:val="800080" w:themeColor="followedHyperlink"/>
      <w:u w:val="single"/>
    </w:rPr>
  </w:style>
  <w:style w:type="paragraph" w:styleId="Header">
    <w:name w:val="header"/>
    <w:basedOn w:val="Normal"/>
    <w:link w:val="HeaderChar"/>
    <w:uiPriority w:val="99"/>
    <w:unhideWhenUsed/>
    <w:rsid w:val="00BC3E4D"/>
    <w:pPr>
      <w:tabs>
        <w:tab w:val="center" w:pos="4819"/>
        <w:tab w:val="right" w:pos="9638"/>
      </w:tabs>
      <w:spacing w:line="240" w:lineRule="auto"/>
    </w:pPr>
  </w:style>
  <w:style w:type="character" w:customStyle="1" w:styleId="HeaderChar">
    <w:name w:val="Header Char"/>
    <w:basedOn w:val="DefaultParagraphFont"/>
    <w:link w:val="Header"/>
    <w:uiPriority w:val="99"/>
    <w:rsid w:val="00BC3E4D"/>
  </w:style>
  <w:style w:type="paragraph" w:styleId="Footer">
    <w:name w:val="footer"/>
    <w:basedOn w:val="Normal"/>
    <w:link w:val="FooterChar"/>
    <w:uiPriority w:val="99"/>
    <w:unhideWhenUsed/>
    <w:rsid w:val="00BC3E4D"/>
    <w:pPr>
      <w:tabs>
        <w:tab w:val="center" w:pos="4819"/>
        <w:tab w:val="right" w:pos="9638"/>
      </w:tabs>
      <w:spacing w:line="240" w:lineRule="auto"/>
    </w:pPr>
  </w:style>
  <w:style w:type="character" w:customStyle="1" w:styleId="FooterChar">
    <w:name w:val="Footer Char"/>
    <w:basedOn w:val="DefaultParagraphFont"/>
    <w:link w:val="Footer"/>
    <w:uiPriority w:val="99"/>
    <w:rsid w:val="00BC3E4D"/>
  </w:style>
  <w:style w:type="paragraph" w:styleId="BalloonText">
    <w:name w:val="Balloon Text"/>
    <w:basedOn w:val="Normal"/>
    <w:link w:val="BalloonTextChar"/>
    <w:uiPriority w:val="99"/>
    <w:semiHidden/>
    <w:unhideWhenUsed/>
    <w:rsid w:val="00EF4E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E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1DC"/>
    <w:pPr>
      <w:ind w:left="720"/>
      <w:contextualSpacing/>
    </w:pPr>
  </w:style>
  <w:style w:type="character" w:styleId="Hyperlink">
    <w:name w:val="Hyperlink"/>
    <w:basedOn w:val="DefaultParagraphFont"/>
    <w:uiPriority w:val="99"/>
    <w:unhideWhenUsed/>
    <w:rsid w:val="00EA6CF3"/>
    <w:rPr>
      <w:color w:val="0000FF" w:themeColor="hyperlink"/>
      <w:u w:val="single"/>
    </w:rPr>
  </w:style>
  <w:style w:type="paragraph" w:styleId="PlainText">
    <w:name w:val="Plain Text"/>
    <w:basedOn w:val="Normal"/>
    <w:link w:val="PlainTextChar"/>
    <w:semiHidden/>
    <w:unhideWhenUsed/>
    <w:rsid w:val="00E004FC"/>
    <w:pPr>
      <w:autoSpaceDE w:val="0"/>
      <w:autoSpaceDN w:val="0"/>
      <w:spacing w:line="240" w:lineRule="auto"/>
    </w:pPr>
    <w:rPr>
      <w:rFonts w:ascii="Courier New" w:eastAsia="Times New Roman" w:hAnsi="Courier New" w:cs="Courier New"/>
      <w:sz w:val="20"/>
      <w:szCs w:val="20"/>
      <w:lang w:eastAsia="nl-NL"/>
    </w:rPr>
  </w:style>
  <w:style w:type="character" w:customStyle="1" w:styleId="PlainTextChar">
    <w:name w:val="Plain Text Char"/>
    <w:basedOn w:val="DefaultParagraphFont"/>
    <w:link w:val="PlainText"/>
    <w:semiHidden/>
    <w:rsid w:val="00E004FC"/>
    <w:rPr>
      <w:rFonts w:ascii="Courier New" w:eastAsia="Times New Roman" w:hAnsi="Courier New" w:cs="Courier New"/>
      <w:sz w:val="20"/>
      <w:szCs w:val="20"/>
      <w:lang w:eastAsia="nl-NL"/>
    </w:rPr>
  </w:style>
  <w:style w:type="table" w:styleId="TableGrid">
    <w:name w:val="Table Grid"/>
    <w:basedOn w:val="TableNormal"/>
    <w:rsid w:val="00E004FC"/>
    <w:pPr>
      <w:spacing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03492"/>
    <w:rPr>
      <w:color w:val="800080" w:themeColor="followedHyperlink"/>
      <w:u w:val="single"/>
    </w:rPr>
  </w:style>
  <w:style w:type="paragraph" w:styleId="Header">
    <w:name w:val="header"/>
    <w:basedOn w:val="Normal"/>
    <w:link w:val="HeaderChar"/>
    <w:uiPriority w:val="99"/>
    <w:unhideWhenUsed/>
    <w:rsid w:val="00BC3E4D"/>
    <w:pPr>
      <w:tabs>
        <w:tab w:val="center" w:pos="4819"/>
        <w:tab w:val="right" w:pos="9638"/>
      </w:tabs>
      <w:spacing w:line="240" w:lineRule="auto"/>
    </w:pPr>
  </w:style>
  <w:style w:type="character" w:customStyle="1" w:styleId="HeaderChar">
    <w:name w:val="Header Char"/>
    <w:basedOn w:val="DefaultParagraphFont"/>
    <w:link w:val="Header"/>
    <w:uiPriority w:val="99"/>
    <w:rsid w:val="00BC3E4D"/>
  </w:style>
  <w:style w:type="paragraph" w:styleId="Footer">
    <w:name w:val="footer"/>
    <w:basedOn w:val="Normal"/>
    <w:link w:val="FooterChar"/>
    <w:uiPriority w:val="99"/>
    <w:unhideWhenUsed/>
    <w:rsid w:val="00BC3E4D"/>
    <w:pPr>
      <w:tabs>
        <w:tab w:val="center" w:pos="4819"/>
        <w:tab w:val="right" w:pos="9638"/>
      </w:tabs>
      <w:spacing w:line="240" w:lineRule="auto"/>
    </w:pPr>
  </w:style>
  <w:style w:type="character" w:customStyle="1" w:styleId="FooterChar">
    <w:name w:val="Footer Char"/>
    <w:basedOn w:val="DefaultParagraphFont"/>
    <w:link w:val="Footer"/>
    <w:uiPriority w:val="99"/>
    <w:rsid w:val="00BC3E4D"/>
  </w:style>
  <w:style w:type="paragraph" w:styleId="BalloonText">
    <w:name w:val="Balloon Text"/>
    <w:basedOn w:val="Normal"/>
    <w:link w:val="BalloonTextChar"/>
    <w:uiPriority w:val="99"/>
    <w:semiHidden/>
    <w:unhideWhenUsed/>
    <w:rsid w:val="00EF4E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E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88560">
      <w:bodyDiv w:val="1"/>
      <w:marLeft w:val="0"/>
      <w:marRight w:val="0"/>
      <w:marTop w:val="0"/>
      <w:marBottom w:val="0"/>
      <w:divBdr>
        <w:top w:val="none" w:sz="0" w:space="0" w:color="auto"/>
        <w:left w:val="none" w:sz="0" w:space="0" w:color="auto"/>
        <w:bottom w:val="none" w:sz="0" w:space="0" w:color="auto"/>
        <w:right w:val="none" w:sz="0" w:space="0" w:color="auto"/>
      </w:divBdr>
    </w:div>
    <w:div w:id="214330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62E8B-D7B0-4B82-97A4-744EE6B36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930</Words>
  <Characters>5303</Characters>
  <Application>Microsoft Office Word</Application>
  <DocSecurity>0</DocSecurity>
  <Lines>44</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PTS</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Thomas</dc:creator>
  <cp:lastModifiedBy>Susanne Have</cp:lastModifiedBy>
  <cp:revision>4</cp:revision>
  <cp:lastPrinted>2011-11-01T08:12:00Z</cp:lastPrinted>
  <dcterms:created xsi:type="dcterms:W3CDTF">2011-11-01T08:12:00Z</dcterms:created>
  <dcterms:modified xsi:type="dcterms:W3CDTF">2011-11-01T08:18:00Z</dcterms:modified>
</cp:coreProperties>
</file>