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15" w:rsidRDefault="00317C15">
      <w:pPr>
        <w:rPr>
          <w:b/>
        </w:rPr>
      </w:pPr>
    </w:p>
    <w:p w:rsidR="00317C15" w:rsidRDefault="00317C15" w:rsidP="007436A6">
      <w:pPr>
        <w:spacing w:line="280" w:lineRule="auto"/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de-DE"/>
        </w:rPr>
        <w:t>CEPT (11)04 -</w:t>
      </w:r>
      <w:r w:rsidR="001911B0">
        <w:rPr>
          <w:rFonts w:ascii="Arial" w:hAnsi="Arial"/>
          <w:b/>
          <w:szCs w:val="24"/>
          <w:lang w:val="de-DE"/>
        </w:rPr>
        <w:t>D</w:t>
      </w:r>
      <w:bookmarkStart w:id="0" w:name="_GoBack"/>
      <w:bookmarkEnd w:id="0"/>
    </w:p>
    <w:p w:rsidR="00317C15" w:rsidRPr="006834C4" w:rsidRDefault="001911B0" w:rsidP="007436A6">
      <w:pPr>
        <w:spacing w:line="280" w:lineRule="auto"/>
        <w:rPr>
          <w:rFonts w:ascii="Arial" w:hAnsi="Arial" w:cs="Arial"/>
          <w:b/>
        </w:rPr>
      </w:pPr>
      <w:r>
        <w:rPr>
          <w:noProof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margin-left:73.1pt;margin-top:9pt;width:191.45pt;height:13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">
            <v:textbox style="mso-fit-shape-to-text:t">
              <w:txbxContent>
                <w:p w:rsidR="00317C15" w:rsidRPr="00625E6C" w:rsidRDefault="00317C15" w:rsidP="006834C4">
                  <w:pPr>
                    <w:rPr>
                      <w:rFonts w:ascii="Arial" w:hAnsi="Arial" w:cs="Arial"/>
                      <w:b/>
                    </w:rPr>
                  </w:pPr>
                  <w:r w:rsidRPr="00625E6C">
                    <w:rPr>
                      <w:rFonts w:ascii="Arial" w:hAnsi="Arial" w:cs="Arial"/>
                      <w:b/>
                    </w:rPr>
                    <w:t>CEPT</w:t>
                  </w:r>
                  <w:r>
                    <w:rPr>
                      <w:rFonts w:ascii="Arial" w:hAnsi="Arial" w:cs="Arial"/>
                      <w:b/>
                    </w:rPr>
                    <w:t>-Versammlung</w:t>
                  </w:r>
                  <w:r w:rsidRPr="00625E6C">
                    <w:rPr>
                      <w:rFonts w:ascii="Arial" w:hAnsi="Arial" w:cs="Arial"/>
                      <w:b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</w:rPr>
                    <w:t>K</w:t>
                  </w:r>
                  <w:r w:rsidRPr="00625E6C">
                    <w:rPr>
                      <w:rFonts w:ascii="Arial" w:hAnsi="Arial" w:cs="Arial"/>
                      <w:b/>
                    </w:rPr>
                    <w:t>openhagen, 19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  <w:r w:rsidRPr="00625E6C">
                    <w:rPr>
                      <w:rFonts w:ascii="Arial" w:hAnsi="Arial" w:cs="Arial"/>
                      <w:b/>
                    </w:rPr>
                    <w:t xml:space="preserve"> De</w:t>
                  </w:r>
                  <w:r>
                    <w:rPr>
                      <w:rFonts w:ascii="Arial" w:hAnsi="Arial" w:cs="Arial"/>
                      <w:b/>
                    </w:rPr>
                    <w:t>z</w:t>
                  </w:r>
                  <w:r w:rsidRPr="00625E6C">
                    <w:rPr>
                      <w:rFonts w:ascii="Arial" w:hAnsi="Arial" w:cs="Arial"/>
                      <w:b/>
                    </w:rPr>
                    <w:t>ember 2011</w:t>
                  </w:r>
                </w:p>
              </w:txbxContent>
            </v:textbox>
          </v:shape>
        </w:pict>
      </w:r>
      <w:r>
        <w:rPr>
          <w:b/>
          <w:noProof/>
          <w:lang w:val="de-DE"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55.5pt;height:55.5pt;visibility:visible">
            <v:imagedata r:id="rId8" o:title=""/>
          </v:shape>
        </w:pict>
      </w:r>
      <w:r w:rsidR="00317C15" w:rsidRPr="006834C4" w:rsidDel="00625E6C">
        <w:rPr>
          <w:rFonts w:ascii="Arial" w:hAnsi="Arial" w:cs="Arial"/>
          <w:b/>
        </w:rPr>
        <w:t xml:space="preserve"> </w:t>
      </w:r>
      <w:r w:rsidR="00317C15" w:rsidRPr="006834C4">
        <w:rPr>
          <w:rFonts w:ascii="Arial" w:hAnsi="Arial" w:cs="Arial"/>
          <w:b/>
        </w:rPr>
        <w:tab/>
      </w:r>
      <w:r w:rsidR="00317C15" w:rsidRPr="006834C4">
        <w:rPr>
          <w:rFonts w:ascii="Arial" w:hAnsi="Arial" w:cs="Arial"/>
          <w:b/>
        </w:rPr>
        <w:tab/>
      </w:r>
      <w:r w:rsidR="00317C15" w:rsidRPr="006834C4">
        <w:rPr>
          <w:rFonts w:ascii="Arial" w:hAnsi="Arial" w:cs="Arial"/>
          <w:b/>
        </w:rPr>
        <w:tab/>
      </w:r>
      <w:r w:rsidR="00317C15" w:rsidRPr="006834C4">
        <w:rPr>
          <w:rFonts w:ascii="Arial" w:hAnsi="Arial" w:cs="Arial"/>
          <w:b/>
        </w:rPr>
        <w:tab/>
      </w:r>
      <w:r w:rsidR="00317C15" w:rsidRPr="006834C4">
        <w:rPr>
          <w:rFonts w:ascii="Arial" w:hAnsi="Arial" w:cs="Arial"/>
          <w:b/>
        </w:rPr>
        <w:tab/>
      </w:r>
      <w:r w:rsidR="00317C15" w:rsidRPr="006834C4">
        <w:rPr>
          <w:rFonts w:ascii="Arial" w:hAnsi="Arial" w:cs="Arial"/>
          <w:b/>
        </w:rPr>
        <w:tab/>
      </w:r>
      <w:r w:rsidR="00317C15" w:rsidRPr="006834C4">
        <w:rPr>
          <w:rFonts w:ascii="Arial" w:hAnsi="Arial" w:cs="Arial"/>
          <w:b/>
        </w:rPr>
        <w:tab/>
      </w:r>
      <w:r w:rsidR="00317C15" w:rsidRPr="006834C4">
        <w:rPr>
          <w:rFonts w:ascii="Arial" w:hAnsi="Arial" w:cs="Arial"/>
          <w:b/>
        </w:rPr>
        <w:tab/>
      </w:r>
      <w:r w:rsidR="00317C15" w:rsidRPr="006834C4">
        <w:rPr>
          <w:rFonts w:ascii="Arial" w:hAnsi="Arial" w:cs="Arial"/>
          <w:b/>
        </w:rPr>
        <w:tab/>
        <w:t xml:space="preserve">       </w:t>
      </w:r>
    </w:p>
    <w:p w:rsidR="00317C15" w:rsidRPr="006834C4" w:rsidRDefault="00317C15" w:rsidP="006834C4">
      <w:pPr>
        <w:jc w:val="center"/>
        <w:rPr>
          <w:rFonts w:ascii="Arial" w:hAnsi="Arial" w:cs="Arial"/>
          <w:b/>
        </w:rPr>
      </w:pPr>
    </w:p>
    <w:p w:rsidR="00317C15" w:rsidRPr="006834C4" w:rsidRDefault="00317C15" w:rsidP="006834C4">
      <w:pPr>
        <w:jc w:val="center"/>
        <w:rPr>
          <w:rFonts w:ascii="Arial" w:hAnsi="Arial" w:cs="Arial"/>
          <w:b/>
        </w:rPr>
      </w:pPr>
    </w:p>
    <w:p w:rsidR="00317C15" w:rsidRDefault="00317C15" w:rsidP="004A11BB">
      <w:pPr>
        <w:spacing w:line="280" w:lineRule="auto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de-DE"/>
        </w:rPr>
        <w:t>Bericht des Com-ITU für die Versammlung der CEPT</w:t>
      </w:r>
    </w:p>
    <w:p w:rsidR="00317C15" w:rsidRDefault="00317C15" w:rsidP="004A11BB">
      <w:pPr>
        <w:spacing w:line="280" w:lineRule="auto"/>
        <w:jc w:val="center"/>
        <w:rPr>
          <w:rFonts w:ascii="Arial" w:hAnsi="Arial"/>
          <w:szCs w:val="24"/>
        </w:rPr>
      </w:pPr>
      <w:r>
        <w:rPr>
          <w:rFonts w:ascii="Arial" w:hAnsi="Arial"/>
          <w:b/>
          <w:szCs w:val="24"/>
          <w:lang w:val="de-DE"/>
        </w:rPr>
        <w:t>1. November 2011</w:t>
      </w:r>
    </w:p>
    <w:p w:rsidR="00317C15" w:rsidRDefault="00317C15">
      <w:pPr>
        <w:rPr>
          <w:b/>
        </w:rPr>
      </w:pPr>
    </w:p>
    <w:p w:rsidR="00317C15" w:rsidRDefault="00317C15">
      <w:pPr>
        <w:rPr>
          <w:b/>
        </w:rPr>
      </w:pPr>
    </w:p>
    <w:p w:rsidR="00317C15" w:rsidRDefault="00317C15" w:rsidP="004A11BB">
      <w:pPr>
        <w:pStyle w:val="ListParagraph"/>
        <w:numPr>
          <w:ilvl w:val="0"/>
          <w:numId w:val="10"/>
        </w:numPr>
        <w:spacing w:line="280" w:lineRule="auto"/>
        <w:rPr>
          <w:b/>
          <w:szCs w:val="24"/>
        </w:rPr>
      </w:pPr>
      <w:r>
        <w:rPr>
          <w:b/>
          <w:szCs w:val="24"/>
          <w:lang w:val="de-DE"/>
        </w:rPr>
        <w:t>Einleitung</w:t>
      </w:r>
    </w:p>
    <w:p w:rsidR="00317C15" w:rsidRDefault="00317C15"/>
    <w:p w:rsidR="00317C15" w:rsidRDefault="00317C15" w:rsidP="004A11BB">
      <w:pPr>
        <w:spacing w:line="280" w:lineRule="auto"/>
        <w:rPr>
          <w:szCs w:val="24"/>
        </w:rPr>
      </w:pPr>
      <w:r>
        <w:rPr>
          <w:szCs w:val="24"/>
          <w:lang w:val="de-DE"/>
        </w:rPr>
        <w:t>Dieser Bericht bezieht sich auf den Zeitraum vom März 2009 (dem Zeitpunkt der Außerordentlichen Versammlung der CEPT, auf der diese Vereinbarungen zur Präsidentschaft erstellt wurden) bis zum Oktober 2011.</w:t>
      </w:r>
    </w:p>
    <w:p w:rsidR="00317C15" w:rsidRDefault="00317C15"/>
    <w:p w:rsidR="00317C15" w:rsidRPr="001911B0" w:rsidRDefault="00317C15" w:rsidP="004A11BB">
      <w:pPr>
        <w:spacing w:line="280" w:lineRule="auto"/>
        <w:rPr>
          <w:b/>
          <w:szCs w:val="24"/>
          <w:lang w:val="da-DK"/>
        </w:rPr>
      </w:pPr>
      <w:r>
        <w:rPr>
          <w:szCs w:val="24"/>
          <w:lang w:val="de-DE"/>
        </w:rPr>
        <w:t>Der Schwerpunkt der Com-ITU lag vor allem auf den Vorbereitungen zu den ITU-Konferenzen (außer dem Funk-(R)-Sektor) und dem ITU-Rat.</w:t>
      </w:r>
      <w:r w:rsidRPr="001911B0">
        <w:rPr>
          <w:szCs w:val="24"/>
          <w:lang w:val="da-DK"/>
        </w:rPr>
        <w:t xml:space="preserve"> </w:t>
      </w:r>
    </w:p>
    <w:p w:rsidR="00317C15" w:rsidRPr="001911B0" w:rsidRDefault="00317C15" w:rsidP="004B72CA">
      <w:pPr>
        <w:rPr>
          <w:highlight w:val="yellow"/>
          <w:lang w:val="da-DK"/>
        </w:rPr>
      </w:pPr>
    </w:p>
    <w:p w:rsidR="00317C15" w:rsidRDefault="00317C15" w:rsidP="004A11BB">
      <w:pPr>
        <w:pStyle w:val="ListParagraph"/>
        <w:numPr>
          <w:ilvl w:val="0"/>
          <w:numId w:val="10"/>
        </w:numPr>
        <w:spacing w:line="280" w:lineRule="auto"/>
        <w:rPr>
          <w:b/>
          <w:szCs w:val="24"/>
        </w:rPr>
      </w:pPr>
      <w:r>
        <w:rPr>
          <w:b/>
          <w:szCs w:val="24"/>
          <w:lang w:val="de-DE"/>
        </w:rPr>
        <w:t xml:space="preserve">Organisation </w:t>
      </w:r>
    </w:p>
    <w:p w:rsidR="00317C15" w:rsidRDefault="00317C15" w:rsidP="00645709"/>
    <w:p w:rsidR="00317C15" w:rsidRPr="001911B0" w:rsidRDefault="00317C15" w:rsidP="004A11BB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Die Com-ITU wurde auf der Außerordentlichen Sitzung der CEPT im März 2009 gegründet und ersetzte die WG ITU.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Die Arbeit wird durch die Plenarsitzung verwaltet; diese findet üblicherweise drei bis vier Mal pro Jahr statt.</w:t>
      </w:r>
      <w:r>
        <w:rPr>
          <w:szCs w:val="24"/>
        </w:rPr>
        <w:t xml:space="preserve"> </w:t>
      </w:r>
      <w:r>
        <w:rPr>
          <w:szCs w:val="24"/>
          <w:lang w:val="de-DE"/>
        </w:rPr>
        <w:t>Das Büro stellt den Support für das Internet, den Dokumentenserver sowie ein elektronisches Dokumenten- und Mitteilungssystem während der Konferenzen zur Verfügung.</w:t>
      </w:r>
    </w:p>
    <w:p w:rsidR="00317C15" w:rsidRPr="001911B0" w:rsidRDefault="00317C15" w:rsidP="00645709">
      <w:pPr>
        <w:rPr>
          <w:lang w:val="da-DK"/>
        </w:rPr>
      </w:pPr>
    </w:p>
    <w:p w:rsidR="00317C15" w:rsidRPr="001911B0" w:rsidRDefault="00317C15" w:rsidP="004A11BB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Die Com-ITU hat beschlossen, keine Arbeitsgruppen einzurichten.</w:t>
      </w:r>
      <w:r>
        <w:rPr>
          <w:szCs w:val="24"/>
        </w:rPr>
        <w:t xml:space="preserve"> </w:t>
      </w:r>
      <w:r>
        <w:rPr>
          <w:szCs w:val="24"/>
          <w:lang w:val="de-DE"/>
        </w:rPr>
        <w:t>Projektteams werden bei Bedarf geschaffen.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So wurden für die Vorbereitungen der ITU-Konferenzen im Jahr 2010 Projektteams gebildet.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Für die Vorbereitungen der Konferenzen im Jahr 2012 wurde beschlossen, keine Projektteams einzurichten.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 xml:space="preserve">Der Hauptgrund hierfür ist das Ziel, die von den Verwaltungen zur Verfolgung der Arbeit der Com-ITU benötigten Ressourcen zu begrenzen, indem die Anzahl der Sitzungen reduziert wird. </w:t>
      </w:r>
    </w:p>
    <w:p w:rsidR="00317C15" w:rsidRPr="001911B0" w:rsidRDefault="00317C15" w:rsidP="00645709">
      <w:pPr>
        <w:rPr>
          <w:highlight w:val="yellow"/>
          <w:lang w:val="da-DK"/>
        </w:rPr>
      </w:pPr>
    </w:p>
    <w:p w:rsidR="00317C15" w:rsidRPr="001911B0" w:rsidRDefault="00317C15" w:rsidP="004A11BB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Seit März 2009 hat die Com-ITU Plenarsitzungen in Cluj, Helsinki, Istanbul, Lissabon, Madrid, Vilnius und Warschau abgehalten, die von den Verwaltungen veranstaltet wurden; eine weitere wurde vom Büro in Kopenhagen abgehalten.</w:t>
      </w:r>
    </w:p>
    <w:p w:rsidR="00317C15" w:rsidRPr="001911B0" w:rsidRDefault="00317C15" w:rsidP="004B72CA">
      <w:pPr>
        <w:rPr>
          <w:lang w:val="da-DK"/>
        </w:rPr>
      </w:pPr>
    </w:p>
    <w:p w:rsidR="00317C15" w:rsidRPr="001911B0" w:rsidRDefault="00317C15" w:rsidP="004A11BB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Die Com-ITU übernahm die ersten Regelungen zur Geschäftsordnung im Jahr 2009.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Diese basierten soweit wie möglich auf der ECC-Geschäftsordnung, um die Arbeit zwischen den zwei Ausschüssen aneinander anzupassen.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Auch die Regelungen für gemeinsame europäische Vorschläge (European Common Proposals - ECP) und die CEPT-Koordinierung während der ITU-Konferenzen werden an die vom ECC verwendeten Regeln angepasst.</w:t>
      </w:r>
    </w:p>
    <w:p w:rsidR="00317C15" w:rsidRPr="001911B0" w:rsidRDefault="00317C15">
      <w:pPr>
        <w:rPr>
          <w:lang w:val="da-DK"/>
        </w:rPr>
      </w:pPr>
    </w:p>
    <w:p w:rsidR="00317C15" w:rsidRPr="001911B0" w:rsidRDefault="00317C15">
      <w:pPr>
        <w:rPr>
          <w:lang w:val="da-DK"/>
        </w:rPr>
      </w:pPr>
    </w:p>
    <w:p w:rsidR="00317C15" w:rsidRDefault="00317C15" w:rsidP="004A11BB">
      <w:pPr>
        <w:pStyle w:val="ListParagraph"/>
        <w:numPr>
          <w:ilvl w:val="0"/>
          <w:numId w:val="10"/>
        </w:numPr>
        <w:spacing w:line="280" w:lineRule="auto"/>
        <w:rPr>
          <w:b/>
          <w:szCs w:val="24"/>
        </w:rPr>
      </w:pPr>
      <w:r>
        <w:rPr>
          <w:b/>
          <w:szCs w:val="24"/>
          <w:lang w:val="de-DE"/>
        </w:rPr>
        <w:lastRenderedPageBreak/>
        <w:t>Externe Beziehungen</w:t>
      </w:r>
    </w:p>
    <w:p w:rsidR="00317C15" w:rsidRDefault="00317C15"/>
    <w:p w:rsidR="00317C15" w:rsidRPr="001911B0" w:rsidRDefault="00317C15" w:rsidP="004A11BB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Vor der Gründung der Com-ITU bestanden bereits Willenserklärungen (Letter of Understanding – LoU) zwischen ETSI und WG-ITU.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Die Zusammenarbeit mit ETSI wurde auf der Grundlage dieser LoU fortgesetzt.</w:t>
      </w:r>
      <w:r w:rsidRPr="001911B0">
        <w:rPr>
          <w:szCs w:val="24"/>
          <w:lang w:val="da-DK"/>
        </w:rPr>
        <w:t xml:space="preserve"> </w:t>
      </w:r>
    </w:p>
    <w:p w:rsidR="00317C15" w:rsidRPr="001911B0" w:rsidRDefault="00317C15" w:rsidP="0056641E">
      <w:pPr>
        <w:rPr>
          <w:lang w:val="da-DK"/>
        </w:rPr>
      </w:pPr>
    </w:p>
    <w:p w:rsidR="00317C15" w:rsidRPr="001911B0" w:rsidRDefault="00317C15" w:rsidP="00E72479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Com-ITU hat Willenserklärungen (LoU) mit Digital Europe, ESOA, ETNO und dem GSM-Verband unterzeichnet.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Dies ermöglicht den Organisationen die regelmäßige Teilnahme an der Arbeit der Com-ITU und bietet der Com-ITU außerdem eine Möglichkeit, Beiträge von Interessengruppen zu verschiedenen Themen zu erhalten, die in der ITU diskutiert werden.</w:t>
      </w:r>
    </w:p>
    <w:p w:rsidR="00317C15" w:rsidRPr="001911B0" w:rsidRDefault="00317C15" w:rsidP="0056641E">
      <w:pPr>
        <w:rPr>
          <w:lang w:val="da-DK"/>
        </w:rPr>
      </w:pPr>
    </w:p>
    <w:p w:rsidR="00317C15" w:rsidRPr="001911B0" w:rsidRDefault="00317C15" w:rsidP="00E72479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Normalerweise nimmt die ITU an den Sitzungen der Com-ITU als Beobachter teil.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Diese bietet eine Gelegenheit zum regelmäßigen Informationsaustausch zwischen den Organisationen.</w:t>
      </w:r>
    </w:p>
    <w:p w:rsidR="00317C15" w:rsidRPr="001911B0" w:rsidRDefault="00317C15" w:rsidP="0056641E">
      <w:pPr>
        <w:rPr>
          <w:lang w:val="da-DK"/>
        </w:rPr>
      </w:pPr>
    </w:p>
    <w:p w:rsidR="00317C15" w:rsidRPr="001911B0" w:rsidRDefault="00317C15" w:rsidP="00E72479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Der Vorsitzende der Com-ITU nahm an der Sitzung der Verwaltungsleiter des RCC im November 2010 zusammen mit dem ECC-Vorsitzenden teil.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Außerdem nahm er 2010 an einer Sitzung der arabischen Gruppe in Damaskus zur Vorbereitung der Bevollmächtigtenkonferenz PP-10 teil.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Vertreter der Com-ITU waren auch auf Sitzungen von APT und ATU zur Vorbereitung der PP-10 anwesend.</w:t>
      </w:r>
    </w:p>
    <w:p w:rsidR="00317C15" w:rsidRPr="001911B0" w:rsidRDefault="00317C15" w:rsidP="0056641E">
      <w:pPr>
        <w:rPr>
          <w:lang w:val="da-DK"/>
        </w:rPr>
      </w:pPr>
    </w:p>
    <w:p w:rsidR="00317C15" w:rsidRPr="001911B0" w:rsidRDefault="00317C15" w:rsidP="00E72479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Der Vorsitzende der Com-ITU besucht regelmäßig die Sitzungen des ECC und informiert dort über die laufenden Arbeiten in der Com-ITU und ITU, die für den ECC von Interesse sind.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Weiterhin war er auf einer CERP-Sitzung vertreten und hat über die Arbeit der Com-ITU mit Schwerpunkt auf die Vorbereitungen zu den ITU-Konferenzen berichtet.</w:t>
      </w:r>
      <w:r w:rsidRPr="001911B0">
        <w:rPr>
          <w:szCs w:val="24"/>
          <w:lang w:val="da-DK"/>
        </w:rPr>
        <w:t xml:space="preserve"> </w:t>
      </w:r>
    </w:p>
    <w:p w:rsidR="00317C15" w:rsidRPr="001911B0" w:rsidRDefault="00317C15" w:rsidP="0005768E">
      <w:pPr>
        <w:rPr>
          <w:b/>
          <w:lang w:val="da-DK"/>
        </w:rPr>
      </w:pPr>
    </w:p>
    <w:p w:rsidR="00317C15" w:rsidRPr="001911B0" w:rsidRDefault="00317C15" w:rsidP="0005768E">
      <w:pPr>
        <w:rPr>
          <w:b/>
          <w:lang w:val="da-DK"/>
        </w:rPr>
      </w:pPr>
    </w:p>
    <w:p w:rsidR="00317C15" w:rsidRDefault="00317C15" w:rsidP="00E72479">
      <w:pPr>
        <w:pStyle w:val="ListParagraph"/>
        <w:numPr>
          <w:ilvl w:val="0"/>
          <w:numId w:val="10"/>
        </w:numPr>
        <w:spacing w:line="280" w:lineRule="auto"/>
        <w:rPr>
          <w:b/>
          <w:szCs w:val="24"/>
        </w:rPr>
      </w:pPr>
      <w:r>
        <w:rPr>
          <w:b/>
          <w:szCs w:val="24"/>
          <w:lang w:val="de-DE"/>
        </w:rPr>
        <w:t xml:space="preserve">Vorbereitung für die ITU-Konferenzen im Jahr 2010 </w:t>
      </w:r>
    </w:p>
    <w:p w:rsidR="00317C15" w:rsidRPr="00645709" w:rsidRDefault="00317C15" w:rsidP="00CF63BC">
      <w:pPr>
        <w:pStyle w:val="ListParagraph"/>
        <w:ind w:left="360"/>
        <w:rPr>
          <w:b/>
        </w:rPr>
      </w:pPr>
    </w:p>
    <w:p w:rsidR="00317C15" w:rsidRDefault="00317C15" w:rsidP="00E72479">
      <w:pPr>
        <w:spacing w:line="280" w:lineRule="auto"/>
        <w:rPr>
          <w:szCs w:val="24"/>
        </w:rPr>
      </w:pPr>
      <w:r>
        <w:rPr>
          <w:szCs w:val="24"/>
          <w:lang w:val="de-DE"/>
        </w:rPr>
        <w:t>Während des Zeitraums 2009 – 2012 hat die Com-ITU Vorbereitungen für die Bevollmächtigtenkonferenz (PP-10) im Jahr 2010 sowie die Weltkonferenz zur Telekommunikationsentwicklung (WTDC-10) im Jahr 2010 getroffen.</w:t>
      </w:r>
      <w:r>
        <w:rPr>
          <w:szCs w:val="24"/>
        </w:rPr>
        <w:t xml:space="preserve"> </w:t>
      </w:r>
    </w:p>
    <w:p w:rsidR="00317C15" w:rsidRDefault="00317C15" w:rsidP="0005768E"/>
    <w:p w:rsidR="00317C15" w:rsidRDefault="00317C15" w:rsidP="00E72479">
      <w:pPr>
        <w:spacing w:line="280" w:lineRule="auto"/>
        <w:rPr>
          <w:szCs w:val="24"/>
        </w:rPr>
      </w:pPr>
      <w:r>
        <w:rPr>
          <w:szCs w:val="24"/>
          <w:lang w:val="de-DE"/>
        </w:rPr>
        <w:t xml:space="preserve">Die Vorbereitungen für die WTDC-10 wurden in einem eigens zu diesem Zweck gegründeten Projektteam durchgeführt; die Vorbereitungen für die PP-10 erledigten drei Projektteams, die sich mit den Überprüfungen von CS (Konstitution bzw. Verfassung) und CV (Konvention bzw. Abkommen), finanziellen und personellen Angelegenheiten sowie Internet- und sonstigen Problemen befassen. </w:t>
      </w:r>
    </w:p>
    <w:p w:rsidR="00317C15" w:rsidRDefault="00317C15" w:rsidP="0005768E"/>
    <w:p w:rsidR="00317C15" w:rsidRPr="001911B0" w:rsidRDefault="00317C15" w:rsidP="00E72479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Die Projektteams für beide Konferenzen fertigten einen Entwurf für gemeinsame europäische Vorschläge (ECP) sowie CEPT-Kurzberichte für beide Konferenzen an.</w:t>
      </w:r>
      <w:r>
        <w:rPr>
          <w:szCs w:val="24"/>
        </w:rPr>
        <w:t xml:space="preserve"> </w:t>
      </w:r>
      <w:r>
        <w:rPr>
          <w:szCs w:val="24"/>
          <w:lang w:val="de-DE"/>
        </w:rPr>
        <w:t>Die endgültige Genehmigung der Vorschläge erfolgte auf den Plenarsitzungen der Com-ITU.</w:t>
      </w:r>
    </w:p>
    <w:p w:rsidR="00317C15" w:rsidRPr="001911B0" w:rsidRDefault="00317C15" w:rsidP="0005768E">
      <w:pPr>
        <w:rPr>
          <w:lang w:val="da-DK"/>
        </w:rPr>
      </w:pPr>
    </w:p>
    <w:p w:rsidR="00317C15" w:rsidRPr="001911B0" w:rsidRDefault="00317C15" w:rsidP="00E72479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Die Koordinierungssitzungen der CEPT fanden bei zahlreichen Gelegenheiten sowohl auf der WTDC-10 als auch der PP-10 statt.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Ein separater Bericht über die Vorbereitungen zur und die Ergebnisse der PP-10 wurde von der Com-ITU erstellt.</w:t>
      </w:r>
      <w:r w:rsidRPr="001911B0">
        <w:rPr>
          <w:szCs w:val="24"/>
          <w:lang w:val="da-DK"/>
        </w:rPr>
        <w:t xml:space="preserve"> </w:t>
      </w:r>
    </w:p>
    <w:p w:rsidR="00317C15" w:rsidRPr="001911B0" w:rsidRDefault="00317C15" w:rsidP="0005768E">
      <w:pPr>
        <w:rPr>
          <w:lang w:val="da-DK"/>
        </w:rPr>
      </w:pPr>
    </w:p>
    <w:p w:rsidR="00317C15" w:rsidRPr="001911B0" w:rsidRDefault="00317C15" w:rsidP="0005768E">
      <w:pPr>
        <w:rPr>
          <w:lang w:val="da-DK"/>
        </w:rPr>
      </w:pPr>
    </w:p>
    <w:p w:rsidR="00317C15" w:rsidRPr="001911B0" w:rsidRDefault="00317C15" w:rsidP="0005768E">
      <w:pPr>
        <w:rPr>
          <w:lang w:val="da-DK"/>
        </w:rPr>
      </w:pPr>
    </w:p>
    <w:p w:rsidR="00317C15" w:rsidRDefault="00317C15" w:rsidP="00E72479">
      <w:pPr>
        <w:pStyle w:val="ListParagraph"/>
        <w:numPr>
          <w:ilvl w:val="0"/>
          <w:numId w:val="10"/>
        </w:numPr>
        <w:spacing w:line="280" w:lineRule="auto"/>
        <w:rPr>
          <w:b/>
          <w:szCs w:val="24"/>
        </w:rPr>
      </w:pPr>
      <w:r>
        <w:rPr>
          <w:b/>
          <w:szCs w:val="24"/>
          <w:lang w:val="de-DE"/>
        </w:rPr>
        <w:lastRenderedPageBreak/>
        <w:t xml:space="preserve">Vorbereitung für die ITU-Konferenzen im Jahr 2012 </w:t>
      </w:r>
    </w:p>
    <w:p w:rsidR="00317C15" w:rsidRDefault="00317C15" w:rsidP="0005768E"/>
    <w:p w:rsidR="00317C15" w:rsidRDefault="00317C15" w:rsidP="00E72479">
      <w:pPr>
        <w:spacing w:line="280" w:lineRule="auto"/>
        <w:rPr>
          <w:szCs w:val="24"/>
        </w:rPr>
      </w:pPr>
      <w:r>
        <w:rPr>
          <w:szCs w:val="24"/>
          <w:lang w:val="de-DE"/>
        </w:rPr>
        <w:t>Die Com-ITU hat mit den Vorbereitungen für die Weltstandardisierungsversammlung</w:t>
      </w:r>
      <w:r>
        <w:rPr>
          <w:rFonts w:ascii="Arial" w:hAnsi="Arial"/>
          <w:sz w:val="24"/>
          <w:szCs w:val="24"/>
          <w:lang w:val="de-DE"/>
        </w:rPr>
        <w:t xml:space="preserve"> </w:t>
      </w:r>
      <w:r>
        <w:rPr>
          <w:color w:val="000000"/>
          <w:szCs w:val="24"/>
          <w:lang w:val="de-DE"/>
        </w:rPr>
        <w:t>2012 (</w:t>
      </w:r>
      <w:r>
        <w:rPr>
          <w:szCs w:val="24"/>
          <w:lang w:val="de-DE"/>
        </w:rPr>
        <w:t xml:space="preserve">World Telecommunications Standardisation Conference 2012 – WTSA-12) sowie für die ebenfalls im Jahr 2012 stattfindende </w:t>
      </w:r>
      <w:r>
        <w:rPr>
          <w:color w:val="000000"/>
          <w:szCs w:val="24"/>
          <w:lang w:val="de-DE"/>
        </w:rPr>
        <w:t>Weltkonferenz für Internationale Telekommunikation</w:t>
      </w:r>
      <w:r>
        <w:rPr>
          <w:rFonts w:ascii="Arial" w:hAnsi="Arial"/>
          <w:color w:val="000000"/>
          <w:sz w:val="18"/>
          <w:szCs w:val="24"/>
          <w:lang w:val="de-DE"/>
        </w:rPr>
        <w:t xml:space="preserve"> (</w:t>
      </w:r>
      <w:r>
        <w:rPr>
          <w:szCs w:val="24"/>
          <w:lang w:val="de-DE"/>
        </w:rPr>
        <w:t>World Conference on International Telecommunications – WCIT) begonnen.</w:t>
      </w:r>
      <w:r>
        <w:rPr>
          <w:szCs w:val="24"/>
        </w:rPr>
        <w:t xml:space="preserve"> </w:t>
      </w:r>
      <w:r>
        <w:rPr>
          <w:szCs w:val="24"/>
          <w:lang w:val="de-DE"/>
        </w:rPr>
        <w:t>Die Vorbereitungen für beide Konferenzen werden von der Com-ITU ohne die Bildung spezieller Projektteams durchgeführt.</w:t>
      </w:r>
    </w:p>
    <w:p w:rsidR="00317C15" w:rsidRDefault="00317C15" w:rsidP="0005768E"/>
    <w:p w:rsidR="00317C15" w:rsidRDefault="00317C15" w:rsidP="00E72479">
      <w:pPr>
        <w:spacing w:line="280" w:lineRule="auto"/>
        <w:rPr>
          <w:szCs w:val="24"/>
        </w:rPr>
      </w:pPr>
      <w:r>
        <w:rPr>
          <w:szCs w:val="24"/>
          <w:lang w:val="de-DE"/>
        </w:rPr>
        <w:t>Eines der wichtigeren Themen für die WTSA-12 wäre die Struktur der ITU-T Studiengruppen für den Studienzeitraum 2012 - 2016, die den schnellen Wandel im Standardisierungsbereich sowie den „Wettbewerb“ in neuen Standardisierungsforen außerhalb der ITU berücksichtigt.</w:t>
      </w:r>
    </w:p>
    <w:p w:rsidR="00317C15" w:rsidRDefault="00317C15" w:rsidP="0005768E"/>
    <w:p w:rsidR="00317C15" w:rsidRPr="001911B0" w:rsidRDefault="00317C15" w:rsidP="00E72479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Auf der WCIT-12 werden die internationalen Telekommunikationsregelungen (ITR) aus dem Jahr 1988 überprüft.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Die ITR bilden einen der zwei Verwaltungsrahmenwerke innerhalb der ITU.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Die bestehenden ITR sind „veraltet“ und müssen überarbeitet werden.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Die Com-ITU hat eine Reihe von Grundsätzen für die künftigen Vorbereitungen der WCIT-12 erstellt:</w:t>
      </w:r>
    </w:p>
    <w:p w:rsidR="00317C15" w:rsidRPr="001911B0" w:rsidRDefault="00317C15" w:rsidP="0005768E">
      <w:pPr>
        <w:rPr>
          <w:lang w:val="da-DK"/>
        </w:rPr>
      </w:pPr>
    </w:p>
    <w:p w:rsidR="00317C15" w:rsidRPr="001911B0" w:rsidRDefault="00317C15" w:rsidP="00E72479">
      <w:pPr>
        <w:pStyle w:val="ListParagraph"/>
        <w:numPr>
          <w:ilvl w:val="0"/>
          <w:numId w:val="19"/>
        </w:num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Allgemeine Erfüllung der wichtigsten, im CEPT-Beitrag 35 erwähnten Grundsätze</w:t>
      </w:r>
    </w:p>
    <w:p w:rsidR="00317C15" w:rsidRPr="001911B0" w:rsidRDefault="00317C15" w:rsidP="00E72479">
      <w:pPr>
        <w:pStyle w:val="ListParagraph"/>
        <w:numPr>
          <w:ilvl w:val="0"/>
          <w:numId w:val="19"/>
        </w:num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 xml:space="preserve">Einhaltung von Präambel und Artikel 1 der ITU-Verfassung (CS) </w:t>
      </w:r>
    </w:p>
    <w:p w:rsidR="00317C15" w:rsidRDefault="00317C15" w:rsidP="00E72479">
      <w:pPr>
        <w:pStyle w:val="ListParagraph"/>
        <w:numPr>
          <w:ilvl w:val="0"/>
          <w:numId w:val="19"/>
        </w:numPr>
        <w:spacing w:line="280" w:lineRule="auto"/>
        <w:rPr>
          <w:szCs w:val="24"/>
        </w:rPr>
      </w:pPr>
      <w:r>
        <w:rPr>
          <w:szCs w:val="24"/>
          <w:lang w:val="de-DE"/>
        </w:rPr>
        <w:t>Einhaltung von internationalen, von CEPT-Mitgliedern beschlossen Vereinbarungen / Gesetzen</w:t>
      </w:r>
    </w:p>
    <w:p w:rsidR="00317C15" w:rsidRDefault="00317C15" w:rsidP="00E72479">
      <w:pPr>
        <w:pStyle w:val="ListParagraph"/>
        <w:numPr>
          <w:ilvl w:val="0"/>
          <w:numId w:val="19"/>
        </w:numPr>
        <w:spacing w:line="280" w:lineRule="auto"/>
        <w:rPr>
          <w:szCs w:val="24"/>
        </w:rPr>
      </w:pPr>
      <w:r>
        <w:rPr>
          <w:szCs w:val="24"/>
          <w:lang w:val="de-DE"/>
        </w:rPr>
        <w:t>Bereiche in Bezug auf die Anwendung von rechtlichen oder politischen Regelungen seitens der Mitgliedsländer, die innerhalb ihres Hoheitsrechts liegen</w:t>
      </w:r>
    </w:p>
    <w:p w:rsidR="00317C15" w:rsidRPr="001911B0" w:rsidRDefault="00317C15" w:rsidP="00E72479">
      <w:pPr>
        <w:pStyle w:val="ListParagraph"/>
        <w:numPr>
          <w:ilvl w:val="0"/>
          <w:numId w:val="19"/>
        </w:num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Ausschluss von Bereichen, die nicht in Zusammenhang mit Zweck und Umfang der Internationalen Telekommunikationsregelungen (ITR) stehen</w:t>
      </w:r>
    </w:p>
    <w:p w:rsidR="00317C15" w:rsidRPr="001911B0" w:rsidRDefault="00317C15" w:rsidP="0005768E">
      <w:pPr>
        <w:rPr>
          <w:lang w:val="da-DK"/>
        </w:rPr>
      </w:pPr>
    </w:p>
    <w:p w:rsidR="00317C15" w:rsidRDefault="00317C15" w:rsidP="00E72479">
      <w:pPr>
        <w:pStyle w:val="ListParagraph"/>
        <w:numPr>
          <w:ilvl w:val="0"/>
          <w:numId w:val="10"/>
        </w:numPr>
        <w:spacing w:line="280" w:lineRule="auto"/>
        <w:rPr>
          <w:b/>
          <w:szCs w:val="24"/>
        </w:rPr>
      </w:pPr>
      <w:r>
        <w:rPr>
          <w:b/>
          <w:szCs w:val="24"/>
          <w:lang w:val="de-DE"/>
        </w:rPr>
        <w:t>Vorbereitung für den ITU-Rat</w:t>
      </w:r>
    </w:p>
    <w:p w:rsidR="00317C15" w:rsidRDefault="00317C15" w:rsidP="00F66D6C">
      <w:pPr>
        <w:pStyle w:val="ListParagraph"/>
        <w:ind w:left="360"/>
        <w:rPr>
          <w:b/>
        </w:rPr>
      </w:pPr>
    </w:p>
    <w:p w:rsidR="00317C15" w:rsidRDefault="00317C15" w:rsidP="001F2BFF">
      <w:pPr>
        <w:spacing w:line="280" w:lineRule="auto"/>
        <w:rPr>
          <w:szCs w:val="24"/>
        </w:rPr>
      </w:pPr>
      <w:r>
        <w:rPr>
          <w:szCs w:val="24"/>
          <w:lang w:val="de-DE"/>
        </w:rPr>
        <w:t>Eine weitere Aufgabe der Com-ITU sind die Vorbereitungen für den ITU-Rat und dessen Arbeitsgruppen (CWG).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Der Rat trifft sich einmal pro Jahr und die CWG zwei bis drei Mal pro Jahr.</w:t>
      </w:r>
      <w:r>
        <w:rPr>
          <w:szCs w:val="24"/>
        </w:rPr>
        <w:t xml:space="preserve"> </w:t>
      </w:r>
    </w:p>
    <w:p w:rsidR="00317C15" w:rsidRDefault="00317C15" w:rsidP="00F66D6C"/>
    <w:p w:rsidR="00317C15" w:rsidRPr="001911B0" w:rsidRDefault="00317C15" w:rsidP="001F2BFF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Die Com-ITU ermöglicht den Austausch von Ansichten zwischen den Ratsmitgliedern und Nicht-Ratsmitgliedern bezüglich vieler Themen, die auf den Ratssitzungen besprochen werden.</w:t>
      </w:r>
      <w:r>
        <w:rPr>
          <w:szCs w:val="24"/>
        </w:rPr>
        <w:t xml:space="preserve"> </w:t>
      </w:r>
      <w:r>
        <w:rPr>
          <w:szCs w:val="24"/>
          <w:lang w:val="de-DE"/>
        </w:rPr>
        <w:t>Üblicherweise findet dieser Gedankenaustausch einen Tag vor der Ratssitzung auf informeller Ebene statt.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Die Com-ITU bietet außerdem die Gelegenheit, Sichtweisen über die Arbeit der CWG vorzubereiten und auszutauschen.</w:t>
      </w:r>
      <w:r w:rsidRPr="001911B0">
        <w:rPr>
          <w:szCs w:val="24"/>
          <w:lang w:val="da-DK"/>
        </w:rPr>
        <w:t xml:space="preserve"> </w:t>
      </w:r>
      <w:r>
        <w:rPr>
          <w:szCs w:val="24"/>
          <w:lang w:val="de-DE"/>
        </w:rPr>
        <w:t>Wenn dies auf den Com-ITU-Sitzungen nicht möglich ist, arrangiert der CEPT-Koordinator für die spezielle Gruppe üblicherweise eine kurze Koordinierungssitzung während der CWG.</w:t>
      </w:r>
    </w:p>
    <w:p w:rsidR="00317C15" w:rsidRPr="001911B0" w:rsidRDefault="00317C15" w:rsidP="0005768E">
      <w:pPr>
        <w:rPr>
          <w:lang w:val="da-DK"/>
        </w:rPr>
      </w:pPr>
    </w:p>
    <w:p w:rsidR="00317C15" w:rsidRDefault="00317C15" w:rsidP="001F2BFF">
      <w:pPr>
        <w:pStyle w:val="ListParagraph"/>
        <w:numPr>
          <w:ilvl w:val="0"/>
          <w:numId w:val="10"/>
        </w:numPr>
        <w:spacing w:line="280" w:lineRule="auto"/>
        <w:rPr>
          <w:b/>
          <w:szCs w:val="24"/>
        </w:rPr>
      </w:pPr>
      <w:r>
        <w:rPr>
          <w:b/>
          <w:szCs w:val="24"/>
          <w:lang w:val="de-DE"/>
        </w:rPr>
        <w:t>Elektronische Arbeitsmethoden</w:t>
      </w:r>
    </w:p>
    <w:p w:rsidR="00317C15" w:rsidRDefault="00317C15"/>
    <w:p w:rsidR="00317C15" w:rsidRPr="001911B0" w:rsidRDefault="00317C15" w:rsidP="001F2BFF">
      <w:pPr>
        <w:spacing w:line="280" w:lineRule="auto"/>
        <w:rPr>
          <w:szCs w:val="24"/>
          <w:lang w:val="da-DK"/>
        </w:rPr>
      </w:pPr>
      <w:r>
        <w:rPr>
          <w:szCs w:val="24"/>
          <w:lang w:val="de-DE"/>
        </w:rPr>
        <w:t>Die Com-ITU hat die Entwicklung von elektronischen Arbeitsmethoden durch das Büro befolgt.</w:t>
      </w:r>
      <w:r>
        <w:rPr>
          <w:szCs w:val="24"/>
        </w:rPr>
        <w:t xml:space="preserve"> </w:t>
      </w:r>
      <w:r>
        <w:rPr>
          <w:szCs w:val="24"/>
          <w:lang w:val="de-DE"/>
        </w:rPr>
        <w:t>Diese Methoden ergänzen bestehende elektronische Arbeitsinstrumente und umfassen u. a. die Verwendung von E-Mail-Reflektoren, den webseitenbasierten Dokumentenserver und die Kalenderplanung.</w:t>
      </w:r>
    </w:p>
    <w:p w:rsidR="00317C15" w:rsidRPr="001911B0" w:rsidRDefault="00317C15">
      <w:pPr>
        <w:rPr>
          <w:lang w:val="da-DK"/>
        </w:rPr>
      </w:pPr>
    </w:p>
    <w:p w:rsidR="00317C15" w:rsidRDefault="00317C15" w:rsidP="001F2BFF">
      <w:pPr>
        <w:spacing w:line="280" w:lineRule="auto"/>
      </w:pPr>
      <w:r>
        <w:rPr>
          <w:szCs w:val="24"/>
          <w:lang w:val="de-DE"/>
        </w:rPr>
        <w:t>Die Com-ITU wird auch weiterhin ihre Nutzung elektronischer Arbeitsmethoden überwachen und fördern.</w:t>
      </w:r>
    </w:p>
    <w:sectPr w:rsidR="00317C15" w:rsidSect="0058390E">
      <w:footerReference w:type="default" r:id="rId9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15" w:rsidRDefault="00317C15" w:rsidP="00BC3E4D">
      <w:pPr>
        <w:spacing w:line="240" w:lineRule="auto"/>
      </w:pPr>
      <w:r>
        <w:separator/>
      </w:r>
    </w:p>
  </w:endnote>
  <w:endnote w:type="continuationSeparator" w:id="0">
    <w:p w:rsidR="00317C15" w:rsidRDefault="00317C15" w:rsidP="00BC3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15" w:rsidRDefault="001911B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17C15" w:rsidRDefault="00317C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15" w:rsidRDefault="00317C15" w:rsidP="00BC3E4D">
      <w:pPr>
        <w:spacing w:line="240" w:lineRule="auto"/>
      </w:pPr>
      <w:r>
        <w:separator/>
      </w:r>
    </w:p>
  </w:footnote>
  <w:footnote w:type="continuationSeparator" w:id="0">
    <w:p w:rsidR="00317C15" w:rsidRDefault="00317C15" w:rsidP="00BC3E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B95"/>
    <w:multiLevelType w:val="hybridMultilevel"/>
    <w:tmpl w:val="C2A2319E"/>
    <w:lvl w:ilvl="0" w:tplc="5CF6C27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6B0C40"/>
    <w:multiLevelType w:val="hybridMultilevel"/>
    <w:tmpl w:val="2970FCBC"/>
    <w:lvl w:ilvl="0" w:tplc="FA2AD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726FF"/>
    <w:multiLevelType w:val="hybridMultilevel"/>
    <w:tmpl w:val="8A206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72FF3"/>
    <w:multiLevelType w:val="hybridMultilevel"/>
    <w:tmpl w:val="63E8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93047"/>
    <w:multiLevelType w:val="hybridMultilevel"/>
    <w:tmpl w:val="C946223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3FE00CF"/>
    <w:multiLevelType w:val="hybridMultilevel"/>
    <w:tmpl w:val="813A0D6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224C5F"/>
    <w:multiLevelType w:val="hybridMultilevel"/>
    <w:tmpl w:val="35488630"/>
    <w:lvl w:ilvl="0" w:tplc="A5E85B70"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763400C"/>
    <w:multiLevelType w:val="hybridMultilevel"/>
    <w:tmpl w:val="BD9699BC"/>
    <w:lvl w:ilvl="0" w:tplc="D5A0E6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244DA"/>
    <w:multiLevelType w:val="hybridMultilevel"/>
    <w:tmpl w:val="E1C6E2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B07D8D"/>
    <w:multiLevelType w:val="hybridMultilevel"/>
    <w:tmpl w:val="C8308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92A0C"/>
    <w:multiLevelType w:val="hybridMultilevel"/>
    <w:tmpl w:val="51D24772"/>
    <w:lvl w:ilvl="0" w:tplc="D7C086F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B92DBC"/>
    <w:multiLevelType w:val="hybridMultilevel"/>
    <w:tmpl w:val="5D7CE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912B5"/>
    <w:multiLevelType w:val="hybridMultilevel"/>
    <w:tmpl w:val="4208A218"/>
    <w:lvl w:ilvl="0" w:tplc="A09C336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570A34"/>
    <w:multiLevelType w:val="hybridMultilevel"/>
    <w:tmpl w:val="3CF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30234"/>
    <w:multiLevelType w:val="hybridMultilevel"/>
    <w:tmpl w:val="460209C0"/>
    <w:lvl w:ilvl="0" w:tplc="231C2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341ED7"/>
    <w:multiLevelType w:val="hybridMultilevel"/>
    <w:tmpl w:val="CBB8DB0E"/>
    <w:lvl w:ilvl="0" w:tplc="4F803A1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162F04"/>
    <w:multiLevelType w:val="hybridMultilevel"/>
    <w:tmpl w:val="435EC5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1412B"/>
    <w:multiLevelType w:val="hybridMultilevel"/>
    <w:tmpl w:val="33244608"/>
    <w:lvl w:ilvl="0" w:tplc="0407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19D5EF6"/>
    <w:multiLevelType w:val="hybridMultilevel"/>
    <w:tmpl w:val="3AD0C65A"/>
    <w:lvl w:ilvl="0" w:tplc="4F803A1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0"/>
  </w:num>
  <w:num w:numId="14">
    <w:abstractNumId w:val="12"/>
  </w:num>
  <w:num w:numId="15">
    <w:abstractNumId w:val="8"/>
  </w:num>
  <w:num w:numId="16">
    <w:abstractNumId w:val="18"/>
  </w:num>
  <w:num w:numId="17">
    <w:abstractNumId w:val="15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1DC"/>
    <w:rsid w:val="00003401"/>
    <w:rsid w:val="00041A5D"/>
    <w:rsid w:val="0005768E"/>
    <w:rsid w:val="00107ECB"/>
    <w:rsid w:val="001104F6"/>
    <w:rsid w:val="00133D35"/>
    <w:rsid w:val="001611E3"/>
    <w:rsid w:val="001911B0"/>
    <w:rsid w:val="00194A0C"/>
    <w:rsid w:val="001C5275"/>
    <w:rsid w:val="001E10E4"/>
    <w:rsid w:val="001E3002"/>
    <w:rsid w:val="001F2BFF"/>
    <w:rsid w:val="00230557"/>
    <w:rsid w:val="002324A4"/>
    <w:rsid w:val="002448F3"/>
    <w:rsid w:val="002555C2"/>
    <w:rsid w:val="00296080"/>
    <w:rsid w:val="002B6A8F"/>
    <w:rsid w:val="002C42C7"/>
    <w:rsid w:val="002E2E3A"/>
    <w:rsid w:val="002E7FE3"/>
    <w:rsid w:val="00300276"/>
    <w:rsid w:val="003167D0"/>
    <w:rsid w:val="00317C15"/>
    <w:rsid w:val="00357453"/>
    <w:rsid w:val="00385FA8"/>
    <w:rsid w:val="003E0E98"/>
    <w:rsid w:val="004266D1"/>
    <w:rsid w:val="004274AB"/>
    <w:rsid w:val="004568EA"/>
    <w:rsid w:val="004A11BB"/>
    <w:rsid w:val="004B1FC5"/>
    <w:rsid w:val="004B72CA"/>
    <w:rsid w:val="004E1B84"/>
    <w:rsid w:val="005005DB"/>
    <w:rsid w:val="00520EC6"/>
    <w:rsid w:val="005217C4"/>
    <w:rsid w:val="00526845"/>
    <w:rsid w:val="00540071"/>
    <w:rsid w:val="0056641E"/>
    <w:rsid w:val="0058390E"/>
    <w:rsid w:val="00592F05"/>
    <w:rsid w:val="005E1DC1"/>
    <w:rsid w:val="005E4AEC"/>
    <w:rsid w:val="00614B44"/>
    <w:rsid w:val="00625E6C"/>
    <w:rsid w:val="00645709"/>
    <w:rsid w:val="00654E79"/>
    <w:rsid w:val="00655E95"/>
    <w:rsid w:val="006834C4"/>
    <w:rsid w:val="0069457F"/>
    <w:rsid w:val="006B23C0"/>
    <w:rsid w:val="006B246E"/>
    <w:rsid w:val="006E2982"/>
    <w:rsid w:val="0071775D"/>
    <w:rsid w:val="007436A6"/>
    <w:rsid w:val="007B73BB"/>
    <w:rsid w:val="007C1F5B"/>
    <w:rsid w:val="007F21DC"/>
    <w:rsid w:val="008648F9"/>
    <w:rsid w:val="00881E51"/>
    <w:rsid w:val="008F7C4C"/>
    <w:rsid w:val="009160C6"/>
    <w:rsid w:val="00917C68"/>
    <w:rsid w:val="00947D91"/>
    <w:rsid w:val="00951730"/>
    <w:rsid w:val="009915D0"/>
    <w:rsid w:val="009A31C6"/>
    <w:rsid w:val="009B39ED"/>
    <w:rsid w:val="00A20135"/>
    <w:rsid w:val="00A611AE"/>
    <w:rsid w:val="00A9484D"/>
    <w:rsid w:val="00AA79A7"/>
    <w:rsid w:val="00AC0B17"/>
    <w:rsid w:val="00AC40C3"/>
    <w:rsid w:val="00AC72F4"/>
    <w:rsid w:val="00B03492"/>
    <w:rsid w:val="00B703D7"/>
    <w:rsid w:val="00B86CBD"/>
    <w:rsid w:val="00BA02FF"/>
    <w:rsid w:val="00BA2BB5"/>
    <w:rsid w:val="00BB1156"/>
    <w:rsid w:val="00BC3E4D"/>
    <w:rsid w:val="00BD41AF"/>
    <w:rsid w:val="00C046AF"/>
    <w:rsid w:val="00C11B5C"/>
    <w:rsid w:val="00C953C1"/>
    <w:rsid w:val="00CD6E24"/>
    <w:rsid w:val="00CF63BC"/>
    <w:rsid w:val="00D05420"/>
    <w:rsid w:val="00D11489"/>
    <w:rsid w:val="00D144A6"/>
    <w:rsid w:val="00D22FB9"/>
    <w:rsid w:val="00D42952"/>
    <w:rsid w:val="00D970DE"/>
    <w:rsid w:val="00DA46EB"/>
    <w:rsid w:val="00DB5B76"/>
    <w:rsid w:val="00DD4654"/>
    <w:rsid w:val="00E004FC"/>
    <w:rsid w:val="00E32F7C"/>
    <w:rsid w:val="00E44B50"/>
    <w:rsid w:val="00E45F94"/>
    <w:rsid w:val="00E72479"/>
    <w:rsid w:val="00EA5A07"/>
    <w:rsid w:val="00EA6CF3"/>
    <w:rsid w:val="00EC48C5"/>
    <w:rsid w:val="00EC4AE3"/>
    <w:rsid w:val="00EE3521"/>
    <w:rsid w:val="00EF4EAD"/>
    <w:rsid w:val="00F0583C"/>
    <w:rsid w:val="00F175EE"/>
    <w:rsid w:val="00F273FA"/>
    <w:rsid w:val="00F351C5"/>
    <w:rsid w:val="00F66D6C"/>
    <w:rsid w:val="00F675E4"/>
    <w:rsid w:val="00FC1D59"/>
    <w:rsid w:val="00FE54D0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C6"/>
    <w:pPr>
      <w:spacing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21D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A6CF3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E004FC"/>
    <w:pPr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004FC"/>
    <w:rPr>
      <w:rFonts w:ascii="Courier New" w:hAnsi="Courier New" w:cs="Courier New"/>
      <w:sz w:val="20"/>
      <w:szCs w:val="20"/>
      <w:lang w:eastAsia="nl-NL"/>
    </w:rPr>
  </w:style>
  <w:style w:type="table" w:styleId="TableGrid">
    <w:name w:val="Table Grid"/>
    <w:basedOn w:val="TableNormal"/>
    <w:uiPriority w:val="99"/>
    <w:rsid w:val="00E004FC"/>
    <w:rPr>
      <w:rFonts w:ascii="Times New Roman" w:eastAsia="Batang" w:hAnsi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B03492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C3E4D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3E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3E4D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3E4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F4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4EAD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9A31C6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6291</Characters>
  <Application>Microsoft Office Word</Application>
  <DocSecurity>0</DocSecurity>
  <Lines>52</Lines>
  <Paragraphs>14</Paragraphs>
  <ScaleCrop>false</ScaleCrop>
  <Company>PTS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CEPT (11)04 -E</dc:title>
  <dc:subject/>
  <dc:creator>Mark Thomas</dc:creator>
  <cp:keywords/>
  <dc:description/>
  <cp:lastModifiedBy>Susanne Have</cp:lastModifiedBy>
  <cp:revision>4</cp:revision>
  <cp:lastPrinted>2011-11-01T08:12:00Z</cp:lastPrinted>
  <dcterms:created xsi:type="dcterms:W3CDTF">2011-11-08T15:53:00Z</dcterms:created>
  <dcterms:modified xsi:type="dcterms:W3CDTF">2011-11-10T12:13:00Z</dcterms:modified>
</cp:coreProperties>
</file>