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C4" w:rsidRPr="00C50625" w:rsidRDefault="006834C4">
      <w:pPr>
        <w:rPr>
          <w:b/>
          <w:lang w:val="fr-FR"/>
        </w:rPr>
      </w:pPr>
    </w:p>
    <w:p w:rsidR="006834C4" w:rsidRPr="00C50625" w:rsidRDefault="00A94E7B" w:rsidP="006834C4">
      <w:pPr>
        <w:jc w:val="right"/>
        <w:rPr>
          <w:rFonts w:ascii="Arial" w:eastAsia="Calibri" w:hAnsi="Arial" w:cs="Arial"/>
          <w:b/>
          <w:lang w:val="fr-FR"/>
        </w:rPr>
      </w:pPr>
      <w:r>
        <w:rPr>
          <w:rFonts w:ascii="Arial" w:hAnsi="Arial" w:cs="Arial"/>
          <w:b/>
          <w:lang w:val="fr-FR"/>
        </w:rPr>
        <w:t>CEPT (11)04 -F</w:t>
      </w:r>
    </w:p>
    <w:p w:rsidR="006834C4" w:rsidRPr="00C50625" w:rsidRDefault="00CC59EB" w:rsidP="006834C4">
      <w:pPr>
        <w:rPr>
          <w:rFonts w:ascii="Arial" w:eastAsia="Calibri" w:hAnsi="Arial" w:cs="Arial"/>
          <w:b/>
          <w:lang w:val="fr-FR"/>
        </w:rPr>
      </w:pPr>
      <w:r>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0692B2D8" wp14:editId="44E3B9C6">
                <wp:simplePos x="0" y="0"/>
                <wp:positionH relativeFrom="column">
                  <wp:posOffset>1076325</wp:posOffset>
                </wp:positionH>
                <wp:positionV relativeFrom="paragraph">
                  <wp:posOffset>253365</wp:posOffset>
                </wp:positionV>
                <wp:extent cx="2551430" cy="470535"/>
                <wp:effectExtent l="0" t="0" r="20320" b="254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470535"/>
                        </a:xfrm>
                        <a:prstGeom prst="rect">
                          <a:avLst/>
                        </a:prstGeom>
                        <a:solidFill>
                          <a:srgbClr val="FFFFFF"/>
                        </a:solidFill>
                        <a:ln w="9525">
                          <a:solidFill>
                            <a:srgbClr val="000000"/>
                          </a:solidFill>
                          <a:miter lim="800000"/>
                          <a:headEnd/>
                          <a:tailEnd/>
                        </a:ln>
                      </wps:spPr>
                      <wps:txbx>
                        <w:txbxContent>
                          <w:p w:rsidR="00CC59EB" w:rsidRPr="00625E6C" w:rsidRDefault="00CC59EB" w:rsidP="00CC59EB">
                            <w:pPr>
                              <w:rPr>
                                <w:rFonts w:ascii="Arial" w:hAnsi="Arial" w:cs="Arial"/>
                                <w:b/>
                              </w:rPr>
                            </w:pPr>
                            <w:r>
                              <w:rPr>
                                <w:rFonts w:ascii="Arial" w:hAnsi="Arial" w:cs="Arial"/>
                                <w:b/>
                              </w:rPr>
                              <w:t>Assemblée de la CEPT</w:t>
                            </w:r>
                            <w:r w:rsidRPr="00625E6C">
                              <w:rPr>
                                <w:rFonts w:ascii="Arial" w:hAnsi="Arial" w:cs="Arial"/>
                                <w:b/>
                              </w:rPr>
                              <w:t xml:space="preserve">, </w:t>
                            </w:r>
                            <w:proofErr w:type="spellStart"/>
                            <w:r w:rsidRPr="00625E6C">
                              <w:rPr>
                                <w:rFonts w:ascii="Arial" w:hAnsi="Arial" w:cs="Arial"/>
                                <w:b/>
                              </w:rPr>
                              <w:t>Copenhag</w:t>
                            </w:r>
                            <w:r>
                              <w:rPr>
                                <w:rFonts w:ascii="Arial" w:hAnsi="Arial" w:cs="Arial"/>
                                <w:b/>
                              </w:rPr>
                              <w:t>u</w:t>
                            </w:r>
                            <w:r w:rsidRPr="00625E6C">
                              <w:rPr>
                                <w:rFonts w:ascii="Arial" w:hAnsi="Arial" w:cs="Arial"/>
                                <w:b/>
                              </w:rPr>
                              <w:t>e</w:t>
                            </w:r>
                            <w:proofErr w:type="spellEnd"/>
                            <w:r w:rsidRPr="00625E6C">
                              <w:rPr>
                                <w:rFonts w:ascii="Arial" w:hAnsi="Arial" w:cs="Arial"/>
                                <w:b/>
                              </w:rPr>
                              <w:t xml:space="preserve">, </w:t>
                            </w:r>
                            <w:r>
                              <w:rPr>
                                <w:rFonts w:ascii="Arial" w:hAnsi="Arial" w:cs="Arial"/>
                                <w:b/>
                              </w:rPr>
                              <w:t xml:space="preserve">le </w:t>
                            </w:r>
                            <w:r w:rsidRPr="00625E6C">
                              <w:rPr>
                                <w:rFonts w:ascii="Arial" w:hAnsi="Arial" w:cs="Arial"/>
                                <w:b/>
                              </w:rPr>
                              <w:t>19</w:t>
                            </w:r>
                            <w:r>
                              <w:rPr>
                                <w:rFonts w:ascii="Arial" w:hAnsi="Arial" w:cs="Arial"/>
                                <w:b/>
                              </w:rPr>
                              <w:t xml:space="preserve"> </w:t>
                            </w:r>
                            <w:proofErr w:type="spellStart"/>
                            <w:r>
                              <w:rPr>
                                <w:rFonts w:ascii="Arial" w:hAnsi="Arial" w:cs="Arial"/>
                                <w:b/>
                              </w:rPr>
                              <w:t>dé</w:t>
                            </w:r>
                            <w:r w:rsidRPr="00625E6C">
                              <w:rPr>
                                <w:rFonts w:ascii="Arial" w:hAnsi="Arial" w:cs="Arial"/>
                                <w:b/>
                              </w:rPr>
                              <w:t>cember</w:t>
                            </w:r>
                            <w:proofErr w:type="spellEnd"/>
                            <w:r w:rsidRPr="00625E6C">
                              <w:rPr>
                                <w:rFonts w:ascii="Arial" w:hAnsi="Arial" w:cs="Arial"/>
                                <w:b/>
                              </w:rPr>
                              <w:t xml:space="preserve"> 2011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84.75pt;margin-top:19.95pt;width:200.9pt;height:37.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">
                <v:textbox style="mso-fit-shape-to-text:t">
                  <w:txbxContent>
                    <w:p w:rsidR="00CC59EB" w:rsidRPr="00625E6C" w:rsidRDefault="00CC59EB" w:rsidP="00CC59EB">
                      <w:pPr>
                        <w:rPr>
                          <w:rFonts w:ascii="Arial" w:hAnsi="Arial" w:cs="Arial"/>
                          <w:b/>
                        </w:rPr>
                      </w:pPr>
                      <w:r>
                        <w:rPr>
                          <w:rFonts w:ascii="Arial" w:hAnsi="Arial" w:cs="Arial"/>
                          <w:b/>
                        </w:rPr>
                        <w:t>Assemblée de la CEPT</w:t>
                      </w:r>
                      <w:r w:rsidRPr="00625E6C">
                        <w:rPr>
                          <w:rFonts w:ascii="Arial" w:hAnsi="Arial" w:cs="Arial"/>
                          <w:b/>
                        </w:rPr>
                        <w:t xml:space="preserve">, </w:t>
                      </w:r>
                      <w:proofErr w:type="spellStart"/>
                      <w:r w:rsidRPr="00625E6C">
                        <w:rPr>
                          <w:rFonts w:ascii="Arial" w:hAnsi="Arial" w:cs="Arial"/>
                          <w:b/>
                        </w:rPr>
                        <w:t>Copenhag</w:t>
                      </w:r>
                      <w:r>
                        <w:rPr>
                          <w:rFonts w:ascii="Arial" w:hAnsi="Arial" w:cs="Arial"/>
                          <w:b/>
                        </w:rPr>
                        <w:t>u</w:t>
                      </w:r>
                      <w:r w:rsidRPr="00625E6C">
                        <w:rPr>
                          <w:rFonts w:ascii="Arial" w:hAnsi="Arial" w:cs="Arial"/>
                          <w:b/>
                        </w:rPr>
                        <w:t>e</w:t>
                      </w:r>
                      <w:proofErr w:type="spellEnd"/>
                      <w:r w:rsidRPr="00625E6C">
                        <w:rPr>
                          <w:rFonts w:ascii="Arial" w:hAnsi="Arial" w:cs="Arial"/>
                          <w:b/>
                        </w:rPr>
                        <w:t xml:space="preserve">, </w:t>
                      </w:r>
                      <w:r>
                        <w:rPr>
                          <w:rFonts w:ascii="Arial" w:hAnsi="Arial" w:cs="Arial"/>
                          <w:b/>
                        </w:rPr>
                        <w:t xml:space="preserve">le </w:t>
                      </w:r>
                      <w:r w:rsidRPr="00625E6C">
                        <w:rPr>
                          <w:rFonts w:ascii="Arial" w:hAnsi="Arial" w:cs="Arial"/>
                          <w:b/>
                        </w:rPr>
                        <w:t>19</w:t>
                      </w:r>
                      <w:r>
                        <w:rPr>
                          <w:rFonts w:ascii="Arial" w:hAnsi="Arial" w:cs="Arial"/>
                          <w:b/>
                        </w:rPr>
                        <w:t xml:space="preserve"> </w:t>
                      </w:r>
                      <w:proofErr w:type="spellStart"/>
                      <w:r>
                        <w:rPr>
                          <w:rFonts w:ascii="Arial" w:hAnsi="Arial" w:cs="Arial"/>
                          <w:b/>
                        </w:rPr>
                        <w:t>dé</w:t>
                      </w:r>
                      <w:r w:rsidRPr="00625E6C">
                        <w:rPr>
                          <w:rFonts w:ascii="Arial" w:hAnsi="Arial" w:cs="Arial"/>
                          <w:b/>
                        </w:rPr>
                        <w:t>cember</w:t>
                      </w:r>
                      <w:proofErr w:type="spellEnd"/>
                      <w:r w:rsidRPr="00625E6C">
                        <w:rPr>
                          <w:rFonts w:ascii="Arial" w:hAnsi="Arial" w:cs="Arial"/>
                          <w:b/>
                        </w:rPr>
                        <w:t xml:space="preserve"> 2011</w:t>
                      </w:r>
                    </w:p>
                  </w:txbxContent>
                </v:textbox>
              </v:shape>
            </w:pict>
          </mc:Fallback>
        </mc:AlternateContent>
      </w:r>
      <w:r w:rsidR="006834C4" w:rsidRPr="00C50625">
        <w:rPr>
          <w:rFonts w:ascii="Calibri" w:eastAsia="Calibri" w:hAnsi="Calibri" w:cs="Times New Roman"/>
          <w:b/>
          <w:noProof/>
          <w:lang w:eastAsia="en-GB"/>
        </w:rPr>
        <w:drawing>
          <wp:inline distT="0" distB="0" distL="0" distR="0" wp14:anchorId="31F545F1" wp14:editId="2988F7AF">
            <wp:extent cx="7143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006834C4" w:rsidRPr="00C50625">
        <w:rPr>
          <w:rFonts w:ascii="Arial" w:hAnsi="Arial" w:cs="Arial"/>
          <w:b/>
          <w:lang w:val="fr-FR"/>
        </w:rPr>
        <w:t xml:space="preserve"> </w:t>
      </w:r>
      <w:r w:rsidR="006834C4" w:rsidRPr="00C50625">
        <w:rPr>
          <w:rFonts w:ascii="Arial" w:hAnsi="Arial" w:cs="Arial"/>
          <w:b/>
          <w:lang w:val="fr-FR"/>
        </w:rPr>
        <w:tab/>
      </w:r>
      <w:r w:rsidR="006834C4" w:rsidRPr="00C50625">
        <w:rPr>
          <w:rFonts w:ascii="Arial" w:hAnsi="Arial" w:cs="Arial"/>
          <w:b/>
          <w:lang w:val="fr-FR"/>
        </w:rPr>
        <w:tab/>
      </w:r>
      <w:r w:rsidR="006834C4" w:rsidRPr="00C50625">
        <w:rPr>
          <w:rFonts w:ascii="Arial" w:hAnsi="Arial" w:cs="Arial"/>
          <w:b/>
          <w:lang w:val="fr-FR"/>
        </w:rPr>
        <w:tab/>
      </w:r>
      <w:r w:rsidR="006834C4" w:rsidRPr="00C50625">
        <w:rPr>
          <w:rFonts w:ascii="Arial" w:hAnsi="Arial" w:cs="Arial"/>
          <w:b/>
          <w:lang w:val="fr-FR"/>
        </w:rPr>
        <w:tab/>
      </w:r>
      <w:r w:rsidR="006834C4" w:rsidRPr="00C50625">
        <w:rPr>
          <w:rFonts w:ascii="Arial" w:hAnsi="Arial" w:cs="Arial"/>
          <w:b/>
          <w:lang w:val="fr-FR"/>
        </w:rPr>
        <w:tab/>
      </w:r>
      <w:r w:rsidR="006834C4" w:rsidRPr="00C50625">
        <w:rPr>
          <w:rFonts w:ascii="Arial" w:hAnsi="Arial" w:cs="Arial"/>
          <w:b/>
          <w:lang w:val="fr-FR"/>
        </w:rPr>
        <w:tab/>
      </w:r>
      <w:r w:rsidR="006834C4" w:rsidRPr="00C50625">
        <w:rPr>
          <w:rFonts w:ascii="Arial" w:hAnsi="Arial" w:cs="Arial"/>
          <w:b/>
          <w:lang w:val="fr-FR"/>
        </w:rPr>
        <w:tab/>
      </w:r>
      <w:r w:rsidR="006834C4" w:rsidRPr="00C50625">
        <w:rPr>
          <w:rFonts w:ascii="Arial" w:hAnsi="Arial" w:cs="Arial"/>
          <w:b/>
          <w:lang w:val="fr-FR"/>
        </w:rPr>
        <w:tab/>
      </w:r>
      <w:r w:rsidR="006834C4" w:rsidRPr="00C50625">
        <w:rPr>
          <w:rFonts w:ascii="Arial" w:hAnsi="Arial" w:cs="Arial"/>
          <w:b/>
          <w:lang w:val="fr-FR"/>
        </w:rPr>
        <w:tab/>
        <w:t xml:space="preserve">       </w:t>
      </w:r>
    </w:p>
    <w:p w:rsidR="006834C4" w:rsidRPr="00C50625" w:rsidRDefault="006834C4" w:rsidP="006834C4">
      <w:pPr>
        <w:jc w:val="center"/>
        <w:rPr>
          <w:rFonts w:ascii="Arial" w:eastAsia="Calibri" w:hAnsi="Arial" w:cs="Arial"/>
          <w:b/>
          <w:lang w:val="fr-FR"/>
        </w:rPr>
      </w:pPr>
    </w:p>
    <w:p w:rsidR="00CC59EB" w:rsidRDefault="00CC59EB" w:rsidP="006834C4">
      <w:pPr>
        <w:jc w:val="center"/>
        <w:rPr>
          <w:rFonts w:ascii="Arial" w:hAnsi="Arial" w:cs="Arial"/>
          <w:b/>
          <w:lang w:val="fr-FR"/>
        </w:rPr>
      </w:pPr>
    </w:p>
    <w:p w:rsidR="006834C4" w:rsidRPr="00C50625" w:rsidRDefault="006834C4" w:rsidP="006834C4">
      <w:pPr>
        <w:jc w:val="center"/>
        <w:rPr>
          <w:rFonts w:ascii="Arial" w:eastAsia="Calibri" w:hAnsi="Arial" w:cs="Arial"/>
          <w:b/>
          <w:lang w:val="fr-FR"/>
        </w:rPr>
      </w:pPr>
      <w:r w:rsidRPr="00C50625">
        <w:rPr>
          <w:rFonts w:ascii="Arial" w:hAnsi="Arial" w:cs="Arial"/>
          <w:b/>
          <w:lang w:val="fr-FR"/>
        </w:rPr>
        <w:t>Rapport du Com-ITU à l’Assemblée de la CEPT</w:t>
      </w:r>
    </w:p>
    <w:p w:rsidR="006834C4" w:rsidRPr="00C50625" w:rsidRDefault="00947D91" w:rsidP="006834C4">
      <w:pPr>
        <w:jc w:val="center"/>
        <w:rPr>
          <w:rFonts w:ascii="Arial" w:eastAsia="Calibri" w:hAnsi="Arial" w:cs="Arial"/>
          <w:lang w:val="fr-FR"/>
        </w:rPr>
      </w:pPr>
      <w:r w:rsidRPr="00C50625">
        <w:rPr>
          <w:rFonts w:ascii="Arial" w:hAnsi="Arial" w:cs="Arial"/>
          <w:b/>
          <w:lang w:val="fr-FR"/>
        </w:rPr>
        <w:t>1</w:t>
      </w:r>
      <w:r w:rsidRPr="00C50625">
        <w:rPr>
          <w:rFonts w:ascii="Arial" w:hAnsi="Arial" w:cs="Arial"/>
          <w:b/>
          <w:vertAlign w:val="superscript"/>
          <w:lang w:val="fr-FR"/>
        </w:rPr>
        <w:t>er</w:t>
      </w:r>
      <w:r w:rsidR="00C50625">
        <w:rPr>
          <w:rFonts w:ascii="Arial" w:hAnsi="Arial" w:cs="Arial"/>
          <w:b/>
          <w:lang w:val="fr-FR"/>
        </w:rPr>
        <w:t> </w:t>
      </w:r>
      <w:r w:rsidRPr="00C50625">
        <w:rPr>
          <w:rFonts w:ascii="Arial" w:hAnsi="Arial" w:cs="Arial"/>
          <w:b/>
          <w:lang w:val="fr-FR"/>
        </w:rPr>
        <w:t>novembre 2011</w:t>
      </w:r>
    </w:p>
    <w:p w:rsidR="006834C4" w:rsidRPr="00C50625" w:rsidRDefault="006834C4">
      <w:pPr>
        <w:rPr>
          <w:b/>
          <w:lang w:val="fr-FR"/>
        </w:rPr>
      </w:pPr>
    </w:p>
    <w:p w:rsidR="006834C4" w:rsidRPr="00C50625" w:rsidRDefault="006834C4">
      <w:pPr>
        <w:rPr>
          <w:b/>
          <w:lang w:val="fr-FR"/>
        </w:rPr>
      </w:pPr>
    </w:p>
    <w:p w:rsidR="002324A4" w:rsidRPr="00C50625" w:rsidRDefault="002324A4" w:rsidP="002324A4">
      <w:pPr>
        <w:pStyle w:val="ListParagraph"/>
        <w:numPr>
          <w:ilvl w:val="0"/>
          <w:numId w:val="10"/>
        </w:numPr>
        <w:rPr>
          <w:b/>
          <w:lang w:val="fr-FR"/>
        </w:rPr>
      </w:pPr>
      <w:bookmarkStart w:id="0" w:name="_GoBack"/>
      <w:bookmarkEnd w:id="0"/>
      <w:r w:rsidRPr="00C50625">
        <w:rPr>
          <w:rFonts w:ascii="Calibri" w:hAnsi="Calibri"/>
          <w:b/>
          <w:lang w:val="fr-FR"/>
        </w:rPr>
        <w:t>Introduction</w:t>
      </w:r>
    </w:p>
    <w:p w:rsidR="002324A4" w:rsidRPr="00C50625" w:rsidRDefault="002324A4">
      <w:pPr>
        <w:rPr>
          <w:lang w:val="fr-FR"/>
        </w:rPr>
      </w:pPr>
    </w:p>
    <w:p w:rsidR="008F7C4C" w:rsidRPr="00C50625" w:rsidRDefault="008F7C4C">
      <w:pPr>
        <w:rPr>
          <w:lang w:val="fr-FR"/>
        </w:rPr>
      </w:pPr>
      <w:r w:rsidRPr="00C50625">
        <w:rPr>
          <w:rFonts w:ascii="Calibri" w:hAnsi="Calibri"/>
          <w:lang w:val="fr-FR"/>
        </w:rPr>
        <w:t>Le présent rapport couvre la période courant du mois de mars 2009 (date de l’Assemblée extraordinaire de la CEPT qui a établi les arrangements actuels pour la Présidence) au mois d’octobre 2011.</w:t>
      </w:r>
    </w:p>
    <w:p w:rsidR="008F7C4C" w:rsidRPr="00C50625" w:rsidRDefault="008F7C4C">
      <w:pPr>
        <w:rPr>
          <w:lang w:val="fr-FR"/>
        </w:rPr>
      </w:pPr>
    </w:p>
    <w:p w:rsidR="004B72CA" w:rsidRPr="00C50625" w:rsidRDefault="00DD4654" w:rsidP="004B72CA">
      <w:pPr>
        <w:rPr>
          <w:b/>
          <w:lang w:val="fr-FR"/>
        </w:rPr>
      </w:pPr>
      <w:r w:rsidRPr="00C50625">
        <w:rPr>
          <w:rFonts w:ascii="Calibri" w:hAnsi="Calibri"/>
          <w:lang w:val="fr-FR"/>
        </w:rPr>
        <w:t>L</w:t>
      </w:r>
      <w:r w:rsidR="007A2598">
        <w:rPr>
          <w:rFonts w:ascii="Calibri" w:hAnsi="Calibri"/>
          <w:lang w:val="fr-FR"/>
        </w:rPr>
        <w:t>a</w:t>
      </w:r>
      <w:r w:rsidR="002B44B1">
        <w:rPr>
          <w:rFonts w:ascii="Calibri" w:hAnsi="Calibri"/>
          <w:lang w:val="fr-FR"/>
        </w:rPr>
        <w:t xml:space="preserve"> </w:t>
      </w:r>
      <w:r w:rsidRPr="00C50625">
        <w:rPr>
          <w:rFonts w:ascii="Calibri" w:hAnsi="Calibri"/>
          <w:lang w:val="fr-FR"/>
        </w:rPr>
        <w:t xml:space="preserve">Com-ITU s’est concentré sur les préparations des Conférences de l’UIT (exception faite du secteur R) et du Conseil de l’UIT.  </w:t>
      </w:r>
    </w:p>
    <w:p w:rsidR="00645709" w:rsidRPr="00C50625" w:rsidRDefault="00645709" w:rsidP="004B72CA">
      <w:pPr>
        <w:rPr>
          <w:highlight w:val="yellow"/>
          <w:lang w:val="fr-FR"/>
        </w:rPr>
      </w:pPr>
    </w:p>
    <w:p w:rsidR="00645709" w:rsidRPr="00C50625" w:rsidRDefault="00645709" w:rsidP="00645709">
      <w:pPr>
        <w:pStyle w:val="ListParagraph"/>
        <w:numPr>
          <w:ilvl w:val="0"/>
          <w:numId w:val="10"/>
        </w:numPr>
        <w:rPr>
          <w:b/>
          <w:lang w:val="fr-FR"/>
        </w:rPr>
      </w:pPr>
      <w:r w:rsidRPr="00C50625">
        <w:rPr>
          <w:rFonts w:ascii="Calibri" w:hAnsi="Calibri"/>
          <w:b/>
          <w:lang w:val="fr-FR"/>
        </w:rPr>
        <w:t>Organisation</w:t>
      </w:r>
    </w:p>
    <w:p w:rsidR="00645709" w:rsidRPr="00C50625" w:rsidRDefault="00645709" w:rsidP="00645709">
      <w:pPr>
        <w:rPr>
          <w:lang w:val="fr-FR"/>
        </w:rPr>
      </w:pPr>
    </w:p>
    <w:p w:rsidR="00645709" w:rsidRPr="00C50625" w:rsidRDefault="00645709" w:rsidP="00645709">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a été fondé par l’Assemblée extraordinaire de la CEPT en mars 2009 en vue de remplacer le groupe de travail UIT.  Ses travaux sont dirigés par la plénière, qui se tient généralement trois à quatre fois par an.  Le Bureau offre son assistance pour le web, pour le serveur de documents et, durant les conférences, pour le système de messages et de documents électroniques.</w:t>
      </w:r>
    </w:p>
    <w:p w:rsidR="00645709" w:rsidRPr="00C50625" w:rsidRDefault="00645709" w:rsidP="00645709">
      <w:pPr>
        <w:rPr>
          <w:lang w:val="fr-FR"/>
        </w:rPr>
      </w:pPr>
    </w:p>
    <w:p w:rsidR="00645709" w:rsidRPr="00C50625" w:rsidRDefault="00645709" w:rsidP="00645709">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a décidé de ne pas créer de groupe de travail.  Des équipes de projet ont été mises en place selon les nécessités.  Celles-ci ont été créées en vue de la préparation des Conférences de l’UIT en 2010. Pour la préparation des Conférences en 2012, il a été décidé de ne pas créer d’équipe de projet.  La principale raison vise à limiter les ressources requises par les administrations pour suivre les travaux du Com-ITU en réduisant le nombre de réunions. </w:t>
      </w:r>
    </w:p>
    <w:p w:rsidR="00645709" w:rsidRPr="00C50625" w:rsidRDefault="00645709" w:rsidP="00645709">
      <w:pPr>
        <w:rPr>
          <w:highlight w:val="yellow"/>
          <w:lang w:val="fr-FR"/>
        </w:rPr>
      </w:pPr>
    </w:p>
    <w:p w:rsidR="007C1F5B" w:rsidRPr="00C50625" w:rsidRDefault="00645709" w:rsidP="004B72CA">
      <w:pPr>
        <w:rPr>
          <w:lang w:val="fr-FR"/>
        </w:rPr>
      </w:pPr>
      <w:r w:rsidRPr="00C50625">
        <w:rPr>
          <w:rFonts w:ascii="Calibri" w:hAnsi="Calibri"/>
          <w:lang w:val="fr-FR"/>
        </w:rPr>
        <w:t>Depuis le mois de mars 2009, l</w:t>
      </w:r>
      <w:r w:rsidR="007A2598">
        <w:rPr>
          <w:rFonts w:ascii="Calibri" w:hAnsi="Calibri"/>
          <w:lang w:val="fr-FR"/>
        </w:rPr>
        <w:t>a</w:t>
      </w:r>
      <w:r w:rsidRPr="00C50625">
        <w:rPr>
          <w:rFonts w:ascii="Calibri" w:hAnsi="Calibri"/>
          <w:lang w:val="fr-FR"/>
        </w:rPr>
        <w:t xml:space="preserve"> Com-ITU a organisé des plénières à Cluj, à Helsinki, à Istanbul, à Lisbonne, à Madrid, à Vilnius et à Varsovie, accueillies par les administrations nationales, ainsi qu’à Copenhague, accueillie par le Bureau.</w:t>
      </w:r>
    </w:p>
    <w:p w:rsidR="00107ECB" w:rsidRPr="00C50625" w:rsidRDefault="00107ECB" w:rsidP="004B72CA">
      <w:pPr>
        <w:rPr>
          <w:lang w:val="fr-FR"/>
        </w:rPr>
      </w:pPr>
    </w:p>
    <w:p w:rsidR="00107ECB" w:rsidRPr="00C50625" w:rsidRDefault="00107ECB" w:rsidP="004B72CA">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a adopté le premier règlement intérieur en 2009. Dans la mesure du possible, celui-ci a été basé sur le règlement intérieur de l’ECC afin d’aligner les travaux entre les deux comités.  De même, les règles relatives aux propositions européennes communes (ECP) et à la coordination CEPT durant les Conférences de l’UIT ont été alignées sur celles appliquées par l’ECC.</w:t>
      </w:r>
    </w:p>
    <w:p w:rsidR="00AC72F4" w:rsidRPr="00C50625" w:rsidRDefault="00CF1535">
      <w:pPr>
        <w:rPr>
          <w:lang w:val="fr-FR"/>
        </w:rPr>
      </w:pPr>
      <w:r>
        <w:rPr>
          <w:lang w:val="fr-FR"/>
        </w:rPr>
        <w:br w:type="column"/>
      </w:r>
    </w:p>
    <w:p w:rsidR="00AC72F4" w:rsidRPr="00C50625" w:rsidRDefault="00C11B5C" w:rsidP="00E32F7C">
      <w:pPr>
        <w:pStyle w:val="ListParagraph"/>
        <w:numPr>
          <w:ilvl w:val="0"/>
          <w:numId w:val="10"/>
        </w:numPr>
        <w:rPr>
          <w:b/>
          <w:lang w:val="fr-FR"/>
        </w:rPr>
      </w:pPr>
      <w:r w:rsidRPr="00C50625">
        <w:rPr>
          <w:rFonts w:ascii="Calibri" w:hAnsi="Calibri"/>
          <w:b/>
          <w:lang w:val="fr-FR"/>
        </w:rPr>
        <w:t>Relations extérieures</w:t>
      </w:r>
    </w:p>
    <w:p w:rsidR="00D22FB9" w:rsidRPr="00C50625" w:rsidRDefault="00D22FB9">
      <w:pPr>
        <w:rPr>
          <w:lang w:val="fr-FR"/>
        </w:rPr>
      </w:pPr>
    </w:p>
    <w:p w:rsidR="00CF63BC" w:rsidRPr="00C50625" w:rsidRDefault="0056641E" w:rsidP="0056641E">
      <w:pPr>
        <w:rPr>
          <w:lang w:val="fr-FR"/>
        </w:rPr>
      </w:pPr>
      <w:r w:rsidRPr="00C50625">
        <w:rPr>
          <w:rFonts w:ascii="Calibri" w:hAnsi="Calibri"/>
          <w:lang w:val="fr-FR"/>
        </w:rPr>
        <w:t xml:space="preserve">Préalablement à la fondation du Com-ITU, il existait déjà une lettre d’accord entre l’ETSI et le groupe de travail UIT.  La coopération avec l’ETSI s’est poursuivie sur la base de cette lettre. </w:t>
      </w:r>
    </w:p>
    <w:p w:rsidR="00CF63BC" w:rsidRPr="00C50625" w:rsidRDefault="00CF63BC" w:rsidP="0056641E">
      <w:pPr>
        <w:rPr>
          <w:lang w:val="fr-FR"/>
        </w:rPr>
      </w:pPr>
    </w:p>
    <w:p w:rsidR="007B73BB" w:rsidRPr="00C50625" w:rsidRDefault="0056641E" w:rsidP="0056641E">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a conclu une lettre d’accord avec Digital Europe, ESOA, ETNO et GSM Association,  qui permet tantôt à ces organisations de participer de manière régulière aux travaux du Com-ITU, tantôt au Com-ITU de recevoir des contributions des parties prenantes concernant les différentes questions débattues au sein de l’UIT.</w:t>
      </w:r>
    </w:p>
    <w:p w:rsidR="00107ECB" w:rsidRPr="00C50625" w:rsidRDefault="00107ECB" w:rsidP="0056641E">
      <w:pPr>
        <w:rPr>
          <w:lang w:val="fr-FR"/>
        </w:rPr>
      </w:pPr>
    </w:p>
    <w:p w:rsidR="00107ECB" w:rsidRPr="00C50625" w:rsidRDefault="00107ECB" w:rsidP="0056641E">
      <w:pPr>
        <w:rPr>
          <w:lang w:val="fr-FR"/>
        </w:rPr>
      </w:pPr>
      <w:r w:rsidRPr="00C50625">
        <w:rPr>
          <w:rFonts w:ascii="Calibri" w:hAnsi="Calibri"/>
          <w:lang w:val="fr-FR"/>
        </w:rPr>
        <w:t>Généralement, l’UIT participe aux réunions du Com-ITU à titre d’observateur. Cela permet aux organisations d’échanger régulièrement des informations.</w:t>
      </w:r>
    </w:p>
    <w:p w:rsidR="0056641E" w:rsidRPr="00C50625" w:rsidRDefault="0056641E" w:rsidP="0056641E">
      <w:pPr>
        <w:rPr>
          <w:lang w:val="fr-FR"/>
        </w:rPr>
      </w:pPr>
    </w:p>
    <w:p w:rsidR="0056641E" w:rsidRPr="00C50625" w:rsidRDefault="00BC3E4D" w:rsidP="0056641E">
      <w:pPr>
        <w:rPr>
          <w:lang w:val="fr-FR"/>
        </w:rPr>
      </w:pPr>
      <w:r w:rsidRPr="00C50625">
        <w:rPr>
          <w:rFonts w:ascii="Calibri" w:hAnsi="Calibri"/>
          <w:lang w:val="fr-FR"/>
        </w:rPr>
        <w:t>Le Président du Com-ITU a assisté à la réunion des directeurs des services administratifs organisée par la RCC en novembre 2010, en compagnie du Président de l’ECC. En outre, il était présent à une réunion du Groupe arabe en préparation de la PP-10 à Damas en 2010. Des représentants du Com-ITU ont également participé à des réunions de l’APT et de l’ATU en préparation de la PP-10.</w:t>
      </w:r>
    </w:p>
    <w:p w:rsidR="00EF4EAD" w:rsidRPr="00C50625" w:rsidRDefault="00EF4EAD" w:rsidP="0056641E">
      <w:pPr>
        <w:rPr>
          <w:lang w:val="fr-FR"/>
        </w:rPr>
      </w:pPr>
    </w:p>
    <w:p w:rsidR="00EF4EAD" w:rsidRPr="00C50625" w:rsidRDefault="00CF63BC" w:rsidP="0056641E">
      <w:pPr>
        <w:rPr>
          <w:lang w:val="fr-FR"/>
        </w:rPr>
      </w:pPr>
      <w:r w:rsidRPr="00C50625">
        <w:rPr>
          <w:rFonts w:ascii="Calibri" w:hAnsi="Calibri"/>
          <w:lang w:val="fr-FR"/>
        </w:rPr>
        <w:t xml:space="preserve">Le Président du Com-ITU participe régulièrement aux réunions d’information de l’ECC concernant les travaux en cours au sein du Com-ITU et de l’UIT qui intéressent l’ECC. Il a également assisté à une réunion d’information du CERP concernant les travaux du Com-ITU axés sur la préparation des Conférences de l’UIT. </w:t>
      </w:r>
    </w:p>
    <w:p w:rsidR="0005768E" w:rsidRPr="00C50625" w:rsidRDefault="0005768E" w:rsidP="0005768E">
      <w:pPr>
        <w:rPr>
          <w:b/>
          <w:lang w:val="fr-FR"/>
        </w:rPr>
      </w:pPr>
    </w:p>
    <w:p w:rsidR="0005768E" w:rsidRPr="00C50625" w:rsidRDefault="0005768E" w:rsidP="0005768E">
      <w:pPr>
        <w:rPr>
          <w:b/>
          <w:lang w:val="fr-FR"/>
        </w:rPr>
      </w:pPr>
    </w:p>
    <w:p w:rsidR="00526845" w:rsidRPr="00C50625" w:rsidRDefault="00526845" w:rsidP="00A9484D">
      <w:pPr>
        <w:pStyle w:val="ListParagraph"/>
        <w:numPr>
          <w:ilvl w:val="0"/>
          <w:numId w:val="10"/>
        </w:numPr>
        <w:rPr>
          <w:b/>
          <w:lang w:val="fr-FR"/>
        </w:rPr>
      </w:pPr>
      <w:r w:rsidRPr="00C50625">
        <w:rPr>
          <w:rFonts w:ascii="Calibri" w:hAnsi="Calibri"/>
          <w:b/>
          <w:lang w:val="fr-FR"/>
        </w:rPr>
        <w:t>Préparation des Conférences de l’UIT en 2010</w:t>
      </w:r>
    </w:p>
    <w:p w:rsidR="00CF63BC" w:rsidRPr="00C50625" w:rsidRDefault="00CF63BC" w:rsidP="00CF63BC">
      <w:pPr>
        <w:pStyle w:val="ListParagraph"/>
        <w:ind w:left="360"/>
        <w:rPr>
          <w:b/>
          <w:lang w:val="fr-FR"/>
        </w:rPr>
      </w:pPr>
    </w:p>
    <w:p w:rsidR="00DA46EB" w:rsidRPr="00C50625" w:rsidRDefault="00DA46EB" w:rsidP="0005768E">
      <w:pPr>
        <w:rPr>
          <w:lang w:val="fr-FR"/>
        </w:rPr>
      </w:pPr>
      <w:r w:rsidRPr="00C50625">
        <w:rPr>
          <w:rFonts w:ascii="Calibri" w:hAnsi="Calibri"/>
          <w:lang w:val="fr-FR"/>
        </w:rPr>
        <w:t>Entre 2009 et 2012, l</w:t>
      </w:r>
      <w:r w:rsidR="007A2598">
        <w:rPr>
          <w:rFonts w:ascii="Calibri" w:hAnsi="Calibri"/>
          <w:lang w:val="fr-FR"/>
        </w:rPr>
        <w:t>a</w:t>
      </w:r>
      <w:r w:rsidRPr="00C50625">
        <w:rPr>
          <w:rFonts w:ascii="Calibri" w:hAnsi="Calibri"/>
          <w:lang w:val="fr-FR"/>
        </w:rPr>
        <w:t xml:space="preserve"> Com-ITU a préparé la Conférence plénipotentiaire de l’UIT en 2010 (PP-10) ainsi que la Conférence mondiale de développement des télécommunications de l’UIT (WTDC-10). </w:t>
      </w:r>
    </w:p>
    <w:p w:rsidR="00DA46EB" w:rsidRPr="00C50625" w:rsidRDefault="00DA46EB" w:rsidP="0005768E">
      <w:pPr>
        <w:rPr>
          <w:lang w:val="fr-FR"/>
        </w:rPr>
      </w:pPr>
    </w:p>
    <w:p w:rsidR="00CF63BC" w:rsidRPr="00C50625" w:rsidRDefault="0005768E" w:rsidP="0005768E">
      <w:pPr>
        <w:rPr>
          <w:lang w:val="fr-FR"/>
        </w:rPr>
      </w:pPr>
      <w:r w:rsidRPr="00C50625">
        <w:rPr>
          <w:rFonts w:ascii="Calibri" w:hAnsi="Calibri"/>
          <w:lang w:val="fr-FR"/>
        </w:rPr>
        <w:t xml:space="preserve">La préparation de la WTDC-10 a été confiée à une seule équipe de projet dédié à cette tâche. La préparation de la PP-10 a été assurée par trois équipes de projet chargées des révisions de la Constitution/Convention, des questions liées aux finances et aux ressources humaines et d’autres questions encore. </w:t>
      </w:r>
    </w:p>
    <w:p w:rsidR="00CF63BC" w:rsidRPr="00C50625" w:rsidRDefault="00CF63BC" w:rsidP="0005768E">
      <w:pPr>
        <w:rPr>
          <w:lang w:val="fr-FR"/>
        </w:rPr>
      </w:pPr>
    </w:p>
    <w:p w:rsidR="00CF63BC" w:rsidRPr="00C50625" w:rsidRDefault="00A9484D" w:rsidP="0005768E">
      <w:pPr>
        <w:rPr>
          <w:lang w:val="fr-FR"/>
        </w:rPr>
      </w:pPr>
      <w:r w:rsidRPr="00C50625">
        <w:rPr>
          <w:rFonts w:ascii="Calibri" w:hAnsi="Calibri"/>
          <w:lang w:val="fr-FR"/>
        </w:rPr>
        <w:t>Les équipes de projet des deux Conférences ont préparé des projets de propositions européennes communes (ECP) et des notes d’information CEPT pour leurs Conférences respectives. L’approbation finale des propositions a eu lieu lors des plénières du Com-ITU.</w:t>
      </w:r>
    </w:p>
    <w:p w:rsidR="002E7FE3" w:rsidRPr="00C50625" w:rsidRDefault="002E7FE3" w:rsidP="0005768E">
      <w:pPr>
        <w:rPr>
          <w:lang w:val="fr-FR"/>
        </w:rPr>
      </w:pPr>
    </w:p>
    <w:p w:rsidR="002E7FE3" w:rsidRPr="00C50625" w:rsidRDefault="00107ECB" w:rsidP="0005768E">
      <w:pPr>
        <w:rPr>
          <w:lang w:val="fr-FR"/>
        </w:rPr>
      </w:pPr>
      <w:r w:rsidRPr="00C50625">
        <w:rPr>
          <w:rFonts w:ascii="Calibri" w:hAnsi="Calibri"/>
          <w:lang w:val="fr-FR"/>
        </w:rPr>
        <w:t xml:space="preserve">Des réunions de coordination de la CEPT ont été organisées à diverses occasions, tant lors de la WTDC-10 que de la PP-10. Un rapport séparé sur les préparations et les résultats de la PP-10 a été rédigé au sein du Com-ITU.  </w:t>
      </w:r>
    </w:p>
    <w:p w:rsidR="00A9484D" w:rsidRPr="00C50625" w:rsidRDefault="00CF1535" w:rsidP="0005768E">
      <w:pPr>
        <w:rPr>
          <w:lang w:val="fr-FR"/>
        </w:rPr>
      </w:pPr>
      <w:r>
        <w:rPr>
          <w:lang w:val="fr-FR"/>
        </w:rPr>
        <w:br w:type="column"/>
      </w:r>
    </w:p>
    <w:p w:rsidR="00A9484D" w:rsidRPr="00C50625" w:rsidRDefault="00A9484D" w:rsidP="00A9484D">
      <w:pPr>
        <w:pStyle w:val="ListParagraph"/>
        <w:numPr>
          <w:ilvl w:val="0"/>
          <w:numId w:val="10"/>
        </w:numPr>
        <w:rPr>
          <w:b/>
          <w:lang w:val="fr-FR"/>
        </w:rPr>
      </w:pPr>
      <w:r w:rsidRPr="00C50625">
        <w:rPr>
          <w:rFonts w:ascii="Calibri" w:hAnsi="Calibri"/>
          <w:b/>
          <w:lang w:val="fr-FR"/>
        </w:rPr>
        <w:t>Préparation des Conférences de l’UIT en 2012</w:t>
      </w:r>
    </w:p>
    <w:p w:rsidR="0005768E" w:rsidRPr="00C50625" w:rsidRDefault="0005768E" w:rsidP="0005768E">
      <w:pPr>
        <w:rPr>
          <w:lang w:val="fr-FR"/>
        </w:rPr>
      </w:pPr>
    </w:p>
    <w:p w:rsidR="00DA46EB" w:rsidRPr="00C50625" w:rsidRDefault="00A9484D" w:rsidP="0005768E">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a entamé les préparations de la Conférence mondiale de normalisation des télécommunications en 2012 (WTSA-12) et de la Conférence mondiale sur les télécommunications internationales (WCIT) qui aura lieu également en 2012. Ces deux conférences sont préparées au sein du Com-ITU sans la mise sur pied d’équipes de projet dédiées.</w:t>
      </w:r>
    </w:p>
    <w:p w:rsidR="00DA46EB" w:rsidRPr="00C50625" w:rsidRDefault="00DA46EB" w:rsidP="0005768E">
      <w:pPr>
        <w:rPr>
          <w:lang w:val="fr-FR"/>
        </w:rPr>
      </w:pPr>
    </w:p>
    <w:p w:rsidR="00DA46EB" w:rsidRPr="00C50625" w:rsidRDefault="00DA46EB" w:rsidP="0005768E">
      <w:pPr>
        <w:rPr>
          <w:lang w:val="fr-FR"/>
        </w:rPr>
      </w:pPr>
      <w:r w:rsidRPr="00C50625">
        <w:rPr>
          <w:rFonts w:ascii="Calibri" w:hAnsi="Calibri"/>
          <w:lang w:val="fr-FR"/>
        </w:rPr>
        <w:t>La WTSA-12 se concentrera notamment sur la structure des groupes d’étude ITU-T pour la période 2012-2016 compte tenu des rapides changements survenant dans le domaine de la normalisation et de la « concurrence » exercée par de nouveaux forums de normalisation en dehors de l’UIT.</w:t>
      </w:r>
    </w:p>
    <w:p w:rsidR="00DA46EB" w:rsidRPr="00C50625" w:rsidRDefault="00DA46EB" w:rsidP="0005768E">
      <w:pPr>
        <w:rPr>
          <w:lang w:val="fr-FR"/>
        </w:rPr>
      </w:pPr>
    </w:p>
    <w:p w:rsidR="00DA46EB" w:rsidRPr="00C50625" w:rsidRDefault="00A9484D" w:rsidP="0005768E">
      <w:pPr>
        <w:rPr>
          <w:lang w:val="fr-FR"/>
        </w:rPr>
      </w:pPr>
      <w:r w:rsidRPr="00C50625">
        <w:rPr>
          <w:rFonts w:ascii="Calibri" w:hAnsi="Calibri"/>
          <w:lang w:val="fr-FR"/>
        </w:rPr>
        <w:t>La WCIT-12 révisera le Règlement des télécommunications internationales (RTI) qui date de 1988 et constitue l’un des deux règlements administratifs de l’UIT.  Le RTI actuel est « obsolète » et doit donc être révisé.  L</w:t>
      </w:r>
      <w:r w:rsidR="007A2598">
        <w:rPr>
          <w:rFonts w:ascii="Calibri" w:hAnsi="Calibri"/>
          <w:lang w:val="fr-FR"/>
        </w:rPr>
        <w:t>a</w:t>
      </w:r>
      <w:r w:rsidRPr="00C50625">
        <w:rPr>
          <w:rFonts w:ascii="Calibri" w:hAnsi="Calibri"/>
          <w:lang w:val="fr-FR"/>
        </w:rPr>
        <w:t xml:space="preserve"> Com-ITU a défini une série de principes pour les futures préparations de la WCIT-12 :</w:t>
      </w:r>
    </w:p>
    <w:p w:rsidR="002E7FE3" w:rsidRPr="00C50625" w:rsidRDefault="002E7FE3" w:rsidP="0005768E">
      <w:pPr>
        <w:rPr>
          <w:lang w:val="fr-FR"/>
        </w:rPr>
      </w:pPr>
    </w:p>
    <w:p w:rsidR="002E7FE3" w:rsidRPr="00C50625" w:rsidRDefault="002E7FE3" w:rsidP="002E7FE3">
      <w:pPr>
        <w:pStyle w:val="ListParagraph"/>
        <w:numPr>
          <w:ilvl w:val="0"/>
          <w:numId w:val="19"/>
        </w:numPr>
        <w:rPr>
          <w:lang w:val="fr-FR"/>
        </w:rPr>
      </w:pPr>
      <w:r w:rsidRPr="00C50625">
        <w:rPr>
          <w:rFonts w:ascii="Calibri" w:hAnsi="Calibri"/>
          <w:lang w:val="fr-FR"/>
        </w:rPr>
        <w:t>Conformité générale aux principes clés indiqués dans la Contribution 35 de la CEPT</w:t>
      </w:r>
    </w:p>
    <w:p w:rsidR="002E7FE3" w:rsidRPr="00C50625" w:rsidRDefault="002E7FE3" w:rsidP="002E7FE3">
      <w:pPr>
        <w:pStyle w:val="ListParagraph"/>
        <w:numPr>
          <w:ilvl w:val="0"/>
          <w:numId w:val="19"/>
        </w:numPr>
        <w:rPr>
          <w:lang w:val="fr-FR"/>
        </w:rPr>
      </w:pPr>
      <w:r w:rsidRPr="00C50625">
        <w:rPr>
          <w:rFonts w:ascii="Calibri" w:hAnsi="Calibri"/>
          <w:lang w:val="fr-FR"/>
        </w:rPr>
        <w:t>Cohérence par rapport au préambule et l’article 1 de la Constitution de l’UIT</w:t>
      </w:r>
    </w:p>
    <w:p w:rsidR="002E7FE3" w:rsidRPr="00C50625" w:rsidRDefault="002E7FE3" w:rsidP="002E7FE3">
      <w:pPr>
        <w:pStyle w:val="ListParagraph"/>
        <w:numPr>
          <w:ilvl w:val="0"/>
          <w:numId w:val="19"/>
        </w:numPr>
        <w:rPr>
          <w:lang w:val="fr-FR"/>
        </w:rPr>
      </w:pPr>
      <w:r w:rsidRPr="00C50625">
        <w:rPr>
          <w:rFonts w:ascii="Calibri" w:hAnsi="Calibri"/>
          <w:lang w:val="fr-FR"/>
        </w:rPr>
        <w:t>Cohérence par rapport aux accords internationaux et à la législation internationale adoptés par les Membres de la CEPT</w:t>
      </w:r>
    </w:p>
    <w:p w:rsidR="002E7FE3" w:rsidRPr="00C50625" w:rsidRDefault="002E7FE3" w:rsidP="002E7FE3">
      <w:pPr>
        <w:pStyle w:val="ListParagraph"/>
        <w:numPr>
          <w:ilvl w:val="0"/>
          <w:numId w:val="19"/>
        </w:numPr>
        <w:rPr>
          <w:lang w:val="fr-FR"/>
        </w:rPr>
      </w:pPr>
      <w:r w:rsidRPr="00C50625">
        <w:rPr>
          <w:rFonts w:ascii="Calibri" w:hAnsi="Calibri"/>
          <w:lang w:val="fr-FR"/>
        </w:rPr>
        <w:t xml:space="preserve">Domaines liés à l’application par les États membres des principes juridiques ou politiques relevant de leurs droits de souveraineté </w:t>
      </w:r>
    </w:p>
    <w:p w:rsidR="002E7FE3" w:rsidRPr="00C50625" w:rsidRDefault="002E7FE3" w:rsidP="002E7FE3">
      <w:pPr>
        <w:pStyle w:val="ListParagraph"/>
        <w:numPr>
          <w:ilvl w:val="0"/>
          <w:numId w:val="19"/>
        </w:numPr>
        <w:rPr>
          <w:lang w:val="fr-FR"/>
        </w:rPr>
      </w:pPr>
      <w:r w:rsidRPr="00C50625">
        <w:rPr>
          <w:rFonts w:ascii="Calibri" w:hAnsi="Calibri"/>
          <w:lang w:val="fr-FR"/>
        </w:rPr>
        <w:t xml:space="preserve">Exclusion des domaines non liés à l’objet et au domaine d’application des RTI </w:t>
      </w:r>
    </w:p>
    <w:p w:rsidR="00F66D6C" w:rsidRPr="00C50625" w:rsidRDefault="00F66D6C" w:rsidP="0005768E">
      <w:pPr>
        <w:rPr>
          <w:lang w:val="fr-FR"/>
        </w:rPr>
      </w:pPr>
    </w:p>
    <w:p w:rsidR="00F66D6C" w:rsidRPr="00C50625" w:rsidRDefault="00F66D6C" w:rsidP="00F66D6C">
      <w:pPr>
        <w:pStyle w:val="ListParagraph"/>
        <w:numPr>
          <w:ilvl w:val="0"/>
          <w:numId w:val="10"/>
        </w:numPr>
        <w:rPr>
          <w:b/>
          <w:lang w:val="fr-FR"/>
        </w:rPr>
      </w:pPr>
      <w:r w:rsidRPr="00C50625">
        <w:rPr>
          <w:rFonts w:ascii="Calibri" w:hAnsi="Calibri"/>
          <w:b/>
          <w:lang w:val="fr-FR"/>
        </w:rPr>
        <w:t>Préparation du Conseil de l’UIT</w:t>
      </w:r>
    </w:p>
    <w:p w:rsidR="00F66D6C" w:rsidRPr="00C50625" w:rsidRDefault="00F66D6C" w:rsidP="00F66D6C">
      <w:pPr>
        <w:pStyle w:val="ListParagraph"/>
        <w:ind w:left="360"/>
        <w:rPr>
          <w:b/>
          <w:lang w:val="fr-FR"/>
        </w:rPr>
      </w:pPr>
    </w:p>
    <w:p w:rsidR="002E7FE3" w:rsidRPr="00C50625" w:rsidRDefault="002E7FE3" w:rsidP="00F66D6C">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est également chargé de préparer le Conseil de l’UIT et les groupes de travail du Conseil (CWG).  Le Conseil se réunit une fois par an, et les groupes de travail </w:t>
      </w:r>
      <w:r w:rsidR="007A2598">
        <w:rPr>
          <w:rFonts w:ascii="Calibri" w:hAnsi="Calibri"/>
          <w:lang w:val="fr-FR"/>
        </w:rPr>
        <w:t xml:space="preserve">deux à </w:t>
      </w:r>
      <w:r w:rsidRPr="00C50625">
        <w:rPr>
          <w:rFonts w:ascii="Calibri" w:hAnsi="Calibri"/>
          <w:lang w:val="fr-FR"/>
        </w:rPr>
        <w:t xml:space="preserve">trois fois par an. </w:t>
      </w:r>
    </w:p>
    <w:p w:rsidR="00107ECB" w:rsidRPr="00C50625" w:rsidRDefault="00107ECB" w:rsidP="00F66D6C">
      <w:pPr>
        <w:rPr>
          <w:lang w:val="fr-FR"/>
        </w:rPr>
      </w:pPr>
    </w:p>
    <w:p w:rsidR="00F66D6C" w:rsidRPr="00C50625" w:rsidRDefault="00F66D6C" w:rsidP="0005768E">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permet l’échange de vues entre les Membres du Conseil et les Membres qui n’en font pas partie concernant un grand nombre des questions débattues lors des réunions du Conseil. Généralement, cet échange de vues a lieu la veille de la réunion du Conseil, sur une base informelle.  L</w:t>
      </w:r>
      <w:r w:rsidR="007A2598">
        <w:rPr>
          <w:rFonts w:ascii="Calibri" w:hAnsi="Calibri"/>
          <w:lang w:val="fr-FR"/>
        </w:rPr>
        <w:t>a</w:t>
      </w:r>
      <w:r w:rsidRPr="00C50625">
        <w:rPr>
          <w:rFonts w:ascii="Calibri" w:hAnsi="Calibri"/>
          <w:lang w:val="fr-FR"/>
        </w:rPr>
        <w:t xml:space="preserve"> Com-ITU permet également la préparation et l’échange de vues sur les travaux des CWG. Lorsque cela n’est pas possible lors des réunions du Com-ITU, le coordinateur CEPT du groupe spécifique organise normalement une brève réunion de coordination durant les CWG.</w:t>
      </w:r>
    </w:p>
    <w:p w:rsidR="0005768E" w:rsidRPr="00C50625" w:rsidRDefault="0005768E" w:rsidP="0005768E">
      <w:pPr>
        <w:rPr>
          <w:lang w:val="fr-FR"/>
        </w:rPr>
      </w:pPr>
    </w:p>
    <w:p w:rsidR="00EC48C5" w:rsidRPr="00C50625" w:rsidRDefault="00EC48C5" w:rsidP="001E10E4">
      <w:pPr>
        <w:pStyle w:val="ListParagraph"/>
        <w:numPr>
          <w:ilvl w:val="0"/>
          <w:numId w:val="10"/>
        </w:numPr>
        <w:rPr>
          <w:b/>
          <w:lang w:val="fr-FR"/>
        </w:rPr>
      </w:pPr>
      <w:r w:rsidRPr="00C50625">
        <w:rPr>
          <w:rFonts w:ascii="Calibri" w:hAnsi="Calibri"/>
          <w:b/>
          <w:lang w:val="fr-FR"/>
        </w:rPr>
        <w:t>Méthodes de travail électroniques</w:t>
      </w:r>
    </w:p>
    <w:p w:rsidR="00FC1D59" w:rsidRPr="00C50625" w:rsidRDefault="00FC1D59">
      <w:pPr>
        <w:rPr>
          <w:lang w:val="fr-FR"/>
        </w:rPr>
      </w:pPr>
    </w:p>
    <w:p w:rsidR="003167D0" w:rsidRPr="00C50625" w:rsidRDefault="003167D0">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a suivi les travaux de développement de méthodes de travail électroniques par le Bureau.  Ces méthodes s’inscrivent en complément des outils de travail électroniques actuels, dont l’utilisation de distributeurs automatiques de courrier électronique ainsi que le planificateur de calendrier et le serveur de documents, tous deux basés sur le web.</w:t>
      </w:r>
    </w:p>
    <w:p w:rsidR="00F175EE" w:rsidRPr="00C50625" w:rsidRDefault="00F175EE">
      <w:pPr>
        <w:rPr>
          <w:lang w:val="fr-FR"/>
        </w:rPr>
      </w:pPr>
    </w:p>
    <w:p w:rsidR="00F175EE" w:rsidRPr="00C50625" w:rsidRDefault="00F175EE">
      <w:pPr>
        <w:rPr>
          <w:lang w:val="fr-FR"/>
        </w:rPr>
      </w:pPr>
      <w:r w:rsidRPr="00C50625">
        <w:rPr>
          <w:rFonts w:ascii="Calibri" w:hAnsi="Calibri"/>
          <w:lang w:val="fr-FR"/>
        </w:rPr>
        <w:t>L</w:t>
      </w:r>
      <w:r w:rsidR="007A2598">
        <w:rPr>
          <w:rFonts w:ascii="Calibri" w:hAnsi="Calibri"/>
          <w:lang w:val="fr-FR"/>
        </w:rPr>
        <w:t>a</w:t>
      </w:r>
      <w:r w:rsidRPr="00C50625">
        <w:rPr>
          <w:rFonts w:ascii="Calibri" w:hAnsi="Calibri"/>
          <w:lang w:val="fr-FR"/>
        </w:rPr>
        <w:t xml:space="preserve"> Com-ITU continuera de surveiller et d’encourager l’application de méthodes de travail électroniques.</w:t>
      </w:r>
    </w:p>
    <w:sectPr w:rsidR="00F175EE" w:rsidRPr="00C50625" w:rsidSect="0058390E">
      <w:footerReference w:type="default" r:id="rId10"/>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E5" w:rsidRDefault="003702E5" w:rsidP="00BC3E4D">
      <w:pPr>
        <w:spacing w:line="240" w:lineRule="auto"/>
      </w:pPr>
      <w:r>
        <w:separator/>
      </w:r>
    </w:p>
  </w:endnote>
  <w:endnote w:type="continuationSeparator" w:id="0">
    <w:p w:rsidR="003702E5" w:rsidRDefault="003702E5" w:rsidP="00BC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668378"/>
      <w:docPartObj>
        <w:docPartGallery w:val="Page Numbers (Bottom of Page)"/>
        <w:docPartUnique/>
      </w:docPartObj>
    </w:sdtPr>
    <w:sdtEndPr>
      <w:rPr>
        <w:noProof/>
      </w:rPr>
    </w:sdtEndPr>
    <w:sdtContent>
      <w:p w:rsidR="00F351C5" w:rsidRDefault="0012253D">
        <w:pPr>
          <w:pStyle w:val="Footer"/>
          <w:jc w:val="right"/>
        </w:pPr>
        <w:r>
          <w:fldChar w:fldCharType="begin"/>
        </w:r>
        <w:r w:rsidR="00A74851">
          <w:instrText xml:space="preserve"> PAGE   \* MERGEFORMAT </w:instrText>
        </w:r>
        <w:r>
          <w:fldChar w:fldCharType="separate"/>
        </w:r>
        <w:r w:rsidR="00CC59EB">
          <w:rPr>
            <w:noProof/>
          </w:rPr>
          <w:t>1</w:t>
        </w:r>
        <w:r>
          <w:rPr>
            <w:noProof/>
          </w:rPr>
          <w:fldChar w:fldCharType="end"/>
        </w:r>
      </w:p>
    </w:sdtContent>
  </w:sdt>
  <w:p w:rsidR="00F351C5" w:rsidRDefault="00F35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E5" w:rsidRDefault="003702E5" w:rsidP="00BC3E4D">
      <w:pPr>
        <w:spacing w:line="240" w:lineRule="auto"/>
      </w:pPr>
      <w:r>
        <w:separator/>
      </w:r>
    </w:p>
  </w:footnote>
  <w:footnote w:type="continuationSeparator" w:id="0">
    <w:p w:rsidR="003702E5" w:rsidRDefault="003702E5" w:rsidP="00BC3E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B95"/>
    <w:multiLevelType w:val="hybridMultilevel"/>
    <w:tmpl w:val="C2A2319E"/>
    <w:lvl w:ilvl="0" w:tplc="5CF6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6B0C40"/>
    <w:multiLevelType w:val="hybridMultilevel"/>
    <w:tmpl w:val="2970FCBC"/>
    <w:lvl w:ilvl="0" w:tplc="FA2ADE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726FF"/>
    <w:multiLevelType w:val="hybridMultilevel"/>
    <w:tmpl w:val="8A20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272FF3"/>
    <w:multiLevelType w:val="hybridMultilevel"/>
    <w:tmpl w:val="63E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793047"/>
    <w:multiLevelType w:val="hybridMultilevel"/>
    <w:tmpl w:val="C94622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3FE00CF"/>
    <w:multiLevelType w:val="hybridMultilevel"/>
    <w:tmpl w:val="813A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224C5F"/>
    <w:multiLevelType w:val="hybridMultilevel"/>
    <w:tmpl w:val="35488630"/>
    <w:lvl w:ilvl="0" w:tplc="A5E85B70">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nsid w:val="2763400C"/>
    <w:multiLevelType w:val="hybridMultilevel"/>
    <w:tmpl w:val="BD9699BC"/>
    <w:lvl w:ilvl="0" w:tplc="D5A0E66C">
      <w:start w:val="2"/>
      <w:numFmt w:val="bullet"/>
      <w:lvlText w:val="-"/>
      <w:lvlJc w:val="left"/>
      <w:pPr>
        <w:tabs>
          <w:tab w:val="num" w:pos="720"/>
        </w:tabs>
        <w:ind w:left="720" w:hanging="360"/>
      </w:pPr>
      <w:rPr>
        <w:rFonts w:ascii="Arial" w:eastAsia="MS Mincho"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28C244DA"/>
    <w:multiLevelType w:val="hybridMultilevel"/>
    <w:tmpl w:val="E1C6E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B07D8D"/>
    <w:multiLevelType w:val="hybridMultilevel"/>
    <w:tmpl w:val="C830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692A0C"/>
    <w:multiLevelType w:val="hybridMultilevel"/>
    <w:tmpl w:val="51D24772"/>
    <w:lvl w:ilvl="0" w:tplc="D7C08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B92DBC"/>
    <w:multiLevelType w:val="hybridMultilevel"/>
    <w:tmpl w:val="5D7CE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DA912B5"/>
    <w:multiLevelType w:val="hybridMultilevel"/>
    <w:tmpl w:val="4208A218"/>
    <w:lvl w:ilvl="0" w:tplc="A09C336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570A34"/>
    <w:multiLevelType w:val="hybridMultilevel"/>
    <w:tmpl w:val="3CF8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030234"/>
    <w:multiLevelType w:val="hybridMultilevel"/>
    <w:tmpl w:val="460209C0"/>
    <w:lvl w:ilvl="0" w:tplc="231C2F2A">
      <w:start w:val="2"/>
      <w:numFmt w:val="bullet"/>
      <w:lvlText w:val="-"/>
      <w:lvlJc w:val="left"/>
      <w:pPr>
        <w:tabs>
          <w:tab w:val="num" w:pos="720"/>
        </w:tabs>
        <w:ind w:left="720" w:hanging="360"/>
      </w:pPr>
      <w:rPr>
        <w:rFonts w:ascii="Arial" w:eastAsia="MS Mincho" w:hAnsi="Arial" w:cs="Arial" w:hint="default"/>
      </w:rPr>
    </w:lvl>
    <w:lvl w:ilvl="1" w:tplc="04070003">
      <w:start w:val="1"/>
      <w:numFmt w:val="lowerLetter"/>
      <w:lvlText w:val="%2."/>
      <w:lvlJc w:val="left"/>
      <w:pPr>
        <w:tabs>
          <w:tab w:val="num" w:pos="1440"/>
        </w:tabs>
        <w:ind w:left="1440" w:hanging="360"/>
      </w:pPr>
    </w:lvl>
    <w:lvl w:ilvl="2" w:tplc="04070005">
      <w:start w:val="1"/>
      <w:numFmt w:val="lowerRoman"/>
      <w:lvlText w:val="%3."/>
      <w:lvlJc w:val="right"/>
      <w:pPr>
        <w:tabs>
          <w:tab w:val="num" w:pos="2160"/>
        </w:tabs>
        <w:ind w:left="2160" w:hanging="180"/>
      </w:pPr>
    </w:lvl>
    <w:lvl w:ilvl="3" w:tplc="04070001">
      <w:start w:val="1"/>
      <w:numFmt w:val="decimal"/>
      <w:lvlText w:val="%4."/>
      <w:lvlJc w:val="left"/>
      <w:pPr>
        <w:tabs>
          <w:tab w:val="num" w:pos="2880"/>
        </w:tabs>
        <w:ind w:left="2880" w:hanging="360"/>
      </w:pPr>
    </w:lvl>
    <w:lvl w:ilvl="4" w:tplc="04070003">
      <w:start w:val="1"/>
      <w:numFmt w:val="lowerLetter"/>
      <w:lvlText w:val="%5."/>
      <w:lvlJc w:val="left"/>
      <w:pPr>
        <w:tabs>
          <w:tab w:val="num" w:pos="3600"/>
        </w:tabs>
        <w:ind w:left="3600" w:hanging="360"/>
      </w:pPr>
    </w:lvl>
    <w:lvl w:ilvl="5" w:tplc="04070005">
      <w:start w:val="1"/>
      <w:numFmt w:val="lowerRoman"/>
      <w:lvlText w:val="%6."/>
      <w:lvlJc w:val="right"/>
      <w:pPr>
        <w:tabs>
          <w:tab w:val="num" w:pos="4320"/>
        </w:tabs>
        <w:ind w:left="4320" w:hanging="180"/>
      </w:pPr>
    </w:lvl>
    <w:lvl w:ilvl="6" w:tplc="04070001">
      <w:start w:val="1"/>
      <w:numFmt w:val="decimal"/>
      <w:lvlText w:val="%7."/>
      <w:lvlJc w:val="left"/>
      <w:pPr>
        <w:tabs>
          <w:tab w:val="num" w:pos="5040"/>
        </w:tabs>
        <w:ind w:left="5040" w:hanging="360"/>
      </w:pPr>
    </w:lvl>
    <w:lvl w:ilvl="7" w:tplc="04070003">
      <w:start w:val="1"/>
      <w:numFmt w:val="lowerLetter"/>
      <w:lvlText w:val="%8."/>
      <w:lvlJc w:val="left"/>
      <w:pPr>
        <w:tabs>
          <w:tab w:val="num" w:pos="5760"/>
        </w:tabs>
        <w:ind w:left="5760" w:hanging="360"/>
      </w:pPr>
    </w:lvl>
    <w:lvl w:ilvl="8" w:tplc="04070005">
      <w:start w:val="1"/>
      <w:numFmt w:val="lowerRoman"/>
      <w:lvlText w:val="%9."/>
      <w:lvlJc w:val="right"/>
      <w:pPr>
        <w:tabs>
          <w:tab w:val="num" w:pos="6480"/>
        </w:tabs>
        <w:ind w:left="6480" w:hanging="180"/>
      </w:pPr>
    </w:lvl>
  </w:abstractNum>
  <w:abstractNum w:abstractNumId="15">
    <w:nsid w:val="57341ED7"/>
    <w:multiLevelType w:val="hybridMultilevel"/>
    <w:tmpl w:val="CBB8DB0E"/>
    <w:lvl w:ilvl="0" w:tplc="4F803A1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A162F04"/>
    <w:multiLevelType w:val="hybridMultilevel"/>
    <w:tmpl w:val="435EC53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
    <w:nsid w:val="6FF1412B"/>
    <w:multiLevelType w:val="hybridMultilevel"/>
    <w:tmpl w:val="33244608"/>
    <w:lvl w:ilvl="0" w:tplc="0407000F">
      <w:start w:val="3"/>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8">
    <w:nsid w:val="719D5EF6"/>
    <w:multiLevelType w:val="hybridMultilevel"/>
    <w:tmpl w:val="3AD0C65A"/>
    <w:lvl w:ilvl="0" w:tplc="4F803A1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9"/>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3"/>
  </w:num>
  <w:num w:numId="9">
    <w:abstractNumId w:val="13"/>
  </w:num>
  <w:num w:numId="10">
    <w:abstractNumId w:val="4"/>
  </w:num>
  <w:num w:numId="11">
    <w:abstractNumId w:val="1"/>
  </w:num>
  <w:num w:numId="12">
    <w:abstractNumId w:val="10"/>
  </w:num>
  <w:num w:numId="13">
    <w:abstractNumId w:val="0"/>
  </w:num>
  <w:num w:numId="14">
    <w:abstractNumId w:val="12"/>
  </w:num>
  <w:num w:numId="15">
    <w:abstractNumId w:val="8"/>
  </w:num>
  <w:num w:numId="16">
    <w:abstractNumId w:val="18"/>
  </w:num>
  <w:num w:numId="17">
    <w:abstractNumId w:val="15"/>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DC"/>
    <w:rsid w:val="00003401"/>
    <w:rsid w:val="0005768E"/>
    <w:rsid w:val="00107ECB"/>
    <w:rsid w:val="001104F6"/>
    <w:rsid w:val="0012253D"/>
    <w:rsid w:val="00133D35"/>
    <w:rsid w:val="00194A0C"/>
    <w:rsid w:val="001C5275"/>
    <w:rsid w:val="001E10E4"/>
    <w:rsid w:val="00230557"/>
    <w:rsid w:val="002324A4"/>
    <w:rsid w:val="002448F3"/>
    <w:rsid w:val="002B44B1"/>
    <w:rsid w:val="002B6800"/>
    <w:rsid w:val="002C42C7"/>
    <w:rsid w:val="002E2E3A"/>
    <w:rsid w:val="002E7FE3"/>
    <w:rsid w:val="00300276"/>
    <w:rsid w:val="003167D0"/>
    <w:rsid w:val="003702E5"/>
    <w:rsid w:val="00385FA8"/>
    <w:rsid w:val="003E0E98"/>
    <w:rsid w:val="004266D1"/>
    <w:rsid w:val="004274AB"/>
    <w:rsid w:val="004568EA"/>
    <w:rsid w:val="004B1FC5"/>
    <w:rsid w:val="004B72CA"/>
    <w:rsid w:val="004E1B84"/>
    <w:rsid w:val="005005DB"/>
    <w:rsid w:val="005217C4"/>
    <w:rsid w:val="00526845"/>
    <w:rsid w:val="005336B1"/>
    <w:rsid w:val="00540071"/>
    <w:rsid w:val="0056641E"/>
    <w:rsid w:val="0057483D"/>
    <w:rsid w:val="0058390E"/>
    <w:rsid w:val="00592F05"/>
    <w:rsid w:val="005E4AEC"/>
    <w:rsid w:val="00614B44"/>
    <w:rsid w:val="00645709"/>
    <w:rsid w:val="00655E95"/>
    <w:rsid w:val="006834C4"/>
    <w:rsid w:val="006B23C0"/>
    <w:rsid w:val="006B246E"/>
    <w:rsid w:val="006E2982"/>
    <w:rsid w:val="007A2598"/>
    <w:rsid w:val="007A44CC"/>
    <w:rsid w:val="007B73BB"/>
    <w:rsid w:val="007C1F5B"/>
    <w:rsid w:val="007F21DC"/>
    <w:rsid w:val="008648F9"/>
    <w:rsid w:val="008F7C4C"/>
    <w:rsid w:val="009160C6"/>
    <w:rsid w:val="00917C68"/>
    <w:rsid w:val="00947D91"/>
    <w:rsid w:val="00951730"/>
    <w:rsid w:val="009915D0"/>
    <w:rsid w:val="009B39ED"/>
    <w:rsid w:val="00A20135"/>
    <w:rsid w:val="00A23543"/>
    <w:rsid w:val="00A611AE"/>
    <w:rsid w:val="00A74851"/>
    <w:rsid w:val="00A9484D"/>
    <w:rsid w:val="00A94E7B"/>
    <w:rsid w:val="00AA79A7"/>
    <w:rsid w:val="00AC0B17"/>
    <w:rsid w:val="00AC40C3"/>
    <w:rsid w:val="00AC72F4"/>
    <w:rsid w:val="00B03492"/>
    <w:rsid w:val="00B86CBD"/>
    <w:rsid w:val="00BA02FF"/>
    <w:rsid w:val="00BA2BB5"/>
    <w:rsid w:val="00BC3E4D"/>
    <w:rsid w:val="00BD41AF"/>
    <w:rsid w:val="00C046AF"/>
    <w:rsid w:val="00C11B5C"/>
    <w:rsid w:val="00C50625"/>
    <w:rsid w:val="00CC59EB"/>
    <w:rsid w:val="00CF1535"/>
    <w:rsid w:val="00CF63BC"/>
    <w:rsid w:val="00D05420"/>
    <w:rsid w:val="00D11489"/>
    <w:rsid w:val="00D144A6"/>
    <w:rsid w:val="00D22FB9"/>
    <w:rsid w:val="00DA46EB"/>
    <w:rsid w:val="00DD4654"/>
    <w:rsid w:val="00E004FC"/>
    <w:rsid w:val="00E32F7C"/>
    <w:rsid w:val="00E44B50"/>
    <w:rsid w:val="00E45F94"/>
    <w:rsid w:val="00EA5A07"/>
    <w:rsid w:val="00EA6CF3"/>
    <w:rsid w:val="00EC48C5"/>
    <w:rsid w:val="00EC4AE3"/>
    <w:rsid w:val="00EF4EAD"/>
    <w:rsid w:val="00F0583C"/>
    <w:rsid w:val="00F175EE"/>
    <w:rsid w:val="00F351C5"/>
    <w:rsid w:val="00F66D6C"/>
    <w:rsid w:val="00F675E4"/>
    <w:rsid w:val="00FC1D59"/>
    <w:rsid w:val="00FE54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1DC"/>
    <w:pPr>
      <w:ind w:left="720"/>
      <w:contextualSpacing/>
    </w:pPr>
  </w:style>
  <w:style w:type="character" w:styleId="Hyperlink">
    <w:name w:val="Hyperlink"/>
    <w:basedOn w:val="DefaultParagraphFont"/>
    <w:uiPriority w:val="99"/>
    <w:unhideWhenUsed/>
    <w:rsid w:val="00EA6CF3"/>
    <w:rPr>
      <w:color w:val="0000FF" w:themeColor="hyperlink"/>
      <w:u w:val="single"/>
    </w:rPr>
  </w:style>
  <w:style w:type="paragraph" w:styleId="PlainText">
    <w:name w:val="Plain Text"/>
    <w:basedOn w:val="Normal"/>
    <w:link w:val="PlainTextChar"/>
    <w:semiHidden/>
    <w:unhideWhenUsed/>
    <w:rsid w:val="00E004FC"/>
    <w:pPr>
      <w:autoSpaceDE w:val="0"/>
      <w:autoSpaceDN w:val="0"/>
      <w:spacing w:line="240" w:lineRule="auto"/>
    </w:pPr>
    <w:rPr>
      <w:rFonts w:ascii="Courier New" w:eastAsia="Times New Roman" w:hAnsi="Courier New" w:cs="Courier New"/>
      <w:sz w:val="20"/>
      <w:szCs w:val="20"/>
      <w:lang w:eastAsia="nl-NL"/>
    </w:rPr>
  </w:style>
  <w:style w:type="character" w:customStyle="1" w:styleId="PlainTextChar">
    <w:name w:val="Plain Text Char"/>
    <w:basedOn w:val="DefaultParagraphFont"/>
    <w:link w:val="PlainText"/>
    <w:semiHidden/>
    <w:rsid w:val="00E004FC"/>
    <w:rPr>
      <w:rFonts w:ascii="Courier New" w:eastAsia="Times New Roman" w:hAnsi="Courier New" w:cs="Courier New"/>
      <w:sz w:val="20"/>
      <w:szCs w:val="20"/>
      <w:lang w:eastAsia="nl-NL"/>
    </w:rPr>
  </w:style>
  <w:style w:type="table" w:styleId="TableGrid">
    <w:name w:val="Table Grid"/>
    <w:basedOn w:val="TableNormal"/>
    <w:rsid w:val="00E004FC"/>
    <w:pPr>
      <w:spacing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03492"/>
    <w:rPr>
      <w:color w:val="800080" w:themeColor="followedHyperlink"/>
      <w:u w:val="single"/>
    </w:rPr>
  </w:style>
  <w:style w:type="paragraph" w:styleId="Header">
    <w:name w:val="header"/>
    <w:basedOn w:val="Normal"/>
    <w:link w:val="HeaderChar"/>
    <w:uiPriority w:val="99"/>
    <w:unhideWhenUsed/>
    <w:rsid w:val="00BC3E4D"/>
    <w:pPr>
      <w:tabs>
        <w:tab w:val="center" w:pos="4819"/>
        <w:tab w:val="right" w:pos="9638"/>
      </w:tabs>
      <w:spacing w:line="240" w:lineRule="auto"/>
    </w:pPr>
  </w:style>
  <w:style w:type="character" w:customStyle="1" w:styleId="HeaderChar">
    <w:name w:val="Header Char"/>
    <w:basedOn w:val="DefaultParagraphFont"/>
    <w:link w:val="Header"/>
    <w:uiPriority w:val="99"/>
    <w:rsid w:val="00BC3E4D"/>
  </w:style>
  <w:style w:type="paragraph" w:styleId="Footer">
    <w:name w:val="footer"/>
    <w:basedOn w:val="Normal"/>
    <w:link w:val="FooterChar"/>
    <w:uiPriority w:val="99"/>
    <w:unhideWhenUsed/>
    <w:rsid w:val="00BC3E4D"/>
    <w:pPr>
      <w:tabs>
        <w:tab w:val="center" w:pos="4819"/>
        <w:tab w:val="right" w:pos="9638"/>
      </w:tabs>
      <w:spacing w:line="240" w:lineRule="auto"/>
    </w:pPr>
  </w:style>
  <w:style w:type="character" w:customStyle="1" w:styleId="FooterChar">
    <w:name w:val="Footer Char"/>
    <w:basedOn w:val="DefaultParagraphFont"/>
    <w:link w:val="Footer"/>
    <w:uiPriority w:val="99"/>
    <w:rsid w:val="00BC3E4D"/>
  </w:style>
  <w:style w:type="paragraph" w:styleId="BalloonText">
    <w:name w:val="Balloon Text"/>
    <w:basedOn w:val="Normal"/>
    <w:link w:val="BalloonTextChar"/>
    <w:uiPriority w:val="99"/>
    <w:semiHidden/>
    <w:unhideWhenUsed/>
    <w:rsid w:val="00EF4E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1DC"/>
    <w:pPr>
      <w:ind w:left="720"/>
      <w:contextualSpacing/>
    </w:pPr>
  </w:style>
  <w:style w:type="character" w:styleId="Hyperlink">
    <w:name w:val="Hyperlink"/>
    <w:basedOn w:val="DefaultParagraphFont"/>
    <w:uiPriority w:val="99"/>
    <w:unhideWhenUsed/>
    <w:rsid w:val="00EA6CF3"/>
    <w:rPr>
      <w:color w:val="0000FF" w:themeColor="hyperlink"/>
      <w:u w:val="single"/>
    </w:rPr>
  </w:style>
  <w:style w:type="paragraph" w:styleId="PlainText">
    <w:name w:val="Plain Text"/>
    <w:basedOn w:val="Normal"/>
    <w:link w:val="PlainTextChar"/>
    <w:semiHidden/>
    <w:unhideWhenUsed/>
    <w:rsid w:val="00E004FC"/>
    <w:pPr>
      <w:autoSpaceDE w:val="0"/>
      <w:autoSpaceDN w:val="0"/>
      <w:spacing w:line="240" w:lineRule="auto"/>
    </w:pPr>
    <w:rPr>
      <w:rFonts w:ascii="Courier New" w:eastAsia="Times New Roman" w:hAnsi="Courier New" w:cs="Courier New"/>
      <w:sz w:val="20"/>
      <w:szCs w:val="20"/>
      <w:lang w:eastAsia="nl-NL"/>
    </w:rPr>
  </w:style>
  <w:style w:type="character" w:customStyle="1" w:styleId="PlainTextChar">
    <w:name w:val="Plain Text Char"/>
    <w:basedOn w:val="DefaultParagraphFont"/>
    <w:link w:val="PlainText"/>
    <w:semiHidden/>
    <w:rsid w:val="00E004FC"/>
    <w:rPr>
      <w:rFonts w:ascii="Courier New" w:eastAsia="Times New Roman" w:hAnsi="Courier New" w:cs="Courier New"/>
      <w:sz w:val="20"/>
      <w:szCs w:val="20"/>
      <w:lang w:eastAsia="nl-NL"/>
    </w:rPr>
  </w:style>
  <w:style w:type="table" w:styleId="TableGrid">
    <w:name w:val="Table Grid"/>
    <w:basedOn w:val="TableNormal"/>
    <w:rsid w:val="00E004FC"/>
    <w:pPr>
      <w:spacing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03492"/>
    <w:rPr>
      <w:color w:val="800080" w:themeColor="followedHyperlink"/>
      <w:u w:val="single"/>
    </w:rPr>
  </w:style>
  <w:style w:type="paragraph" w:styleId="Header">
    <w:name w:val="header"/>
    <w:basedOn w:val="Normal"/>
    <w:link w:val="HeaderChar"/>
    <w:uiPriority w:val="99"/>
    <w:unhideWhenUsed/>
    <w:rsid w:val="00BC3E4D"/>
    <w:pPr>
      <w:tabs>
        <w:tab w:val="center" w:pos="4819"/>
        <w:tab w:val="right" w:pos="9638"/>
      </w:tabs>
      <w:spacing w:line="240" w:lineRule="auto"/>
    </w:pPr>
  </w:style>
  <w:style w:type="character" w:customStyle="1" w:styleId="HeaderChar">
    <w:name w:val="Header Char"/>
    <w:basedOn w:val="DefaultParagraphFont"/>
    <w:link w:val="Header"/>
    <w:uiPriority w:val="99"/>
    <w:rsid w:val="00BC3E4D"/>
  </w:style>
  <w:style w:type="paragraph" w:styleId="Footer">
    <w:name w:val="footer"/>
    <w:basedOn w:val="Normal"/>
    <w:link w:val="FooterChar"/>
    <w:uiPriority w:val="99"/>
    <w:unhideWhenUsed/>
    <w:rsid w:val="00BC3E4D"/>
    <w:pPr>
      <w:tabs>
        <w:tab w:val="center" w:pos="4819"/>
        <w:tab w:val="right" w:pos="9638"/>
      </w:tabs>
      <w:spacing w:line="240" w:lineRule="auto"/>
    </w:pPr>
  </w:style>
  <w:style w:type="character" w:customStyle="1" w:styleId="FooterChar">
    <w:name w:val="Footer Char"/>
    <w:basedOn w:val="DefaultParagraphFont"/>
    <w:link w:val="Footer"/>
    <w:uiPriority w:val="99"/>
    <w:rsid w:val="00BC3E4D"/>
  </w:style>
  <w:style w:type="paragraph" w:styleId="BalloonText">
    <w:name w:val="Balloon Text"/>
    <w:basedOn w:val="Normal"/>
    <w:link w:val="BalloonTextChar"/>
    <w:uiPriority w:val="99"/>
    <w:semiHidden/>
    <w:unhideWhenUsed/>
    <w:rsid w:val="00EF4E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8560">
      <w:bodyDiv w:val="1"/>
      <w:marLeft w:val="0"/>
      <w:marRight w:val="0"/>
      <w:marTop w:val="0"/>
      <w:marBottom w:val="0"/>
      <w:divBdr>
        <w:top w:val="none" w:sz="0" w:space="0" w:color="auto"/>
        <w:left w:val="none" w:sz="0" w:space="0" w:color="auto"/>
        <w:bottom w:val="none" w:sz="0" w:space="0" w:color="auto"/>
        <w:right w:val="none" w:sz="0" w:space="0" w:color="auto"/>
      </w:divBdr>
    </w:div>
    <w:div w:id="21433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D0B2-84C7-4AD0-BFF3-52698D97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1060</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PTS</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Thomas</dc:creator>
  <cp:lastModifiedBy>Susanne Have</cp:lastModifiedBy>
  <cp:revision>6</cp:revision>
  <cp:lastPrinted>2011-11-01T08:12:00Z</cp:lastPrinted>
  <dcterms:created xsi:type="dcterms:W3CDTF">2011-11-15T16:59:00Z</dcterms:created>
  <dcterms:modified xsi:type="dcterms:W3CDTF">2011-11-16T12:25:00Z</dcterms:modified>
</cp:coreProperties>
</file>