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72" w:type="dxa"/>
        <w:tblLayout w:type="fixed"/>
        <w:tblCellMar>
          <w:left w:w="70" w:type="dxa"/>
          <w:right w:w="70" w:type="dxa"/>
        </w:tblCellMar>
        <w:tblLook w:val="04A0" w:firstRow="1" w:lastRow="0" w:firstColumn="1" w:lastColumn="0" w:noHBand="0" w:noVBand="1"/>
      </w:tblPr>
      <w:tblGrid>
        <w:gridCol w:w="1844"/>
        <w:gridCol w:w="2498"/>
        <w:gridCol w:w="1732"/>
        <w:gridCol w:w="3571"/>
      </w:tblGrid>
      <w:tr w:rsidR="00CE74F0" w:rsidTr="00CE74F0">
        <w:trPr>
          <w:cantSplit/>
        </w:trPr>
        <w:tc>
          <w:tcPr>
            <w:tcW w:w="6074" w:type="dxa"/>
            <w:gridSpan w:val="3"/>
          </w:tcPr>
          <w:p w:rsidR="00CE74F0" w:rsidRDefault="00CE74F0">
            <w:pPr>
              <w:tabs>
                <w:tab w:val="center" w:pos="4536"/>
                <w:tab w:val="right" w:pos="9072"/>
              </w:tabs>
              <w:rPr>
                <w:rFonts w:ascii="Arial" w:hAnsi="Arial"/>
                <w:b/>
                <w:sz w:val="22"/>
                <w:lang w:val="nb-NO" w:eastAsia="de-DE"/>
              </w:rPr>
            </w:pPr>
          </w:p>
          <w:p w:rsidR="00CE74F0" w:rsidRDefault="00CE74F0">
            <w:pPr>
              <w:tabs>
                <w:tab w:val="center" w:pos="4536"/>
                <w:tab w:val="right" w:pos="9072"/>
              </w:tabs>
              <w:rPr>
                <w:rFonts w:ascii="Arial" w:hAnsi="Arial"/>
                <w:b/>
                <w:sz w:val="22"/>
                <w:lang w:val="nb-NO" w:eastAsia="de-DE"/>
              </w:rPr>
            </w:pPr>
            <w:r>
              <w:rPr>
                <w:rFonts w:ascii="Arial" w:hAnsi="Arial"/>
                <w:b/>
                <w:noProof/>
                <w:sz w:val="22"/>
                <w:lang w:val="sv-SE" w:eastAsia="sv-SE"/>
              </w:rPr>
              <w:drawing>
                <wp:inline distT="0" distB="0" distL="0" distR="0" wp14:anchorId="3B228593" wp14:editId="366B2D5F">
                  <wp:extent cx="1943100" cy="5334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CE74F0" w:rsidRDefault="00CE74F0">
            <w:pPr>
              <w:tabs>
                <w:tab w:val="center" w:pos="4536"/>
                <w:tab w:val="right" w:pos="9072"/>
              </w:tabs>
              <w:rPr>
                <w:rFonts w:ascii="Arial" w:hAnsi="Arial" w:cs="Arial"/>
                <w:b/>
                <w:color w:val="000000"/>
                <w:sz w:val="22"/>
                <w:lang w:eastAsia="de-DE"/>
              </w:rPr>
            </w:pPr>
          </w:p>
        </w:tc>
        <w:tc>
          <w:tcPr>
            <w:tcW w:w="3571" w:type="dxa"/>
            <w:hideMark/>
          </w:tcPr>
          <w:p w:rsidR="00CE74F0" w:rsidRDefault="00CE74F0">
            <w:pPr>
              <w:tabs>
                <w:tab w:val="right" w:pos="3357"/>
                <w:tab w:val="right" w:pos="9072"/>
              </w:tabs>
              <w:rPr>
                <w:rFonts w:ascii="Arial" w:hAnsi="Arial"/>
                <w:b/>
                <w:sz w:val="22"/>
                <w:lang w:val="nb-NO" w:eastAsia="de-DE"/>
              </w:rPr>
            </w:pPr>
            <w:r>
              <w:rPr>
                <w:rFonts w:ascii="Arial" w:hAnsi="Arial"/>
                <w:b/>
                <w:sz w:val="22"/>
                <w:lang w:val="nb-NO" w:eastAsia="de-DE"/>
              </w:rPr>
              <w:tab/>
              <w:t>Doc. Com-ITU(11) 061</w:t>
            </w:r>
            <w:bookmarkStart w:id="0" w:name="_GoBack"/>
            <w:bookmarkEnd w:id="0"/>
          </w:p>
        </w:tc>
      </w:tr>
      <w:tr w:rsidR="00CE74F0" w:rsidTr="00CE74F0">
        <w:trPr>
          <w:cantSplit/>
          <w:trHeight w:val="405"/>
        </w:trPr>
        <w:tc>
          <w:tcPr>
            <w:tcW w:w="4342" w:type="dxa"/>
            <w:gridSpan w:val="2"/>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val="nb-NO" w:eastAsia="de-DE"/>
              </w:rPr>
            </w:pPr>
            <w:r>
              <w:rPr>
                <w:rFonts w:ascii="Arial" w:hAnsi="Arial"/>
                <w:b/>
                <w:sz w:val="22"/>
                <w:lang w:val="nb-NO" w:eastAsia="de-DE"/>
              </w:rPr>
              <w:t xml:space="preserve">Copenhagen, </w:t>
            </w:r>
          </w:p>
          <w:p w:rsidR="00CE74F0" w:rsidRDefault="00CE74F0">
            <w:pPr>
              <w:tabs>
                <w:tab w:val="center" w:pos="4536"/>
                <w:tab w:val="right" w:pos="9072"/>
              </w:tabs>
              <w:rPr>
                <w:rFonts w:ascii="Arial" w:hAnsi="Arial"/>
                <w:b/>
                <w:sz w:val="22"/>
                <w:lang w:val="nb-NO" w:eastAsia="de-DE"/>
              </w:rPr>
            </w:pPr>
            <w:r>
              <w:rPr>
                <w:rFonts w:ascii="Arial" w:hAnsi="Arial"/>
                <w:b/>
                <w:sz w:val="22"/>
                <w:lang w:val="nb-NO" w:eastAsia="de-DE"/>
              </w:rPr>
              <w:t>30 November – 2 December 2011</w:t>
            </w:r>
          </w:p>
        </w:tc>
        <w:tc>
          <w:tcPr>
            <w:tcW w:w="5303" w:type="dxa"/>
            <w:gridSpan w:val="2"/>
            <w:tcMar>
              <w:top w:w="0" w:type="dxa"/>
              <w:left w:w="108" w:type="dxa"/>
              <w:bottom w:w="0" w:type="dxa"/>
              <w:right w:w="108" w:type="dxa"/>
            </w:tcMar>
            <w:vAlign w:val="center"/>
          </w:tcPr>
          <w:p w:rsidR="00CE74F0" w:rsidRDefault="00CE74F0">
            <w:pPr>
              <w:tabs>
                <w:tab w:val="center" w:pos="4536"/>
                <w:tab w:val="right" w:pos="9072"/>
              </w:tabs>
              <w:rPr>
                <w:rFonts w:ascii="Arial" w:hAnsi="Arial"/>
                <w:b/>
                <w:sz w:val="22"/>
                <w:lang w:eastAsia="de-DE"/>
              </w:rPr>
            </w:pPr>
          </w:p>
        </w:tc>
      </w:tr>
      <w:tr w:rsidR="00CE74F0" w:rsidTr="00CE74F0">
        <w:trPr>
          <w:cantSplit/>
          <w:trHeight w:val="80"/>
        </w:trPr>
        <w:tc>
          <w:tcPr>
            <w:tcW w:w="4342" w:type="dxa"/>
            <w:gridSpan w:val="2"/>
            <w:tcMar>
              <w:top w:w="0" w:type="dxa"/>
              <w:left w:w="108" w:type="dxa"/>
              <w:bottom w:w="0" w:type="dxa"/>
              <w:right w:w="108" w:type="dxa"/>
            </w:tcMar>
            <w:vAlign w:val="center"/>
          </w:tcPr>
          <w:p w:rsidR="00CE74F0" w:rsidRDefault="00CE74F0">
            <w:pPr>
              <w:tabs>
                <w:tab w:val="center" w:pos="4536"/>
                <w:tab w:val="right" w:pos="9072"/>
              </w:tabs>
              <w:rPr>
                <w:rFonts w:ascii="Arial" w:hAnsi="Arial"/>
                <w:b/>
                <w:sz w:val="8"/>
                <w:lang w:val="nb-NO" w:eastAsia="de-DE"/>
              </w:rPr>
            </w:pPr>
          </w:p>
        </w:tc>
        <w:tc>
          <w:tcPr>
            <w:tcW w:w="5303" w:type="dxa"/>
            <w:gridSpan w:val="2"/>
            <w:tcMar>
              <w:top w:w="0" w:type="dxa"/>
              <w:left w:w="108" w:type="dxa"/>
              <w:bottom w:w="0" w:type="dxa"/>
              <w:right w:w="108" w:type="dxa"/>
            </w:tcMar>
            <w:vAlign w:val="center"/>
          </w:tcPr>
          <w:p w:rsidR="00CE74F0" w:rsidRDefault="00CE74F0">
            <w:pPr>
              <w:tabs>
                <w:tab w:val="center" w:pos="4536"/>
                <w:tab w:val="right" w:pos="9072"/>
              </w:tabs>
              <w:rPr>
                <w:rFonts w:ascii="Arial" w:hAnsi="Arial"/>
                <w:b/>
                <w:sz w:val="8"/>
                <w:lang w:eastAsia="de-DE"/>
              </w:rPr>
            </w:pPr>
          </w:p>
        </w:tc>
      </w:tr>
      <w:tr w:rsidR="00CE74F0" w:rsidTr="00CE74F0">
        <w:trPr>
          <w:cantSplit/>
          <w:trHeight w:val="405"/>
        </w:trPr>
        <w:tc>
          <w:tcPr>
            <w:tcW w:w="1844" w:type="dxa"/>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val="nb-NO" w:eastAsia="de-DE"/>
              </w:rPr>
            </w:pPr>
          </w:p>
          <w:p w:rsidR="00CE74F0" w:rsidRDefault="00CE74F0">
            <w:pPr>
              <w:tabs>
                <w:tab w:val="center" w:pos="4536"/>
                <w:tab w:val="right" w:pos="9072"/>
              </w:tabs>
              <w:rPr>
                <w:rFonts w:ascii="Arial" w:hAnsi="Arial"/>
                <w:b/>
                <w:sz w:val="22"/>
                <w:lang w:val="nb-NO" w:eastAsia="de-DE"/>
              </w:rPr>
            </w:pPr>
            <w:r>
              <w:rPr>
                <w:rFonts w:ascii="Arial" w:hAnsi="Arial"/>
                <w:b/>
                <w:sz w:val="22"/>
                <w:lang w:val="nb-NO" w:eastAsia="de-DE"/>
              </w:rPr>
              <w:t>Date issued:</w:t>
            </w:r>
          </w:p>
        </w:tc>
        <w:tc>
          <w:tcPr>
            <w:tcW w:w="7801" w:type="dxa"/>
            <w:gridSpan w:val="3"/>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eastAsia="de-DE"/>
              </w:rPr>
            </w:pPr>
            <w:r>
              <w:rPr>
                <w:rFonts w:ascii="Arial" w:hAnsi="Arial"/>
                <w:b/>
                <w:sz w:val="22"/>
                <w:lang w:eastAsia="de-DE"/>
              </w:rPr>
              <w:t>17 November 2011</w:t>
            </w:r>
          </w:p>
        </w:tc>
      </w:tr>
      <w:tr w:rsidR="00CE74F0" w:rsidTr="00CE74F0">
        <w:trPr>
          <w:cantSplit/>
          <w:trHeight w:val="405"/>
        </w:trPr>
        <w:tc>
          <w:tcPr>
            <w:tcW w:w="1844" w:type="dxa"/>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val="nb-NO" w:eastAsia="de-DE"/>
              </w:rPr>
            </w:pPr>
            <w:r>
              <w:rPr>
                <w:rFonts w:ascii="Arial" w:hAnsi="Arial"/>
                <w:b/>
                <w:sz w:val="22"/>
                <w:lang w:val="nb-NO" w:eastAsia="de-DE"/>
              </w:rPr>
              <w:t>Source:</w:t>
            </w:r>
          </w:p>
        </w:tc>
        <w:tc>
          <w:tcPr>
            <w:tcW w:w="7801" w:type="dxa"/>
            <w:gridSpan w:val="3"/>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eastAsia="de-DE"/>
              </w:rPr>
            </w:pPr>
            <w:r>
              <w:rPr>
                <w:rFonts w:ascii="Arial" w:hAnsi="Arial"/>
                <w:b/>
                <w:sz w:val="22"/>
                <w:lang w:eastAsia="de-DE"/>
              </w:rPr>
              <w:t>United Kingdom</w:t>
            </w:r>
          </w:p>
        </w:tc>
      </w:tr>
      <w:tr w:rsidR="00CE74F0" w:rsidTr="00CE74F0">
        <w:trPr>
          <w:cantSplit/>
          <w:trHeight w:val="405"/>
        </w:trPr>
        <w:tc>
          <w:tcPr>
            <w:tcW w:w="1844" w:type="dxa"/>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eastAsia="de-DE"/>
              </w:rPr>
            </w:pPr>
            <w:r>
              <w:rPr>
                <w:rFonts w:ascii="Arial" w:hAnsi="Arial"/>
                <w:b/>
                <w:sz w:val="22"/>
                <w:lang w:eastAsia="de-DE"/>
              </w:rPr>
              <w:t>Subject:</w:t>
            </w:r>
          </w:p>
        </w:tc>
        <w:tc>
          <w:tcPr>
            <w:tcW w:w="7801" w:type="dxa"/>
            <w:gridSpan w:val="3"/>
            <w:tcMar>
              <w:top w:w="0" w:type="dxa"/>
              <w:left w:w="108" w:type="dxa"/>
              <w:bottom w:w="0" w:type="dxa"/>
              <w:right w:w="108" w:type="dxa"/>
            </w:tcMar>
            <w:vAlign w:val="center"/>
            <w:hideMark/>
          </w:tcPr>
          <w:p w:rsidR="00CE74F0" w:rsidRDefault="00CE74F0">
            <w:pPr>
              <w:tabs>
                <w:tab w:val="center" w:pos="4536"/>
                <w:tab w:val="right" w:pos="9072"/>
              </w:tabs>
              <w:rPr>
                <w:rFonts w:ascii="Arial" w:hAnsi="Arial"/>
                <w:b/>
                <w:sz w:val="22"/>
                <w:lang w:eastAsia="de-DE"/>
              </w:rPr>
            </w:pPr>
            <w:r>
              <w:rPr>
                <w:rFonts w:ascii="Arial" w:hAnsi="Arial"/>
                <w:b/>
                <w:sz w:val="22"/>
                <w:lang w:eastAsia="de-DE"/>
              </w:rPr>
              <w:t>ITR Cybersecurity</w:t>
            </w:r>
          </w:p>
        </w:tc>
      </w:tr>
    </w:tbl>
    <w:p w:rsidR="00CE74F0" w:rsidRDefault="00CE74F0" w:rsidP="00CE74F0">
      <w:pPr>
        <w:rPr>
          <w:rFonts w:ascii="Arial" w:hAnsi="Arial"/>
          <w:sz w:val="22"/>
          <w:lang w:val="en-US" w:eastAsia="de-DE"/>
        </w:rPr>
      </w:pPr>
      <w:r>
        <w:rPr>
          <w:rFonts w:ascii="Verdana" w:hAnsi="Verdana"/>
          <w:noProof/>
          <w:sz w:val="18"/>
          <w:lang w:val="sv-SE" w:eastAsia="sv-S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9525" t="10160" r="9525" b="13970"/>
                <wp:wrapTight wrapText="bothSides">
                  <wp:wrapPolygon edited="0">
                    <wp:start x="-450" y="-759"/>
                    <wp:lineTo x="-450" y="21600"/>
                    <wp:lineTo x="22050" y="21600"/>
                    <wp:lineTo x="22050" y="-759"/>
                    <wp:lineTo x="-450" y="-759"/>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CE74F0" w:rsidRDefault="00CE74F0" w:rsidP="00CE74F0">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vPxUdicCAABPBAAADgAAAAAAAAAAAAAAAAAuAgAAZHJzL2Uy&#10;b0RvYy54bWxQSwECLQAUAAYACAAAACEAp9xGBeAAAAAJAQAADwAAAAAAAAAAAAAAAACBBAAAZHJz&#10;L2Rvd25yZXYueG1sUEsFBgAAAAAEAAQA8wAAAI4FAAAAAA==&#10;">
                <v:textbox>
                  <w:txbxContent>
                    <w:p w:rsidR="00CE74F0" w:rsidRDefault="00CE74F0" w:rsidP="00CE74F0">
                      <w:pPr>
                        <w:jc w:val="center"/>
                        <w:rPr>
                          <w:rFonts w:cs="Arial"/>
                          <w:lang w:val="de-DE"/>
                        </w:rPr>
                      </w:pPr>
                      <w:r>
                        <w:rPr>
                          <w:rFonts w:cs="Arial"/>
                          <w:lang w:val="de-DE"/>
                        </w:rPr>
                        <w:t>N</w:t>
                      </w:r>
                    </w:p>
                  </w:txbxContent>
                </v:textbox>
                <w10:wrap type="tight"/>
              </v:shape>
            </w:pict>
          </mc:Fallback>
        </mc:AlternateContent>
      </w:r>
    </w:p>
    <w:p w:rsidR="00CE74F0" w:rsidRDefault="00CE74F0" w:rsidP="00CE74F0">
      <w:pPr>
        <w:rPr>
          <w:rFonts w:ascii="Times New Roman" w:hAnsi="Times New Roman"/>
          <w:sz w:val="20"/>
          <w:szCs w:val="24"/>
        </w:rPr>
      </w:pPr>
      <w:r>
        <w:rPr>
          <w:rFonts w:ascii="Times New Roman" w:hAnsi="Times New Roman"/>
          <w:sz w:val="20"/>
        </w:rPr>
        <w:t xml:space="preserve">Password protection required? (Y/N) </w:t>
      </w:r>
    </w:p>
    <w:p w:rsidR="00CE74F0" w:rsidRDefault="00CE74F0" w:rsidP="00CE74F0">
      <w:pPr>
        <w:spacing w:after="120"/>
        <w:jc w:val="center"/>
        <w:rPr>
          <w:rFonts w:ascii="Arial" w:hAnsi="Arial"/>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CE74F0">
        <w:trPr>
          <w:cantSplit/>
          <w:trHeight w:val="446"/>
        </w:trPr>
        <w:tc>
          <w:tcPr>
            <w:tcW w:w="9640" w:type="dxa"/>
            <w:tcBorders>
              <w:top w:val="single" w:sz="4" w:space="0" w:color="auto"/>
              <w:left w:val="single" w:sz="4" w:space="0" w:color="auto"/>
              <w:bottom w:val="nil"/>
              <w:right w:val="single" w:sz="4" w:space="0" w:color="auto"/>
            </w:tcBorders>
            <w:hideMark/>
          </w:tcPr>
          <w:p w:rsidR="00CE74F0" w:rsidRDefault="00CE74F0">
            <w:pPr>
              <w:tabs>
                <w:tab w:val="center" w:pos="4536"/>
                <w:tab w:val="right" w:pos="9072"/>
              </w:tabs>
              <w:rPr>
                <w:rFonts w:ascii="Arial" w:hAnsi="Arial"/>
                <w:b/>
                <w:sz w:val="22"/>
                <w:lang w:val="en-US" w:eastAsia="de-DE"/>
              </w:rPr>
            </w:pPr>
            <w:r>
              <w:rPr>
                <w:rFonts w:ascii="Arial" w:hAnsi="Arial"/>
                <w:b/>
                <w:sz w:val="22"/>
                <w:lang w:val="en-US" w:eastAsia="de-DE"/>
              </w:rPr>
              <w:t xml:space="preserve">Summary: </w:t>
            </w:r>
          </w:p>
        </w:tc>
      </w:tr>
      <w:tr w:rsidR="00CE74F0">
        <w:trPr>
          <w:cantSplit/>
          <w:trHeight w:val="1112"/>
        </w:trPr>
        <w:tc>
          <w:tcPr>
            <w:tcW w:w="9640" w:type="dxa"/>
            <w:tcBorders>
              <w:top w:val="nil"/>
              <w:left w:val="single" w:sz="4" w:space="0" w:color="auto"/>
              <w:bottom w:val="single" w:sz="4" w:space="0" w:color="auto"/>
              <w:right w:val="single" w:sz="4" w:space="0" w:color="auto"/>
            </w:tcBorders>
          </w:tcPr>
          <w:p w:rsidR="00CE74F0" w:rsidRDefault="00CE74F0" w:rsidP="00CE74F0">
            <w:pPr>
              <w:rPr>
                <w:rFonts w:ascii="Arial" w:hAnsi="Arial"/>
                <w:sz w:val="22"/>
                <w:szCs w:val="24"/>
                <w:lang w:val="nb-NO" w:eastAsia="de-DE"/>
              </w:rPr>
            </w:pPr>
          </w:p>
        </w:tc>
      </w:tr>
      <w:tr w:rsidR="00CE74F0">
        <w:trPr>
          <w:cantSplit/>
          <w:trHeight w:val="443"/>
        </w:trPr>
        <w:tc>
          <w:tcPr>
            <w:tcW w:w="9640" w:type="dxa"/>
            <w:tcBorders>
              <w:top w:val="single" w:sz="4" w:space="0" w:color="auto"/>
              <w:left w:val="single" w:sz="4" w:space="0" w:color="auto"/>
              <w:bottom w:val="nil"/>
              <w:right w:val="single" w:sz="4" w:space="0" w:color="auto"/>
            </w:tcBorders>
            <w:hideMark/>
          </w:tcPr>
          <w:p w:rsidR="00CE74F0" w:rsidRDefault="00CE74F0">
            <w:pPr>
              <w:tabs>
                <w:tab w:val="center" w:pos="4536"/>
                <w:tab w:val="right" w:pos="9072"/>
              </w:tabs>
              <w:rPr>
                <w:rFonts w:ascii="Arial" w:hAnsi="Arial"/>
                <w:b/>
                <w:sz w:val="22"/>
                <w:lang w:val="en-US" w:eastAsia="de-DE"/>
              </w:rPr>
            </w:pPr>
            <w:r>
              <w:rPr>
                <w:rFonts w:ascii="Arial" w:hAnsi="Arial"/>
                <w:b/>
                <w:sz w:val="22"/>
                <w:lang w:val="en-US" w:eastAsia="de-DE"/>
              </w:rPr>
              <w:t xml:space="preserve">Proposal: </w:t>
            </w:r>
          </w:p>
        </w:tc>
      </w:tr>
      <w:tr w:rsidR="00CE74F0">
        <w:trPr>
          <w:cantSplit/>
          <w:trHeight w:val="945"/>
        </w:trPr>
        <w:tc>
          <w:tcPr>
            <w:tcW w:w="9640" w:type="dxa"/>
            <w:tcBorders>
              <w:top w:val="nil"/>
              <w:left w:val="single" w:sz="4" w:space="0" w:color="auto"/>
              <w:bottom w:val="single" w:sz="4" w:space="0" w:color="auto"/>
              <w:right w:val="single" w:sz="4" w:space="0" w:color="auto"/>
            </w:tcBorders>
          </w:tcPr>
          <w:p w:rsidR="00CE74F0" w:rsidRDefault="00CE74F0">
            <w:pPr>
              <w:rPr>
                <w:rFonts w:ascii="Arial" w:hAnsi="Arial"/>
                <w:sz w:val="22"/>
                <w:szCs w:val="24"/>
                <w:lang w:val="en-US" w:eastAsia="de-DE"/>
              </w:rPr>
            </w:pPr>
            <w:r>
              <w:rPr>
                <w:rFonts w:ascii="Times New Roman" w:hAnsi="Times New Roman"/>
                <w:sz w:val="20"/>
                <w:lang w:val="en-US"/>
              </w:rPr>
              <w:t>For consideration.</w:t>
            </w:r>
          </w:p>
          <w:p w:rsidR="00CE74F0" w:rsidRDefault="00CE74F0">
            <w:pPr>
              <w:spacing w:after="120"/>
              <w:jc w:val="both"/>
              <w:rPr>
                <w:rFonts w:ascii="Arial" w:hAnsi="Arial"/>
                <w:sz w:val="22"/>
                <w:szCs w:val="24"/>
                <w:lang w:val="en-US" w:eastAsia="de-DE"/>
              </w:rPr>
            </w:pPr>
          </w:p>
        </w:tc>
      </w:tr>
      <w:tr w:rsidR="00CE74F0">
        <w:trPr>
          <w:cantSplit/>
          <w:trHeight w:val="431"/>
        </w:trPr>
        <w:tc>
          <w:tcPr>
            <w:tcW w:w="9640" w:type="dxa"/>
            <w:tcBorders>
              <w:top w:val="single" w:sz="4" w:space="0" w:color="auto"/>
              <w:left w:val="single" w:sz="4" w:space="0" w:color="auto"/>
              <w:bottom w:val="nil"/>
              <w:right w:val="single" w:sz="4" w:space="0" w:color="auto"/>
            </w:tcBorders>
            <w:hideMark/>
          </w:tcPr>
          <w:p w:rsidR="00CE74F0" w:rsidRDefault="00CE74F0">
            <w:pPr>
              <w:tabs>
                <w:tab w:val="center" w:pos="4536"/>
                <w:tab w:val="right" w:pos="9072"/>
              </w:tabs>
              <w:rPr>
                <w:rFonts w:ascii="Arial" w:hAnsi="Arial"/>
                <w:b/>
                <w:sz w:val="22"/>
                <w:lang w:val="en-US" w:eastAsia="de-DE"/>
              </w:rPr>
            </w:pPr>
            <w:r>
              <w:rPr>
                <w:rFonts w:ascii="Arial" w:hAnsi="Arial"/>
                <w:b/>
                <w:sz w:val="22"/>
                <w:lang w:val="en-US" w:eastAsia="de-DE"/>
              </w:rPr>
              <w:t xml:space="preserve">Background: </w:t>
            </w:r>
          </w:p>
        </w:tc>
      </w:tr>
      <w:tr w:rsidR="00CE74F0">
        <w:trPr>
          <w:cantSplit/>
          <w:trHeight w:val="784"/>
        </w:trPr>
        <w:tc>
          <w:tcPr>
            <w:tcW w:w="9640" w:type="dxa"/>
            <w:tcBorders>
              <w:top w:val="nil"/>
              <w:left w:val="single" w:sz="4" w:space="0" w:color="auto"/>
              <w:bottom w:val="single" w:sz="4" w:space="0" w:color="auto"/>
              <w:right w:val="single" w:sz="4" w:space="0" w:color="auto"/>
            </w:tcBorders>
          </w:tcPr>
          <w:p w:rsidR="00CE74F0" w:rsidRDefault="00CE74F0">
            <w:pPr>
              <w:spacing w:after="120"/>
              <w:jc w:val="both"/>
              <w:rPr>
                <w:rFonts w:ascii="Arial" w:hAnsi="Arial"/>
                <w:bCs/>
                <w:sz w:val="22"/>
                <w:szCs w:val="24"/>
                <w:lang w:eastAsia="de-DE"/>
              </w:rPr>
            </w:pPr>
          </w:p>
        </w:tc>
      </w:tr>
    </w:tbl>
    <w:p w:rsidR="00CE74F0" w:rsidRDefault="00CE74F0" w:rsidP="00CE74F0">
      <w:pPr>
        <w:rPr>
          <w:rFonts w:ascii="Verdana" w:hAnsi="Verdana"/>
          <w:sz w:val="18"/>
          <w:szCs w:val="24"/>
          <w:lang w:val="en-US" w:eastAsia="nl-NL"/>
        </w:rPr>
      </w:pPr>
    </w:p>
    <w:p w:rsidR="00CE74F0" w:rsidRDefault="00CE74F0" w:rsidP="00CE74F0">
      <w:pPr>
        <w:pStyle w:val="Title3"/>
        <w:rPr>
          <w:b/>
          <w:bCs/>
        </w:rPr>
      </w:pPr>
      <w:r>
        <w:rPr>
          <w:lang w:val="en-US"/>
        </w:rPr>
        <w:br w:type="page"/>
      </w:r>
      <w:r w:rsidRPr="0016430C">
        <w:rPr>
          <w:b/>
          <w:bCs/>
        </w:rPr>
        <w:lastRenderedPageBreak/>
        <w:t xml:space="preserve">European Common </w:t>
      </w:r>
      <w:commentRangeStart w:id="1"/>
      <w:r w:rsidRPr="0016430C">
        <w:rPr>
          <w:b/>
          <w:bCs/>
        </w:rPr>
        <w:t>Proposal</w:t>
      </w:r>
      <w:r>
        <w:rPr>
          <w:b/>
          <w:bCs/>
        </w:rPr>
        <w:t>/Position</w:t>
      </w:r>
      <w:r w:rsidRPr="0016430C">
        <w:t xml:space="preserve"> </w:t>
      </w:r>
      <w:commentRangeEnd w:id="1"/>
      <w:r>
        <w:rPr>
          <w:rStyle w:val="Kommentarsreferens"/>
        </w:rPr>
        <w:commentReference w:id="1"/>
      </w:r>
      <w:r>
        <w:t>&lt;</w:t>
      </w:r>
      <w:r>
        <w:rPr>
          <w:b/>
          <w:bCs/>
        </w:rPr>
        <w:t>xx&gt;</w:t>
      </w:r>
    </w:p>
    <w:p w:rsidR="00CE74F0" w:rsidRDefault="00CE74F0" w:rsidP="00CE74F0">
      <w:pPr>
        <w:pStyle w:val="Title3"/>
        <w:rPr>
          <w:b/>
          <w:szCs w:val="28"/>
        </w:rPr>
      </w:pPr>
      <w:r>
        <w:rPr>
          <w:b/>
          <w:szCs w:val="28"/>
        </w:rPr>
        <w:t>Cybersecurity inclusion in the International Telecommunications Regulations</w:t>
      </w:r>
    </w:p>
    <w:p w:rsidR="00093ACE" w:rsidRDefault="00093ACE"/>
    <w:tbl>
      <w:tblPr>
        <w:tblpPr w:leftFromText="180" w:rightFromText="180" w:horzAnchor="margin" w:tblpY="-675"/>
        <w:tblW w:w="10031" w:type="dxa"/>
        <w:tblLayout w:type="fixed"/>
        <w:tblLook w:val="0000" w:firstRow="0" w:lastRow="0" w:firstColumn="0" w:lastColumn="0" w:noHBand="0" w:noVBand="0"/>
      </w:tblPr>
      <w:tblGrid>
        <w:gridCol w:w="10031"/>
      </w:tblGrid>
      <w:tr w:rsidR="00EF61D2" w:rsidRPr="0016430C" w:rsidTr="00A54D89">
        <w:trPr>
          <w:cantSplit/>
        </w:trPr>
        <w:tc>
          <w:tcPr>
            <w:tcW w:w="10031" w:type="dxa"/>
          </w:tcPr>
          <w:p w:rsidR="00EF61D2" w:rsidRDefault="00EF61D2" w:rsidP="00A54D89">
            <w:pPr>
              <w:pStyle w:val="Part"/>
              <w:rPr>
                <w:b/>
                <w:bCs/>
              </w:rPr>
            </w:pPr>
          </w:p>
          <w:p w:rsidR="00EF61D2" w:rsidRPr="0016430C" w:rsidRDefault="00EF61D2" w:rsidP="009053DC">
            <w:pPr>
              <w:pStyle w:val="Part"/>
            </w:pPr>
          </w:p>
        </w:tc>
      </w:tr>
      <w:tr w:rsidR="00EF61D2" w:rsidRPr="0016430C" w:rsidTr="00A54D89">
        <w:trPr>
          <w:cantSplit/>
        </w:trPr>
        <w:tc>
          <w:tcPr>
            <w:tcW w:w="10031" w:type="dxa"/>
          </w:tcPr>
          <w:p w:rsidR="00652A4B" w:rsidRPr="00652A4B" w:rsidRDefault="00652A4B" w:rsidP="00CE74F0">
            <w:pPr>
              <w:pStyle w:val="Title3"/>
            </w:pPr>
          </w:p>
        </w:tc>
      </w:tr>
    </w:tbl>
    <w:p w:rsidR="00EF61D2" w:rsidRDefault="00EF61D2" w:rsidP="00EF61D2">
      <w:pPr>
        <w:rPr>
          <w:b/>
        </w:rPr>
      </w:pPr>
      <w:r>
        <w:rPr>
          <w:b/>
        </w:rPr>
        <w:t>Background</w:t>
      </w:r>
    </w:p>
    <w:p w:rsidR="00641E4D" w:rsidRDefault="00C94603" w:rsidP="00EF61D2">
      <w:r>
        <w:t>Over the years the ITU has</w:t>
      </w:r>
      <w:r w:rsidR="004109BB">
        <w:t xml:space="preserve"> developed a number of activities with regard to cybersecurity. These activities are based around Action Line C5 of the World Summit of the Information Society (WSIS) on ‘</w:t>
      </w:r>
      <w:r w:rsidR="00641E4D">
        <w:t>buildi</w:t>
      </w:r>
      <w:r w:rsidR="004109BB">
        <w:t xml:space="preserve">ng confidence </w:t>
      </w:r>
      <w:r w:rsidR="007B323A">
        <w:t>and security in the use of ICTs’</w:t>
      </w:r>
      <w:r w:rsidR="004109BB">
        <w:t xml:space="preserve"> of the Geneva Action Plan. The ITU also has work inputs on cyber issues through PP Resolution 130 (Rev. Guadalajara</w:t>
      </w:r>
      <w:r w:rsidR="007B323A">
        <w:t xml:space="preserve"> 2010</w:t>
      </w:r>
      <w:r w:rsidR="004109BB">
        <w:t xml:space="preserve">); </w:t>
      </w:r>
      <w:r w:rsidR="00641E4D">
        <w:t>Resolution 174 (Guadalajara 2010); Resolution 179 (Guadalajara 2010) and Re</w:t>
      </w:r>
      <w:r w:rsidR="00EF2091">
        <w:t>solution 181 (Guadalajara 2010), as well as ITU-T WTSA Resolution 50 (Johannesburg 2008). Lastly, ITU Council Resolution 1305 adopted at its 2009 session, identified the security, safety, continuity, sustainability and robustness of the Internet as public policy issues that fall within the scope of the ITU.</w:t>
      </w:r>
    </w:p>
    <w:p w:rsidR="00AE5335" w:rsidRDefault="00AE5335" w:rsidP="00EF61D2">
      <w:r>
        <w:t xml:space="preserve">However, </w:t>
      </w:r>
      <w:smartTag w:uri="urn:schemas-microsoft-com:office:smarttags" w:element="stockticker">
        <w:r>
          <w:t>ITU</w:t>
        </w:r>
      </w:smartTag>
      <w:r>
        <w:t xml:space="preserve"> Resolution 130 (Rev. Guadalajara 2010) resolves that the </w:t>
      </w:r>
      <w:smartTag w:uri="urn:schemas-microsoft-com:office:smarttags" w:element="stockticker">
        <w:r>
          <w:t>ITU</w:t>
        </w:r>
      </w:smartTag>
      <w:r>
        <w:t xml:space="preserve"> should not get involved in drafting laws, and that issues around content</w:t>
      </w:r>
      <w:r w:rsidR="002E3812">
        <w:rPr>
          <w:rStyle w:val="Fotnotsreferens"/>
        </w:rPr>
        <w:footnoteReference w:id="1"/>
      </w:r>
      <w:r>
        <w:t>, cybercrime</w:t>
      </w:r>
      <w:r w:rsidR="00657F7A">
        <w:rPr>
          <w:rStyle w:val="Fotnotsreferens"/>
        </w:rPr>
        <w:footnoteReference w:id="2"/>
      </w:r>
      <w:r>
        <w:t>, national defence</w:t>
      </w:r>
      <w:r w:rsidR="00657F7A">
        <w:t xml:space="preserve"> and </w:t>
      </w:r>
      <w:r>
        <w:t>security</w:t>
      </w:r>
      <w:r w:rsidR="00657F7A">
        <w:rPr>
          <w:rStyle w:val="Fotnotsreferens"/>
        </w:rPr>
        <w:footnoteReference w:id="3"/>
      </w:r>
      <w:r>
        <w:t xml:space="preserve"> is a national matter and outside the scope of the </w:t>
      </w:r>
      <w:smartTag w:uri="urn:schemas-microsoft-com:office:smarttags" w:element="stockticker">
        <w:r>
          <w:t>ITU</w:t>
        </w:r>
      </w:smartTag>
      <w:r>
        <w:t>.</w:t>
      </w:r>
    </w:p>
    <w:p w:rsidR="00EF61D2" w:rsidRDefault="00EF61D2" w:rsidP="00EF61D2">
      <w:pPr>
        <w:rPr>
          <w:b/>
          <w:lang w:val="en-US"/>
        </w:rPr>
      </w:pPr>
      <w:r>
        <w:rPr>
          <w:b/>
          <w:lang w:val="en-US"/>
        </w:rPr>
        <w:t>Analysis</w:t>
      </w:r>
    </w:p>
    <w:p w:rsidR="002818BA" w:rsidRDefault="002818BA" w:rsidP="00EF61D2">
      <w:pPr>
        <w:rPr>
          <w:b/>
          <w:lang w:val="en-US"/>
        </w:rPr>
      </w:pPr>
      <w:r>
        <w:rPr>
          <w:b/>
          <w:lang w:val="en-US"/>
        </w:rPr>
        <w:t>Cybersecurity</w:t>
      </w:r>
    </w:p>
    <w:p w:rsidR="00A84892" w:rsidRDefault="007B323A" w:rsidP="00EF61D2">
      <w:pPr>
        <w:rPr>
          <w:lang w:val="en-US"/>
        </w:rPr>
      </w:pPr>
      <w:r>
        <w:rPr>
          <w:lang w:val="en-US"/>
        </w:rPr>
        <w:t>Any proposals that include cyberse</w:t>
      </w:r>
      <w:r w:rsidR="00DD42C7">
        <w:rPr>
          <w:lang w:val="en-US"/>
        </w:rPr>
        <w:t>curity would need to be looked a</w:t>
      </w:r>
      <w:r>
        <w:rPr>
          <w:lang w:val="en-US"/>
        </w:rPr>
        <w:t>t to see if they were consistent with the principles expressed in PP Resoluti</w:t>
      </w:r>
      <w:r w:rsidR="002E3812">
        <w:rPr>
          <w:lang w:val="en-US"/>
        </w:rPr>
        <w:t xml:space="preserve">on 130 (Rev. Guadalajara, 2010). </w:t>
      </w:r>
      <w:r w:rsidR="002818BA">
        <w:rPr>
          <w:lang w:val="en-US"/>
        </w:rPr>
        <w:t xml:space="preserve">In </w:t>
      </w:r>
      <w:r w:rsidR="002818BA">
        <w:rPr>
          <w:lang w:val="en-US"/>
        </w:rPr>
        <w:lastRenderedPageBreak/>
        <w:t>effect, only aspects of cybersecurity that protect networks from technical harm would likely be acceptable to be addressed in the revised ITRs.</w:t>
      </w:r>
    </w:p>
    <w:p w:rsidR="002818BA" w:rsidRDefault="002818BA" w:rsidP="00EF61D2">
      <w:pPr>
        <w:rPr>
          <w:lang w:val="en-US"/>
        </w:rPr>
      </w:pPr>
      <w:r>
        <w:rPr>
          <w:lang w:val="en-US"/>
        </w:rPr>
        <w:t>It should also be noted that under PP Resolution 171 (Guadalajara 2010), the ITRs should contain “strategic and policy principles” and be “of relevance to be included an international treaty”. It could be argued that including cybersecurity issues within the ITRs is in contravention of PP Resolution 171 (Guadalajara 2010); as it is likely to stray into issues around content and other national policy, legal, regulatory issues.</w:t>
      </w:r>
    </w:p>
    <w:p w:rsidR="004F3240" w:rsidRDefault="004F3240" w:rsidP="004F3240">
      <w:pPr>
        <w:rPr>
          <w:lang w:val="en-US"/>
        </w:rPr>
      </w:pPr>
      <w:r>
        <w:rPr>
          <w:lang w:val="en-US"/>
        </w:rPr>
        <w:t>There is also an issue on whether any final wording on cybersecurity can be sufficiently high level</w:t>
      </w:r>
      <w:r w:rsidR="002E3812">
        <w:rPr>
          <w:lang w:val="en-US"/>
        </w:rPr>
        <w:t xml:space="preserve"> enough, remain</w:t>
      </w:r>
      <w:r>
        <w:rPr>
          <w:lang w:val="en-US"/>
        </w:rPr>
        <w:t xml:space="preserve"> technological neutral</w:t>
      </w:r>
      <w:r w:rsidR="002E3812">
        <w:rPr>
          <w:lang w:val="en-US"/>
        </w:rPr>
        <w:t>,</w:t>
      </w:r>
      <w:r>
        <w:rPr>
          <w:lang w:val="en-US"/>
        </w:rPr>
        <w:t xml:space="preserve"> and is worded so to ensure </w:t>
      </w:r>
      <w:r w:rsidR="002E3812">
        <w:rPr>
          <w:lang w:val="en-US"/>
        </w:rPr>
        <w:t>the longevity of the</w:t>
      </w:r>
      <w:r>
        <w:rPr>
          <w:lang w:val="en-US"/>
        </w:rPr>
        <w:t xml:space="preserve"> final texts, but which also does not breach CEPT criterion 4</w:t>
      </w:r>
      <w:r w:rsidR="00BF56E3">
        <w:rPr>
          <w:rStyle w:val="Fotnotsreferens"/>
          <w:lang w:val="en-US"/>
        </w:rPr>
        <w:footnoteReference w:id="4"/>
      </w:r>
      <w:r>
        <w:rPr>
          <w:lang w:val="en-US"/>
        </w:rPr>
        <w:t xml:space="preserve"> for the World Conference on International Telecommunications 2012.</w:t>
      </w:r>
    </w:p>
    <w:p w:rsidR="00EF61D2" w:rsidRDefault="00EF61D2" w:rsidP="00EF61D2">
      <w:pPr>
        <w:rPr>
          <w:lang w:val="en-US"/>
        </w:rPr>
      </w:pPr>
      <w:r w:rsidRPr="0016430C">
        <w:rPr>
          <w:b/>
          <w:lang w:val="en-US"/>
        </w:rPr>
        <w:t>Proposal</w:t>
      </w:r>
      <w:r w:rsidR="00652A4B">
        <w:rPr>
          <w:b/>
          <w:lang w:val="en-US"/>
        </w:rPr>
        <w:br/>
      </w:r>
      <w:r w:rsidR="00A26601">
        <w:rPr>
          <w:lang w:val="en-US"/>
        </w:rPr>
        <w:t xml:space="preserve">That CEPT </w:t>
      </w:r>
      <w:r w:rsidR="00A26601" w:rsidRPr="00A26601">
        <w:rPr>
          <w:u w:val="single"/>
          <w:lang w:val="en-US"/>
        </w:rPr>
        <w:t xml:space="preserve">resists </w:t>
      </w:r>
      <w:r w:rsidR="00A26601">
        <w:rPr>
          <w:lang w:val="en-US"/>
        </w:rPr>
        <w:t>any text relating to ‘</w:t>
      </w:r>
      <w:r w:rsidR="00A26601" w:rsidRPr="00A26601">
        <w:rPr>
          <w:u w:val="single"/>
          <w:lang w:val="en-US"/>
        </w:rPr>
        <w:t xml:space="preserve">cybersecurity’ </w:t>
      </w:r>
      <w:r w:rsidR="00A26601">
        <w:rPr>
          <w:lang w:val="en-US"/>
        </w:rPr>
        <w:t>being inserted into the revised ITRs as per CEPT criterion 4: “exclusion of areas related to Member States’ application of legal or policy principles which are within th</w:t>
      </w:r>
      <w:r w:rsidR="002E3812">
        <w:rPr>
          <w:lang w:val="en-US"/>
        </w:rPr>
        <w:t>eir sovereign rights’ e.g. those issues covering content, cy</w:t>
      </w:r>
      <w:r w:rsidR="00705F83">
        <w:rPr>
          <w:lang w:val="en-US"/>
        </w:rPr>
        <w:t>bercrime and national security and</w:t>
      </w:r>
      <w:r w:rsidR="002E3812">
        <w:rPr>
          <w:lang w:val="en-US"/>
        </w:rPr>
        <w:t xml:space="preserve"> defence.</w:t>
      </w:r>
    </w:p>
    <w:p w:rsidR="00237259" w:rsidRPr="00A26601" w:rsidRDefault="00237259" w:rsidP="00EF61D2">
      <w:pPr>
        <w:rPr>
          <w:lang w:val="en-US"/>
        </w:rPr>
      </w:pPr>
    </w:p>
    <w:p w:rsidR="00EF61D2" w:rsidRPr="0016430C" w:rsidRDefault="00EF61D2" w:rsidP="00EF61D2">
      <w:pPr>
        <w:pStyle w:val="NormalS2"/>
      </w:pPr>
      <w:r>
        <w:t>EUR/</w:t>
      </w:r>
      <w:commentRangeStart w:id="2"/>
      <w:r>
        <w:t>xx</w:t>
      </w:r>
      <w:commentRangeEnd w:id="2"/>
      <w:r>
        <w:rPr>
          <w:rStyle w:val="Kommentarsreferens"/>
          <w:b w:val="0"/>
        </w:rPr>
        <w:commentReference w:id="2"/>
      </w:r>
      <w:r>
        <w:t>/n</w:t>
      </w:r>
    </w:p>
    <w:p w:rsidR="00EF61D2" w:rsidRPr="0016430C" w:rsidRDefault="00EF61D2" w:rsidP="00EF61D2">
      <w:pPr>
        <w:pStyle w:val="NormalendS2"/>
        <w:rPr>
          <w:lang w:val="en-US"/>
        </w:rPr>
      </w:pPr>
    </w:p>
    <w:p w:rsidR="00EF61D2" w:rsidRPr="0016430C" w:rsidRDefault="00EF61D2" w:rsidP="0025539E">
      <w:pPr>
        <w:tabs>
          <w:tab w:val="clear" w:pos="567"/>
          <w:tab w:val="clear" w:pos="1134"/>
          <w:tab w:val="clear" w:pos="1701"/>
          <w:tab w:val="clear" w:pos="2268"/>
          <w:tab w:val="clear" w:pos="2835"/>
        </w:tabs>
        <w:overflowPunct/>
        <w:autoSpaceDE/>
        <w:autoSpaceDN/>
        <w:adjustRightInd/>
        <w:spacing w:before="0"/>
        <w:textAlignment w:val="auto"/>
        <w:rPr>
          <w:szCs w:val="24"/>
          <w:lang w:val="en-US"/>
        </w:rPr>
      </w:pPr>
    </w:p>
    <w:sectPr w:rsidR="00EF61D2" w:rsidRPr="0016430C" w:rsidSect="008361C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ushton" w:date="2011-11-17T13:56:00Z" w:initials="PM">
    <w:p w:rsidR="00CE74F0" w:rsidRDefault="00CE74F0" w:rsidP="00CE74F0">
      <w:pPr>
        <w:pStyle w:val="Kommentarer"/>
      </w:pPr>
      <w:r>
        <w:rPr>
          <w:rStyle w:val="Kommentarsreferens"/>
        </w:rPr>
        <w:annotationRef/>
      </w:r>
      <w:r>
        <w:t>Delete which ever is not required</w:t>
      </w:r>
    </w:p>
  </w:comment>
  <w:comment w:id="2" w:author="Rushton" w:date="2011-10-06T15:53:00Z" w:initials="PM">
    <w:p w:rsidR="00EF61D2" w:rsidRDefault="00EF61D2">
      <w:pPr>
        <w:pStyle w:val="Kommentarer"/>
      </w:pPr>
      <w:r>
        <w:rPr>
          <w:rStyle w:val="Kommentarsreferens"/>
        </w:rPr>
        <w:annotationRef/>
      </w:r>
      <w:r>
        <w:t>This will be the  number of the document in the conference containing the ECp’s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CA" w:rsidRDefault="005D50CA" w:rsidP="00EF61D2">
      <w:pPr>
        <w:spacing w:before="0"/>
      </w:pPr>
      <w:r>
        <w:separator/>
      </w:r>
    </w:p>
  </w:endnote>
  <w:endnote w:type="continuationSeparator" w:id="0">
    <w:p w:rsidR="005D50CA" w:rsidRDefault="005D50CA" w:rsidP="00EF61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CA" w:rsidRDefault="005D50CA" w:rsidP="00EF61D2">
      <w:pPr>
        <w:spacing w:before="0"/>
      </w:pPr>
      <w:r>
        <w:separator/>
      </w:r>
    </w:p>
  </w:footnote>
  <w:footnote w:type="continuationSeparator" w:id="0">
    <w:p w:rsidR="005D50CA" w:rsidRDefault="005D50CA" w:rsidP="00EF61D2">
      <w:pPr>
        <w:spacing w:before="0"/>
      </w:pPr>
      <w:r>
        <w:continuationSeparator/>
      </w:r>
    </w:p>
  </w:footnote>
  <w:footnote w:id="1">
    <w:p w:rsidR="002E3812" w:rsidRDefault="002E3812">
      <w:pPr>
        <w:pStyle w:val="Fotnotstext"/>
      </w:pPr>
      <w:r>
        <w:rPr>
          <w:rStyle w:val="Fotnotsreferens"/>
        </w:rPr>
        <w:footnoteRef/>
      </w:r>
      <w:r>
        <w:t xml:space="preserve"> </w:t>
      </w:r>
      <w:r w:rsidRPr="00657F7A">
        <w:rPr>
          <w:u w:val="single"/>
        </w:rPr>
        <w:t>Content</w:t>
      </w:r>
      <w:r>
        <w:t xml:space="preserve"> can be defined as data that move over networks. The ITU responsibilities are to ensure the interoperability of the underlying systems that enable </w:t>
      </w:r>
      <w:r w:rsidR="00657F7A">
        <w:t xml:space="preserve">network </w:t>
      </w:r>
      <w:r>
        <w:t xml:space="preserve">communications to happen, but not </w:t>
      </w:r>
      <w:r w:rsidR="00657F7A">
        <w:t xml:space="preserve">the content that move over these network infrastructures. </w:t>
      </w:r>
    </w:p>
  </w:footnote>
  <w:footnote w:id="2">
    <w:p w:rsidR="00657F7A" w:rsidRPr="00657F7A" w:rsidRDefault="00657F7A">
      <w:pPr>
        <w:pStyle w:val="Fotnotstext"/>
        <w:rPr>
          <w:rFonts w:asciiTheme="minorHAnsi" w:hAnsiTheme="minorHAnsi" w:cstheme="minorHAnsi"/>
          <w:szCs w:val="24"/>
        </w:rPr>
      </w:pPr>
      <w:r>
        <w:rPr>
          <w:rStyle w:val="Fotnotsreferens"/>
        </w:rPr>
        <w:footnoteRef/>
      </w:r>
      <w:r>
        <w:t xml:space="preserve"> </w:t>
      </w:r>
      <w:r w:rsidRPr="00657F7A">
        <w:rPr>
          <w:rFonts w:asciiTheme="minorHAnsi" w:hAnsiTheme="minorHAnsi" w:cstheme="minorHAnsi"/>
          <w:szCs w:val="24"/>
        </w:rPr>
        <w:t xml:space="preserve">The Council of Europe's </w:t>
      </w:r>
      <w:r>
        <w:rPr>
          <w:rFonts w:asciiTheme="minorHAnsi" w:hAnsiTheme="minorHAnsi" w:cstheme="minorHAnsi"/>
          <w:szCs w:val="24"/>
        </w:rPr>
        <w:t>Budapest Convention</w:t>
      </w:r>
      <w:r w:rsidRPr="00657F7A">
        <w:rPr>
          <w:rFonts w:asciiTheme="minorHAnsi" w:hAnsiTheme="minorHAnsi" w:cstheme="minorHAnsi"/>
          <w:szCs w:val="24"/>
        </w:rPr>
        <w:t xml:space="preserve"> uses the term '</w:t>
      </w:r>
      <w:r w:rsidRPr="00657F7A">
        <w:rPr>
          <w:rFonts w:asciiTheme="minorHAnsi" w:hAnsiTheme="minorHAnsi" w:cstheme="minorHAnsi"/>
          <w:szCs w:val="24"/>
          <w:u w:val="single"/>
        </w:rPr>
        <w:t>cybercrime'</w:t>
      </w:r>
      <w:r w:rsidRPr="00657F7A">
        <w:rPr>
          <w:rFonts w:asciiTheme="minorHAnsi" w:hAnsiTheme="minorHAnsi" w:cstheme="minorHAnsi"/>
          <w:szCs w:val="24"/>
        </w:rPr>
        <w:t xml:space="preserve"> to refer to offenses ranging from criminal activity against data to content and copyright infringement</w:t>
      </w:r>
      <w:r>
        <w:rPr>
          <w:rFonts w:asciiTheme="minorHAnsi" w:hAnsiTheme="minorHAnsi" w:cstheme="minorHAnsi"/>
          <w:szCs w:val="24"/>
        </w:rPr>
        <w:t xml:space="preserve">. Therefore, </w:t>
      </w:r>
      <w:r w:rsidRPr="00657F7A">
        <w:rPr>
          <w:rFonts w:asciiTheme="minorHAnsi" w:hAnsiTheme="minorHAnsi" w:cstheme="minorHAnsi"/>
          <w:szCs w:val="24"/>
        </w:rPr>
        <w:t>cybercrime</w:t>
      </w:r>
      <w:r w:rsidRPr="00657F7A">
        <w:rPr>
          <w:rFonts w:asciiTheme="minorHAnsi" w:hAnsiTheme="minorHAnsi" w:cstheme="minorHAnsi"/>
          <w:szCs w:val="24"/>
          <w:u w:val="single"/>
        </w:rPr>
        <w:t xml:space="preserve"> </w:t>
      </w:r>
      <w:r w:rsidRPr="00657F7A">
        <w:rPr>
          <w:rFonts w:asciiTheme="minorHAnsi" w:hAnsiTheme="minorHAnsi" w:cstheme="minorHAnsi"/>
          <w:szCs w:val="24"/>
        </w:rPr>
        <w:t xml:space="preserve">include but are not limited to </w:t>
      </w:r>
      <w:hyperlink r:id="rId1" w:history="1">
        <w:r w:rsidRPr="00657F7A">
          <w:rPr>
            <w:rStyle w:val="Hyperlnk"/>
            <w:rFonts w:asciiTheme="minorHAnsi" w:hAnsiTheme="minorHAnsi" w:cstheme="minorHAnsi"/>
            <w:color w:val="auto"/>
            <w:szCs w:val="24"/>
          </w:rPr>
          <w:t>phishing</w:t>
        </w:r>
      </w:hyperlink>
      <w:r w:rsidRPr="00657F7A">
        <w:rPr>
          <w:rFonts w:asciiTheme="minorHAnsi" w:hAnsiTheme="minorHAnsi" w:cstheme="minorHAnsi"/>
          <w:szCs w:val="24"/>
        </w:rPr>
        <w:t>, theft or manipulation of data or services via hacking or viruses, identity theft, and bank or e-commerce fraud.</w:t>
      </w:r>
      <w:r>
        <w:rPr>
          <w:rFonts w:asciiTheme="minorHAnsi" w:hAnsiTheme="minorHAnsi" w:cstheme="minorHAnsi"/>
          <w:szCs w:val="24"/>
        </w:rPr>
        <w:t xml:space="preserve"> </w:t>
      </w:r>
    </w:p>
  </w:footnote>
  <w:footnote w:id="3">
    <w:p w:rsidR="00657F7A" w:rsidRDefault="00657F7A">
      <w:pPr>
        <w:pStyle w:val="Fotnotstext"/>
      </w:pPr>
      <w:r>
        <w:rPr>
          <w:rStyle w:val="Fotnotsreferens"/>
        </w:rPr>
        <w:footnoteRef/>
      </w:r>
      <w:r>
        <w:t xml:space="preserve"> </w:t>
      </w:r>
      <w:r w:rsidRPr="000835CA">
        <w:rPr>
          <w:u w:val="single"/>
        </w:rPr>
        <w:t>National defence and security</w:t>
      </w:r>
      <w:r>
        <w:t xml:space="preserve"> – as the ITRs only deal with the commercial </w:t>
      </w:r>
      <w:r w:rsidR="00531E0D">
        <w:t>procedures</w:t>
      </w:r>
      <w:r>
        <w:t xml:space="preserve"> for engaging in International telecommunications</w:t>
      </w:r>
      <w:r w:rsidR="00705F83">
        <w:t>, it is clearly out of scope to engage in issues such as national defence and security under the cybersecurity heading. It should also be noted that issues around cyber issues are already being discussed in other UN for</w:t>
      </w:r>
      <w:r w:rsidR="00531E0D">
        <w:t xml:space="preserve">a </w:t>
      </w:r>
      <w:r w:rsidR="00705F83">
        <w:t>by national government experts.</w:t>
      </w:r>
    </w:p>
  </w:footnote>
  <w:footnote w:id="4">
    <w:p w:rsidR="00BF56E3" w:rsidRDefault="00BF56E3">
      <w:pPr>
        <w:pStyle w:val="Fotnotstext"/>
      </w:pPr>
      <w:r>
        <w:rPr>
          <w:rStyle w:val="Fotnotsreferens"/>
        </w:rPr>
        <w:footnoteRef/>
      </w:r>
      <w:r>
        <w:t xml:space="preserve"> See CEPT contribution C20 to ITU CWG WCIT-12.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77F"/>
    <w:multiLevelType w:val="hybridMultilevel"/>
    <w:tmpl w:val="67A6D8EA"/>
    <w:lvl w:ilvl="0" w:tplc="8D661DFE">
      <w:start w:val="1"/>
      <w:numFmt w:val="decimal"/>
      <w:pStyle w:val="Rubrik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08"/>
    <w:rsid w:val="00040A5F"/>
    <w:rsid w:val="000835CA"/>
    <w:rsid w:val="00093ACE"/>
    <w:rsid w:val="001360B0"/>
    <w:rsid w:val="00165467"/>
    <w:rsid w:val="00237259"/>
    <w:rsid w:val="0025539E"/>
    <w:rsid w:val="002818BA"/>
    <w:rsid w:val="002A46E5"/>
    <w:rsid w:val="002E3812"/>
    <w:rsid w:val="00370D9D"/>
    <w:rsid w:val="004109BB"/>
    <w:rsid w:val="00414AC2"/>
    <w:rsid w:val="004D2FFB"/>
    <w:rsid w:val="004F3240"/>
    <w:rsid w:val="00531E0D"/>
    <w:rsid w:val="005D50CA"/>
    <w:rsid w:val="0060026D"/>
    <w:rsid w:val="00641E4D"/>
    <w:rsid w:val="00652A4B"/>
    <w:rsid w:val="00657F7A"/>
    <w:rsid w:val="006D49A3"/>
    <w:rsid w:val="00705F83"/>
    <w:rsid w:val="007523EB"/>
    <w:rsid w:val="00755A0A"/>
    <w:rsid w:val="00772082"/>
    <w:rsid w:val="007833C0"/>
    <w:rsid w:val="007B323A"/>
    <w:rsid w:val="008306FD"/>
    <w:rsid w:val="008361C6"/>
    <w:rsid w:val="00864745"/>
    <w:rsid w:val="009053DC"/>
    <w:rsid w:val="00995CBC"/>
    <w:rsid w:val="009D7AC1"/>
    <w:rsid w:val="009E489D"/>
    <w:rsid w:val="00A26601"/>
    <w:rsid w:val="00A54D89"/>
    <w:rsid w:val="00A84892"/>
    <w:rsid w:val="00AE5335"/>
    <w:rsid w:val="00BF56E3"/>
    <w:rsid w:val="00C94603"/>
    <w:rsid w:val="00CA6364"/>
    <w:rsid w:val="00CE74F0"/>
    <w:rsid w:val="00DD42C7"/>
    <w:rsid w:val="00E64808"/>
    <w:rsid w:val="00EF2091"/>
    <w:rsid w:val="00EF6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D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sz w:val="24"/>
      <w:lang w:eastAsia="en-US"/>
    </w:rPr>
  </w:style>
  <w:style w:type="paragraph" w:styleId="Rubrik1">
    <w:name w:val="heading 1"/>
    <w:basedOn w:val="Normal"/>
    <w:next w:val="Normal"/>
    <w:link w:val="Heading1Char"/>
    <w:autoRedefine/>
    <w:uiPriority w:val="9"/>
    <w:qFormat/>
    <w:rsid w:val="00864745"/>
    <w:pPr>
      <w:keepNext/>
      <w:keepLines/>
      <w:numPr>
        <w:numId w:val="3"/>
      </w:numPr>
      <w:spacing w:before="480"/>
      <w:outlineLvl w:val="0"/>
    </w:pPr>
    <w:rPr>
      <w:b/>
      <w:bCs/>
      <w:color w:val="000000"/>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TitleChar"/>
    <w:autoRedefine/>
    <w:uiPriority w:val="10"/>
    <w:qFormat/>
    <w:rsid w:val="009E489D"/>
    <w:pPr>
      <w:spacing w:after="120"/>
      <w:contextualSpacing/>
      <w:jc w:val="center"/>
    </w:pPr>
    <w:rPr>
      <w:color w:val="000000"/>
      <w:spacing w:val="5"/>
      <w:kern w:val="28"/>
      <w:sz w:val="36"/>
      <w:szCs w:val="52"/>
    </w:rPr>
  </w:style>
  <w:style w:type="character" w:customStyle="1" w:styleId="TitleChar">
    <w:name w:val="Title Char"/>
    <w:basedOn w:val="Standardstycketeckensnitt"/>
    <w:link w:val="Rubrik"/>
    <w:uiPriority w:val="10"/>
    <w:rsid w:val="009E489D"/>
    <w:rPr>
      <w:rFonts w:ascii="Times New Roman" w:eastAsia="Times New Roman" w:hAnsi="Times New Roman" w:cs="Times New Roman"/>
      <w:color w:val="000000"/>
      <w:spacing w:val="5"/>
      <w:kern w:val="28"/>
      <w:sz w:val="36"/>
      <w:szCs w:val="52"/>
    </w:rPr>
  </w:style>
  <w:style w:type="character" w:customStyle="1" w:styleId="Heading1Char">
    <w:name w:val="Heading 1 Char"/>
    <w:basedOn w:val="Standardstycketeckensnitt"/>
    <w:link w:val="Rubrik1"/>
    <w:uiPriority w:val="9"/>
    <w:rsid w:val="00864745"/>
    <w:rPr>
      <w:rFonts w:ascii="Times New Roman" w:eastAsia="Times New Roman" w:hAnsi="Times New Roman" w:cs="Times New Roman"/>
      <w:b/>
      <w:bCs/>
      <w:color w:val="000000"/>
      <w:sz w:val="28"/>
      <w:szCs w:val="28"/>
    </w:rPr>
  </w:style>
  <w:style w:type="character" w:styleId="Fotnotsreferens">
    <w:name w:val="footnote reference"/>
    <w:aliases w:val="Appel note de bas de p,Footnote Reference/,Footnote symbol,Ref,de nota al pie"/>
    <w:basedOn w:val="Standardstycketeckensnitt"/>
    <w:rsid w:val="00EF61D2"/>
    <w:rPr>
      <w:rFonts w:ascii="Calibri" w:hAnsi="Calibri"/>
      <w:position w:val="6"/>
      <w:sz w:val="16"/>
    </w:rPr>
  </w:style>
  <w:style w:type="paragraph" w:styleId="Fotnotstext">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FootnoteTextChar"/>
    <w:rsid w:val="00EF61D2"/>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n Char"/>
    <w:basedOn w:val="Standardstycketeckensnitt"/>
    <w:link w:val="Fotnotstext"/>
    <w:rsid w:val="00EF61D2"/>
    <w:rPr>
      <w:rFonts w:ascii="Calibri" w:eastAsia="Times New Roman" w:hAnsi="Calibri" w:cs="Times New Roman"/>
      <w:sz w:val="24"/>
      <w:szCs w:val="20"/>
    </w:rPr>
  </w:style>
  <w:style w:type="paragraph" w:customStyle="1" w:styleId="AnnexNo">
    <w:name w:val="Annex_No"/>
    <w:basedOn w:val="Normal"/>
    <w:next w:val="Normal"/>
    <w:rsid w:val="00EF61D2"/>
    <w:pPr>
      <w:spacing w:before="720"/>
      <w:jc w:val="center"/>
    </w:pPr>
    <w:rPr>
      <w:caps/>
      <w:sz w:val="28"/>
    </w:rPr>
  </w:style>
  <w:style w:type="paragraph" w:customStyle="1" w:styleId="Annextitle">
    <w:name w:val="Annex_title"/>
    <w:basedOn w:val="Normal"/>
    <w:next w:val="Normal"/>
    <w:rsid w:val="00EF61D2"/>
    <w:pPr>
      <w:spacing w:before="240" w:after="240"/>
      <w:jc w:val="center"/>
    </w:pPr>
    <w:rPr>
      <w:b/>
      <w:sz w:val="28"/>
    </w:rPr>
  </w:style>
  <w:style w:type="paragraph" w:customStyle="1" w:styleId="Part">
    <w:name w:val="Part"/>
    <w:basedOn w:val="Normal"/>
    <w:next w:val="Normal"/>
    <w:rsid w:val="00EF61D2"/>
    <w:pPr>
      <w:tabs>
        <w:tab w:val="clear" w:pos="567"/>
        <w:tab w:val="clear" w:pos="1134"/>
        <w:tab w:val="clear" w:pos="1701"/>
        <w:tab w:val="clear" w:pos="2268"/>
        <w:tab w:val="clear" w:pos="2835"/>
      </w:tabs>
      <w:spacing w:before="600"/>
      <w:jc w:val="center"/>
    </w:pPr>
    <w:rPr>
      <w:caps/>
      <w:sz w:val="28"/>
    </w:rPr>
  </w:style>
  <w:style w:type="paragraph" w:customStyle="1" w:styleId="Title3">
    <w:name w:val="Title 3"/>
    <w:basedOn w:val="Normal"/>
    <w:next w:val="Normal"/>
    <w:rsid w:val="00EF61D2"/>
    <w:pPr>
      <w:spacing w:before="240"/>
      <w:jc w:val="center"/>
    </w:pPr>
    <w:rPr>
      <w:sz w:val="28"/>
    </w:rPr>
  </w:style>
  <w:style w:type="paragraph" w:customStyle="1" w:styleId="NormalS2">
    <w:name w:val="Normal_S2"/>
    <w:basedOn w:val="Normal"/>
    <w:rsid w:val="00EF61D2"/>
    <w:pPr>
      <w:tabs>
        <w:tab w:val="clear" w:pos="567"/>
        <w:tab w:val="clear" w:pos="1134"/>
        <w:tab w:val="clear" w:pos="1701"/>
        <w:tab w:val="clear" w:pos="2268"/>
        <w:tab w:val="clear" w:pos="2835"/>
        <w:tab w:val="left" w:pos="851"/>
      </w:tabs>
    </w:pPr>
    <w:rPr>
      <w:b/>
    </w:rPr>
  </w:style>
  <w:style w:type="character" w:styleId="Kommentarsreferens">
    <w:name w:val="annotation reference"/>
    <w:basedOn w:val="Standardstycketeckensnitt"/>
    <w:rsid w:val="00EF61D2"/>
    <w:rPr>
      <w:sz w:val="16"/>
      <w:szCs w:val="16"/>
    </w:rPr>
  </w:style>
  <w:style w:type="paragraph" w:styleId="Kommentarer">
    <w:name w:val="annotation text"/>
    <w:basedOn w:val="Normal"/>
    <w:link w:val="CommentTextChar"/>
    <w:rsid w:val="00EF61D2"/>
    <w:pPr>
      <w:tabs>
        <w:tab w:val="clear" w:pos="567"/>
        <w:tab w:val="clear" w:pos="1134"/>
        <w:tab w:val="clear" w:pos="1701"/>
        <w:tab w:val="clear" w:pos="2268"/>
        <w:tab w:val="clear" w:pos="2835"/>
        <w:tab w:val="left" w:pos="794"/>
        <w:tab w:val="left" w:pos="1191"/>
        <w:tab w:val="left" w:pos="1588"/>
        <w:tab w:val="left" w:pos="1985"/>
      </w:tabs>
    </w:pPr>
    <w:rPr>
      <w:sz w:val="20"/>
    </w:rPr>
  </w:style>
  <w:style w:type="character" w:customStyle="1" w:styleId="CommentTextChar">
    <w:name w:val="Comment Text Char"/>
    <w:basedOn w:val="Standardstycketeckensnitt"/>
    <w:link w:val="Kommentarer"/>
    <w:rsid w:val="00EF61D2"/>
    <w:rPr>
      <w:rFonts w:ascii="Calibri" w:eastAsia="Times New Roman" w:hAnsi="Calibri" w:cs="Times New Roman"/>
      <w:sz w:val="20"/>
      <w:szCs w:val="20"/>
    </w:rPr>
  </w:style>
  <w:style w:type="paragraph" w:customStyle="1" w:styleId="NormalendS2">
    <w:name w:val="Normal_end_S2"/>
    <w:basedOn w:val="Normal"/>
    <w:qFormat/>
    <w:rsid w:val="00EF61D2"/>
  </w:style>
  <w:style w:type="paragraph" w:customStyle="1" w:styleId="Annex">
    <w:name w:val="Annex"/>
    <w:basedOn w:val="Normal"/>
    <w:rsid w:val="00EF61D2"/>
    <w:pPr>
      <w:tabs>
        <w:tab w:val="clear" w:pos="567"/>
        <w:tab w:val="clear" w:pos="1134"/>
        <w:tab w:val="clear" w:pos="1701"/>
        <w:tab w:val="clear" w:pos="2268"/>
        <w:tab w:val="clear" w:pos="2835"/>
        <w:tab w:val="left" w:pos="851"/>
      </w:tabs>
      <w:spacing w:before="720"/>
    </w:pPr>
    <w:rPr>
      <w:b/>
      <w:caps/>
      <w:szCs w:val="24"/>
    </w:rPr>
  </w:style>
  <w:style w:type="paragraph" w:styleId="Ballongtext">
    <w:name w:val="Balloon Text"/>
    <w:basedOn w:val="Normal"/>
    <w:link w:val="BalloonTextChar"/>
    <w:uiPriority w:val="99"/>
    <w:semiHidden/>
    <w:unhideWhenUsed/>
    <w:rsid w:val="00EF61D2"/>
    <w:pPr>
      <w:spacing w:before="0"/>
    </w:pPr>
    <w:rPr>
      <w:rFonts w:ascii="Tahoma" w:hAnsi="Tahoma" w:cs="Tahoma"/>
      <w:sz w:val="16"/>
      <w:szCs w:val="16"/>
    </w:rPr>
  </w:style>
  <w:style w:type="character" w:customStyle="1" w:styleId="BalloonTextChar">
    <w:name w:val="Balloon Text Char"/>
    <w:basedOn w:val="Standardstycketeckensnitt"/>
    <w:link w:val="Ballongtext"/>
    <w:uiPriority w:val="99"/>
    <w:semiHidden/>
    <w:rsid w:val="00EF61D2"/>
    <w:rPr>
      <w:rFonts w:ascii="Tahoma" w:eastAsia="Times New Roman" w:hAnsi="Tahoma" w:cs="Tahoma"/>
      <w:sz w:val="16"/>
      <w:szCs w:val="16"/>
    </w:rPr>
  </w:style>
  <w:style w:type="paragraph" w:styleId="Kommentarsmne">
    <w:name w:val="annotation subject"/>
    <w:basedOn w:val="Kommentarer"/>
    <w:next w:val="Kommentarer"/>
    <w:link w:val="CommentSubjectChar"/>
    <w:uiPriority w:val="99"/>
    <w:semiHidden/>
    <w:unhideWhenUsed/>
    <w:rsid w:val="00EF61D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CommentSubjectChar">
    <w:name w:val="Comment Subject Char"/>
    <w:basedOn w:val="CommentTextChar"/>
    <w:link w:val="Kommentarsmne"/>
    <w:uiPriority w:val="99"/>
    <w:semiHidden/>
    <w:rsid w:val="00EF61D2"/>
    <w:rPr>
      <w:rFonts w:ascii="Calibri" w:eastAsia="Times New Roman" w:hAnsi="Calibri" w:cs="Times New Roman"/>
      <w:b/>
      <w:bCs/>
      <w:sz w:val="20"/>
      <w:szCs w:val="20"/>
    </w:rPr>
  </w:style>
  <w:style w:type="character" w:styleId="Hyperlnk">
    <w:name w:val="Hyperlink"/>
    <w:basedOn w:val="Standardstycketeckensnitt"/>
    <w:uiPriority w:val="99"/>
    <w:semiHidden/>
    <w:unhideWhenUsed/>
    <w:rsid w:val="00657F7A"/>
    <w:rPr>
      <w:strike w:val="0"/>
      <w:dstrike w:val="0"/>
      <w:color w:val="F15500"/>
      <w:u w:val="none"/>
      <w:effect w:val="none"/>
      <w:shd w:val="clear" w:color="auto" w:fill="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D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sz w:val="24"/>
      <w:lang w:eastAsia="en-US"/>
    </w:rPr>
  </w:style>
  <w:style w:type="paragraph" w:styleId="Rubrik1">
    <w:name w:val="heading 1"/>
    <w:basedOn w:val="Normal"/>
    <w:next w:val="Normal"/>
    <w:link w:val="Heading1Char"/>
    <w:autoRedefine/>
    <w:uiPriority w:val="9"/>
    <w:qFormat/>
    <w:rsid w:val="00864745"/>
    <w:pPr>
      <w:keepNext/>
      <w:keepLines/>
      <w:numPr>
        <w:numId w:val="3"/>
      </w:numPr>
      <w:spacing w:before="480"/>
      <w:outlineLvl w:val="0"/>
    </w:pPr>
    <w:rPr>
      <w:b/>
      <w:bCs/>
      <w:color w:val="000000"/>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Rubrik1"/>
    <w:link w:val="TitleChar"/>
    <w:autoRedefine/>
    <w:uiPriority w:val="10"/>
    <w:qFormat/>
    <w:rsid w:val="009E489D"/>
    <w:pPr>
      <w:spacing w:after="120"/>
      <w:contextualSpacing/>
      <w:jc w:val="center"/>
    </w:pPr>
    <w:rPr>
      <w:color w:val="000000"/>
      <w:spacing w:val="5"/>
      <w:kern w:val="28"/>
      <w:sz w:val="36"/>
      <w:szCs w:val="52"/>
    </w:rPr>
  </w:style>
  <w:style w:type="character" w:customStyle="1" w:styleId="TitleChar">
    <w:name w:val="Title Char"/>
    <w:basedOn w:val="Standardstycketeckensnitt"/>
    <w:link w:val="Rubrik"/>
    <w:uiPriority w:val="10"/>
    <w:rsid w:val="009E489D"/>
    <w:rPr>
      <w:rFonts w:ascii="Times New Roman" w:eastAsia="Times New Roman" w:hAnsi="Times New Roman" w:cs="Times New Roman"/>
      <w:color w:val="000000"/>
      <w:spacing w:val="5"/>
      <w:kern w:val="28"/>
      <w:sz w:val="36"/>
      <w:szCs w:val="52"/>
    </w:rPr>
  </w:style>
  <w:style w:type="character" w:customStyle="1" w:styleId="Heading1Char">
    <w:name w:val="Heading 1 Char"/>
    <w:basedOn w:val="Standardstycketeckensnitt"/>
    <w:link w:val="Rubrik1"/>
    <w:uiPriority w:val="9"/>
    <w:rsid w:val="00864745"/>
    <w:rPr>
      <w:rFonts w:ascii="Times New Roman" w:eastAsia="Times New Roman" w:hAnsi="Times New Roman" w:cs="Times New Roman"/>
      <w:b/>
      <w:bCs/>
      <w:color w:val="000000"/>
      <w:sz w:val="28"/>
      <w:szCs w:val="28"/>
    </w:rPr>
  </w:style>
  <w:style w:type="character" w:styleId="Fotnotsreferens">
    <w:name w:val="footnote reference"/>
    <w:aliases w:val="Appel note de bas de p,Footnote Reference/,Footnote symbol,Ref,de nota al pie"/>
    <w:basedOn w:val="Standardstycketeckensnitt"/>
    <w:rsid w:val="00EF61D2"/>
    <w:rPr>
      <w:rFonts w:ascii="Calibri" w:hAnsi="Calibri"/>
      <w:position w:val="6"/>
      <w:sz w:val="16"/>
    </w:rPr>
  </w:style>
  <w:style w:type="paragraph" w:styleId="Fotnotstext">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FootnoteTextChar"/>
    <w:rsid w:val="00EF61D2"/>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n Char"/>
    <w:basedOn w:val="Standardstycketeckensnitt"/>
    <w:link w:val="Fotnotstext"/>
    <w:rsid w:val="00EF61D2"/>
    <w:rPr>
      <w:rFonts w:ascii="Calibri" w:eastAsia="Times New Roman" w:hAnsi="Calibri" w:cs="Times New Roman"/>
      <w:sz w:val="24"/>
      <w:szCs w:val="20"/>
    </w:rPr>
  </w:style>
  <w:style w:type="paragraph" w:customStyle="1" w:styleId="AnnexNo">
    <w:name w:val="Annex_No"/>
    <w:basedOn w:val="Normal"/>
    <w:next w:val="Normal"/>
    <w:rsid w:val="00EF61D2"/>
    <w:pPr>
      <w:spacing w:before="720"/>
      <w:jc w:val="center"/>
    </w:pPr>
    <w:rPr>
      <w:caps/>
      <w:sz w:val="28"/>
    </w:rPr>
  </w:style>
  <w:style w:type="paragraph" w:customStyle="1" w:styleId="Annextitle">
    <w:name w:val="Annex_title"/>
    <w:basedOn w:val="Normal"/>
    <w:next w:val="Normal"/>
    <w:rsid w:val="00EF61D2"/>
    <w:pPr>
      <w:spacing w:before="240" w:after="240"/>
      <w:jc w:val="center"/>
    </w:pPr>
    <w:rPr>
      <w:b/>
      <w:sz w:val="28"/>
    </w:rPr>
  </w:style>
  <w:style w:type="paragraph" w:customStyle="1" w:styleId="Part">
    <w:name w:val="Part"/>
    <w:basedOn w:val="Normal"/>
    <w:next w:val="Normal"/>
    <w:rsid w:val="00EF61D2"/>
    <w:pPr>
      <w:tabs>
        <w:tab w:val="clear" w:pos="567"/>
        <w:tab w:val="clear" w:pos="1134"/>
        <w:tab w:val="clear" w:pos="1701"/>
        <w:tab w:val="clear" w:pos="2268"/>
        <w:tab w:val="clear" w:pos="2835"/>
      </w:tabs>
      <w:spacing w:before="600"/>
      <w:jc w:val="center"/>
    </w:pPr>
    <w:rPr>
      <w:caps/>
      <w:sz w:val="28"/>
    </w:rPr>
  </w:style>
  <w:style w:type="paragraph" w:customStyle="1" w:styleId="Title3">
    <w:name w:val="Title 3"/>
    <w:basedOn w:val="Normal"/>
    <w:next w:val="Normal"/>
    <w:rsid w:val="00EF61D2"/>
    <w:pPr>
      <w:spacing w:before="240"/>
      <w:jc w:val="center"/>
    </w:pPr>
    <w:rPr>
      <w:sz w:val="28"/>
    </w:rPr>
  </w:style>
  <w:style w:type="paragraph" w:customStyle="1" w:styleId="NormalS2">
    <w:name w:val="Normal_S2"/>
    <w:basedOn w:val="Normal"/>
    <w:rsid w:val="00EF61D2"/>
    <w:pPr>
      <w:tabs>
        <w:tab w:val="clear" w:pos="567"/>
        <w:tab w:val="clear" w:pos="1134"/>
        <w:tab w:val="clear" w:pos="1701"/>
        <w:tab w:val="clear" w:pos="2268"/>
        <w:tab w:val="clear" w:pos="2835"/>
        <w:tab w:val="left" w:pos="851"/>
      </w:tabs>
    </w:pPr>
    <w:rPr>
      <w:b/>
    </w:rPr>
  </w:style>
  <w:style w:type="character" w:styleId="Kommentarsreferens">
    <w:name w:val="annotation reference"/>
    <w:basedOn w:val="Standardstycketeckensnitt"/>
    <w:rsid w:val="00EF61D2"/>
    <w:rPr>
      <w:sz w:val="16"/>
      <w:szCs w:val="16"/>
    </w:rPr>
  </w:style>
  <w:style w:type="paragraph" w:styleId="Kommentarer">
    <w:name w:val="annotation text"/>
    <w:basedOn w:val="Normal"/>
    <w:link w:val="CommentTextChar"/>
    <w:rsid w:val="00EF61D2"/>
    <w:pPr>
      <w:tabs>
        <w:tab w:val="clear" w:pos="567"/>
        <w:tab w:val="clear" w:pos="1134"/>
        <w:tab w:val="clear" w:pos="1701"/>
        <w:tab w:val="clear" w:pos="2268"/>
        <w:tab w:val="clear" w:pos="2835"/>
        <w:tab w:val="left" w:pos="794"/>
        <w:tab w:val="left" w:pos="1191"/>
        <w:tab w:val="left" w:pos="1588"/>
        <w:tab w:val="left" w:pos="1985"/>
      </w:tabs>
    </w:pPr>
    <w:rPr>
      <w:sz w:val="20"/>
    </w:rPr>
  </w:style>
  <w:style w:type="character" w:customStyle="1" w:styleId="CommentTextChar">
    <w:name w:val="Comment Text Char"/>
    <w:basedOn w:val="Standardstycketeckensnitt"/>
    <w:link w:val="Kommentarer"/>
    <w:rsid w:val="00EF61D2"/>
    <w:rPr>
      <w:rFonts w:ascii="Calibri" w:eastAsia="Times New Roman" w:hAnsi="Calibri" w:cs="Times New Roman"/>
      <w:sz w:val="20"/>
      <w:szCs w:val="20"/>
    </w:rPr>
  </w:style>
  <w:style w:type="paragraph" w:customStyle="1" w:styleId="NormalendS2">
    <w:name w:val="Normal_end_S2"/>
    <w:basedOn w:val="Normal"/>
    <w:qFormat/>
    <w:rsid w:val="00EF61D2"/>
  </w:style>
  <w:style w:type="paragraph" w:customStyle="1" w:styleId="Annex">
    <w:name w:val="Annex"/>
    <w:basedOn w:val="Normal"/>
    <w:rsid w:val="00EF61D2"/>
    <w:pPr>
      <w:tabs>
        <w:tab w:val="clear" w:pos="567"/>
        <w:tab w:val="clear" w:pos="1134"/>
        <w:tab w:val="clear" w:pos="1701"/>
        <w:tab w:val="clear" w:pos="2268"/>
        <w:tab w:val="clear" w:pos="2835"/>
        <w:tab w:val="left" w:pos="851"/>
      </w:tabs>
      <w:spacing w:before="720"/>
    </w:pPr>
    <w:rPr>
      <w:b/>
      <w:caps/>
      <w:szCs w:val="24"/>
    </w:rPr>
  </w:style>
  <w:style w:type="paragraph" w:styleId="Ballongtext">
    <w:name w:val="Balloon Text"/>
    <w:basedOn w:val="Normal"/>
    <w:link w:val="BalloonTextChar"/>
    <w:uiPriority w:val="99"/>
    <w:semiHidden/>
    <w:unhideWhenUsed/>
    <w:rsid w:val="00EF61D2"/>
    <w:pPr>
      <w:spacing w:before="0"/>
    </w:pPr>
    <w:rPr>
      <w:rFonts w:ascii="Tahoma" w:hAnsi="Tahoma" w:cs="Tahoma"/>
      <w:sz w:val="16"/>
      <w:szCs w:val="16"/>
    </w:rPr>
  </w:style>
  <w:style w:type="character" w:customStyle="1" w:styleId="BalloonTextChar">
    <w:name w:val="Balloon Text Char"/>
    <w:basedOn w:val="Standardstycketeckensnitt"/>
    <w:link w:val="Ballongtext"/>
    <w:uiPriority w:val="99"/>
    <w:semiHidden/>
    <w:rsid w:val="00EF61D2"/>
    <w:rPr>
      <w:rFonts w:ascii="Tahoma" w:eastAsia="Times New Roman" w:hAnsi="Tahoma" w:cs="Tahoma"/>
      <w:sz w:val="16"/>
      <w:szCs w:val="16"/>
    </w:rPr>
  </w:style>
  <w:style w:type="paragraph" w:styleId="Kommentarsmne">
    <w:name w:val="annotation subject"/>
    <w:basedOn w:val="Kommentarer"/>
    <w:next w:val="Kommentarer"/>
    <w:link w:val="CommentSubjectChar"/>
    <w:uiPriority w:val="99"/>
    <w:semiHidden/>
    <w:unhideWhenUsed/>
    <w:rsid w:val="00EF61D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CommentSubjectChar">
    <w:name w:val="Comment Subject Char"/>
    <w:basedOn w:val="CommentTextChar"/>
    <w:link w:val="Kommentarsmne"/>
    <w:uiPriority w:val="99"/>
    <w:semiHidden/>
    <w:rsid w:val="00EF61D2"/>
    <w:rPr>
      <w:rFonts w:ascii="Calibri" w:eastAsia="Times New Roman" w:hAnsi="Calibri" w:cs="Times New Roman"/>
      <w:b/>
      <w:bCs/>
      <w:sz w:val="20"/>
      <w:szCs w:val="20"/>
    </w:rPr>
  </w:style>
  <w:style w:type="character" w:styleId="Hyperlnk">
    <w:name w:val="Hyperlink"/>
    <w:basedOn w:val="Standardstycketeckensnitt"/>
    <w:uiPriority w:val="99"/>
    <w:semiHidden/>
    <w:unhideWhenUsed/>
    <w:rsid w:val="00657F7A"/>
    <w:rPr>
      <w:strike w:val="0"/>
      <w:dstrike w:val="0"/>
      <w:color w:val="F15500"/>
      <w:u w:val="none"/>
      <w:effect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symantec.com/norton/security_response/phishing.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0094\AppData\Local\Microsoft\Windows\Temporary%20Internet%20Files\Content.Outlook\5331ZW4Q\European%20Common%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4644-C2FA-4C47-A9DF-864FB0E6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European Common Proposal.dot</Template>
  <TotalTime>0</TotalTime>
  <Pages>3</Pages>
  <Words>451</Words>
  <Characters>2391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BT</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REDWIN, Paul</dc:creator>
  <cp:lastModifiedBy>PT A1</cp:lastModifiedBy>
  <cp:revision>2</cp:revision>
  <cp:lastPrinted>2011-10-21T14:47:00Z</cp:lastPrinted>
  <dcterms:created xsi:type="dcterms:W3CDTF">2011-11-17T12:57:00Z</dcterms:created>
  <dcterms:modified xsi:type="dcterms:W3CDTF">2011-11-17T12:57:00Z</dcterms:modified>
</cp:coreProperties>
</file>