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426" w:rsidRDefault="00CC0426" w:rsidP="00CC0426">
      <w:pPr>
        <w:pStyle w:val="Rubrik2"/>
        <w:jc w:val="center"/>
        <w:rPr>
          <w:rFonts w:ascii="Arial" w:hAnsi="Arial" w:cs="Arial"/>
          <w:color w:val="auto"/>
        </w:rPr>
      </w:pPr>
    </w:p>
    <w:p w:rsidR="00CC0426" w:rsidRPr="00EB35B3" w:rsidRDefault="00CC0426" w:rsidP="00CC0426">
      <w:pPr>
        <w:rPr>
          <w:lang w:val="en-US"/>
        </w:rPr>
      </w:pPr>
    </w:p>
    <w:tbl>
      <w:tblPr>
        <w:tblW w:w="9645" w:type="dxa"/>
        <w:tblInd w:w="-72" w:type="dxa"/>
        <w:tblLayout w:type="fixed"/>
        <w:tblCellMar>
          <w:left w:w="70" w:type="dxa"/>
          <w:right w:w="70" w:type="dxa"/>
        </w:tblCellMar>
        <w:tblLook w:val="04A0" w:firstRow="1" w:lastRow="0" w:firstColumn="1" w:lastColumn="0" w:noHBand="0" w:noVBand="1"/>
      </w:tblPr>
      <w:tblGrid>
        <w:gridCol w:w="1844"/>
        <w:gridCol w:w="2498"/>
        <w:gridCol w:w="1732"/>
        <w:gridCol w:w="3571"/>
      </w:tblGrid>
      <w:tr w:rsidR="00CC0426" w:rsidRPr="00EB35B3" w:rsidTr="00FC2CE4">
        <w:trPr>
          <w:cantSplit/>
        </w:trPr>
        <w:tc>
          <w:tcPr>
            <w:tcW w:w="6071" w:type="dxa"/>
            <w:gridSpan w:val="3"/>
          </w:tcPr>
          <w:p w:rsidR="00CC0426" w:rsidRPr="00EB35B3" w:rsidRDefault="00CC0426" w:rsidP="00FC2CE4">
            <w:pPr>
              <w:tabs>
                <w:tab w:val="center" w:pos="4536"/>
                <w:tab w:val="right" w:pos="9072"/>
              </w:tabs>
              <w:rPr>
                <w:rFonts w:ascii="Arial" w:hAnsi="Arial"/>
                <w:b/>
                <w:sz w:val="22"/>
                <w:lang w:val="nb-NO" w:eastAsia="de-DE"/>
              </w:rPr>
            </w:pPr>
          </w:p>
          <w:p w:rsidR="00CC0426" w:rsidRPr="00EB35B3" w:rsidRDefault="00CC0426" w:rsidP="00FC2CE4">
            <w:pPr>
              <w:tabs>
                <w:tab w:val="center" w:pos="4536"/>
                <w:tab w:val="right" w:pos="9072"/>
              </w:tabs>
              <w:rPr>
                <w:rFonts w:ascii="Arial" w:hAnsi="Arial"/>
                <w:b/>
                <w:sz w:val="22"/>
                <w:lang w:val="nb-NO" w:eastAsia="de-DE"/>
              </w:rPr>
            </w:pPr>
            <w:r>
              <w:rPr>
                <w:rFonts w:ascii="Arial" w:hAnsi="Arial"/>
                <w:b/>
                <w:noProof/>
                <w:sz w:val="22"/>
                <w:lang w:val="sv-SE" w:eastAsia="sv-SE"/>
              </w:rPr>
              <w:drawing>
                <wp:inline distT="0" distB="0" distL="0" distR="0">
                  <wp:extent cx="1943100" cy="5334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533400"/>
                          </a:xfrm>
                          <a:prstGeom prst="rect">
                            <a:avLst/>
                          </a:prstGeom>
                          <a:noFill/>
                          <a:ln>
                            <a:noFill/>
                          </a:ln>
                        </pic:spPr>
                      </pic:pic>
                    </a:graphicData>
                  </a:graphic>
                </wp:inline>
              </w:drawing>
            </w:r>
          </w:p>
          <w:p w:rsidR="00CC0426" w:rsidRPr="00EB35B3" w:rsidRDefault="00CC0426" w:rsidP="00FC2CE4">
            <w:pPr>
              <w:tabs>
                <w:tab w:val="center" w:pos="4536"/>
                <w:tab w:val="right" w:pos="9072"/>
              </w:tabs>
              <w:rPr>
                <w:rFonts w:ascii="Arial" w:hAnsi="Arial" w:cs="Arial"/>
                <w:b/>
                <w:color w:val="000000"/>
                <w:sz w:val="22"/>
                <w:lang w:eastAsia="de-DE"/>
              </w:rPr>
            </w:pPr>
          </w:p>
        </w:tc>
        <w:tc>
          <w:tcPr>
            <w:tcW w:w="3569" w:type="dxa"/>
            <w:hideMark/>
          </w:tcPr>
          <w:p w:rsidR="00CC0426" w:rsidRPr="00EB35B3" w:rsidRDefault="00CC0426" w:rsidP="00FC2CE4">
            <w:pPr>
              <w:tabs>
                <w:tab w:val="right" w:pos="3357"/>
                <w:tab w:val="right" w:pos="9072"/>
              </w:tabs>
              <w:rPr>
                <w:rFonts w:ascii="Arial" w:hAnsi="Arial"/>
                <w:b/>
                <w:sz w:val="22"/>
                <w:lang w:val="nb-NO" w:eastAsia="de-DE"/>
              </w:rPr>
            </w:pPr>
            <w:r>
              <w:rPr>
                <w:rFonts w:ascii="Arial" w:hAnsi="Arial"/>
                <w:b/>
                <w:sz w:val="22"/>
                <w:lang w:val="nb-NO" w:eastAsia="de-DE"/>
              </w:rPr>
              <w:tab/>
              <w:t>Doc. Com-ITU(11) 063</w:t>
            </w:r>
          </w:p>
        </w:tc>
      </w:tr>
      <w:tr w:rsidR="00CC0426" w:rsidRPr="00EB35B3" w:rsidTr="00FC2CE4">
        <w:trPr>
          <w:cantSplit/>
          <w:trHeight w:val="405"/>
        </w:trPr>
        <w:tc>
          <w:tcPr>
            <w:tcW w:w="4340" w:type="dxa"/>
            <w:gridSpan w:val="2"/>
            <w:tcMar>
              <w:top w:w="0" w:type="dxa"/>
              <w:left w:w="108" w:type="dxa"/>
              <w:bottom w:w="0" w:type="dxa"/>
              <w:right w:w="108" w:type="dxa"/>
            </w:tcMar>
            <w:vAlign w:val="center"/>
          </w:tcPr>
          <w:p w:rsidR="00CC0426" w:rsidRPr="00EB35B3" w:rsidRDefault="00CC0426" w:rsidP="00FC2CE4">
            <w:pPr>
              <w:tabs>
                <w:tab w:val="center" w:pos="4536"/>
                <w:tab w:val="right" w:pos="9072"/>
              </w:tabs>
              <w:rPr>
                <w:rFonts w:ascii="Arial" w:hAnsi="Arial"/>
                <w:b/>
                <w:sz w:val="22"/>
                <w:szCs w:val="22"/>
                <w:lang w:val="nb-NO" w:eastAsia="de-DE"/>
              </w:rPr>
            </w:pPr>
          </w:p>
        </w:tc>
        <w:tc>
          <w:tcPr>
            <w:tcW w:w="5300" w:type="dxa"/>
            <w:gridSpan w:val="2"/>
            <w:tcMar>
              <w:top w:w="0" w:type="dxa"/>
              <w:left w:w="108" w:type="dxa"/>
              <w:bottom w:w="0" w:type="dxa"/>
              <w:right w:w="108" w:type="dxa"/>
            </w:tcMar>
            <w:vAlign w:val="center"/>
          </w:tcPr>
          <w:p w:rsidR="00CC0426" w:rsidRPr="00EB35B3" w:rsidRDefault="00CC0426" w:rsidP="00FC2CE4">
            <w:pPr>
              <w:tabs>
                <w:tab w:val="center" w:pos="4536"/>
                <w:tab w:val="right" w:pos="9072"/>
              </w:tabs>
              <w:rPr>
                <w:rFonts w:ascii="Arial" w:hAnsi="Arial"/>
                <w:b/>
                <w:sz w:val="22"/>
                <w:lang w:eastAsia="de-DE"/>
              </w:rPr>
            </w:pPr>
          </w:p>
        </w:tc>
      </w:tr>
      <w:tr w:rsidR="00CC0426" w:rsidRPr="00EB35B3" w:rsidTr="00FC2CE4">
        <w:trPr>
          <w:cantSplit/>
          <w:trHeight w:val="405"/>
        </w:trPr>
        <w:tc>
          <w:tcPr>
            <w:tcW w:w="4340" w:type="dxa"/>
            <w:gridSpan w:val="2"/>
            <w:tcMar>
              <w:top w:w="0" w:type="dxa"/>
              <w:left w:w="108" w:type="dxa"/>
              <w:bottom w:w="0" w:type="dxa"/>
              <w:right w:w="108" w:type="dxa"/>
            </w:tcMar>
            <w:vAlign w:val="center"/>
            <w:hideMark/>
          </w:tcPr>
          <w:p w:rsidR="00CC0426" w:rsidRPr="00EB35B3" w:rsidRDefault="00CC0426" w:rsidP="00FC2CE4">
            <w:pPr>
              <w:tabs>
                <w:tab w:val="center" w:pos="4536"/>
                <w:tab w:val="right" w:pos="9072"/>
              </w:tabs>
              <w:rPr>
                <w:rFonts w:ascii="Arial" w:hAnsi="Arial"/>
                <w:b/>
                <w:sz w:val="22"/>
                <w:lang w:val="nb-NO" w:eastAsia="de-DE"/>
              </w:rPr>
            </w:pPr>
            <w:r w:rsidRPr="00EB35B3">
              <w:rPr>
                <w:rFonts w:ascii="Arial" w:hAnsi="Arial"/>
                <w:b/>
                <w:sz w:val="22"/>
                <w:lang w:val="nb-NO" w:eastAsia="de-DE"/>
              </w:rPr>
              <w:t xml:space="preserve">Copenhagen, </w:t>
            </w:r>
          </w:p>
          <w:p w:rsidR="00CC0426" w:rsidRPr="00EB35B3" w:rsidRDefault="00CC0426" w:rsidP="00FC2CE4">
            <w:pPr>
              <w:tabs>
                <w:tab w:val="center" w:pos="4536"/>
                <w:tab w:val="right" w:pos="9072"/>
              </w:tabs>
              <w:rPr>
                <w:rFonts w:ascii="Arial" w:hAnsi="Arial"/>
                <w:b/>
                <w:sz w:val="22"/>
                <w:lang w:val="nb-NO" w:eastAsia="de-DE"/>
              </w:rPr>
            </w:pPr>
            <w:r w:rsidRPr="00EB35B3">
              <w:rPr>
                <w:rFonts w:ascii="Arial" w:hAnsi="Arial"/>
                <w:b/>
                <w:sz w:val="22"/>
                <w:lang w:val="nb-NO" w:eastAsia="de-DE"/>
              </w:rPr>
              <w:t>30 November – 2 December 2011</w:t>
            </w:r>
          </w:p>
        </w:tc>
        <w:tc>
          <w:tcPr>
            <w:tcW w:w="5300" w:type="dxa"/>
            <w:gridSpan w:val="2"/>
            <w:tcMar>
              <w:top w:w="0" w:type="dxa"/>
              <w:left w:w="108" w:type="dxa"/>
              <w:bottom w:w="0" w:type="dxa"/>
              <w:right w:w="108" w:type="dxa"/>
            </w:tcMar>
            <w:vAlign w:val="center"/>
          </w:tcPr>
          <w:p w:rsidR="00CC0426" w:rsidRPr="00EB35B3" w:rsidRDefault="00CC0426" w:rsidP="00FC2CE4">
            <w:pPr>
              <w:tabs>
                <w:tab w:val="center" w:pos="4536"/>
                <w:tab w:val="right" w:pos="9072"/>
              </w:tabs>
              <w:rPr>
                <w:rFonts w:ascii="Arial" w:hAnsi="Arial"/>
                <w:b/>
                <w:sz w:val="22"/>
                <w:lang w:eastAsia="de-DE"/>
              </w:rPr>
            </w:pPr>
          </w:p>
        </w:tc>
      </w:tr>
      <w:tr w:rsidR="00CC0426" w:rsidRPr="00EB35B3" w:rsidTr="00FC2CE4">
        <w:trPr>
          <w:cantSplit/>
          <w:trHeight w:val="80"/>
        </w:trPr>
        <w:tc>
          <w:tcPr>
            <w:tcW w:w="4340" w:type="dxa"/>
            <w:gridSpan w:val="2"/>
            <w:tcMar>
              <w:top w:w="0" w:type="dxa"/>
              <w:left w:w="108" w:type="dxa"/>
              <w:bottom w:w="0" w:type="dxa"/>
              <w:right w:w="108" w:type="dxa"/>
            </w:tcMar>
            <w:vAlign w:val="center"/>
          </w:tcPr>
          <w:p w:rsidR="00CC0426" w:rsidRPr="00EB35B3" w:rsidRDefault="00CC0426" w:rsidP="00FC2CE4">
            <w:pPr>
              <w:tabs>
                <w:tab w:val="center" w:pos="4536"/>
                <w:tab w:val="right" w:pos="9072"/>
              </w:tabs>
              <w:rPr>
                <w:rFonts w:ascii="Arial" w:hAnsi="Arial"/>
                <w:b/>
                <w:sz w:val="8"/>
                <w:lang w:val="nb-NO" w:eastAsia="de-DE"/>
              </w:rPr>
            </w:pPr>
          </w:p>
        </w:tc>
        <w:tc>
          <w:tcPr>
            <w:tcW w:w="5300" w:type="dxa"/>
            <w:gridSpan w:val="2"/>
            <w:tcMar>
              <w:top w:w="0" w:type="dxa"/>
              <w:left w:w="108" w:type="dxa"/>
              <w:bottom w:w="0" w:type="dxa"/>
              <w:right w:w="108" w:type="dxa"/>
            </w:tcMar>
            <w:vAlign w:val="center"/>
          </w:tcPr>
          <w:p w:rsidR="00CC0426" w:rsidRPr="00EB35B3" w:rsidRDefault="00CC0426" w:rsidP="00FC2CE4">
            <w:pPr>
              <w:tabs>
                <w:tab w:val="center" w:pos="4536"/>
                <w:tab w:val="right" w:pos="9072"/>
              </w:tabs>
              <w:rPr>
                <w:rFonts w:ascii="Arial" w:hAnsi="Arial"/>
                <w:b/>
                <w:sz w:val="8"/>
                <w:lang w:eastAsia="de-DE"/>
              </w:rPr>
            </w:pPr>
          </w:p>
        </w:tc>
      </w:tr>
      <w:tr w:rsidR="00CC0426" w:rsidRPr="00EB35B3" w:rsidTr="00FC2CE4">
        <w:trPr>
          <w:cantSplit/>
          <w:trHeight w:val="405"/>
        </w:trPr>
        <w:tc>
          <w:tcPr>
            <w:tcW w:w="1843" w:type="dxa"/>
            <w:tcMar>
              <w:top w:w="0" w:type="dxa"/>
              <w:left w:w="108" w:type="dxa"/>
              <w:bottom w:w="0" w:type="dxa"/>
              <w:right w:w="108" w:type="dxa"/>
            </w:tcMar>
            <w:vAlign w:val="center"/>
            <w:hideMark/>
          </w:tcPr>
          <w:p w:rsidR="00CC0426" w:rsidRPr="00EB35B3" w:rsidRDefault="00CC0426" w:rsidP="00FC2CE4">
            <w:pPr>
              <w:tabs>
                <w:tab w:val="center" w:pos="4536"/>
                <w:tab w:val="right" w:pos="9072"/>
              </w:tabs>
              <w:rPr>
                <w:rFonts w:ascii="Arial" w:hAnsi="Arial"/>
                <w:b/>
                <w:sz w:val="22"/>
                <w:lang w:val="nb-NO" w:eastAsia="de-DE"/>
              </w:rPr>
            </w:pPr>
            <w:r w:rsidRPr="00EB35B3">
              <w:rPr>
                <w:rFonts w:ascii="Arial" w:hAnsi="Arial"/>
                <w:b/>
                <w:sz w:val="22"/>
                <w:lang w:val="nb-NO" w:eastAsia="de-DE"/>
              </w:rPr>
              <w:t>Date issued:</w:t>
            </w:r>
          </w:p>
        </w:tc>
        <w:tc>
          <w:tcPr>
            <w:tcW w:w="7797" w:type="dxa"/>
            <w:gridSpan w:val="3"/>
            <w:tcMar>
              <w:top w:w="0" w:type="dxa"/>
              <w:left w:w="108" w:type="dxa"/>
              <w:bottom w:w="0" w:type="dxa"/>
              <w:right w:w="108" w:type="dxa"/>
            </w:tcMar>
            <w:vAlign w:val="center"/>
            <w:hideMark/>
          </w:tcPr>
          <w:p w:rsidR="00CC0426" w:rsidRPr="00EB35B3" w:rsidRDefault="00CC0426" w:rsidP="00FC2CE4">
            <w:pPr>
              <w:tabs>
                <w:tab w:val="center" w:pos="4536"/>
                <w:tab w:val="right" w:pos="9072"/>
              </w:tabs>
              <w:rPr>
                <w:rFonts w:ascii="Arial" w:hAnsi="Arial"/>
                <w:b/>
                <w:sz w:val="22"/>
                <w:lang w:eastAsia="de-DE"/>
              </w:rPr>
            </w:pPr>
            <w:r w:rsidRPr="00EB35B3">
              <w:rPr>
                <w:rFonts w:ascii="Arial" w:hAnsi="Arial"/>
                <w:b/>
                <w:sz w:val="22"/>
                <w:lang w:eastAsia="de-DE"/>
              </w:rPr>
              <w:t>17 November 2011</w:t>
            </w:r>
          </w:p>
        </w:tc>
      </w:tr>
      <w:tr w:rsidR="00CC0426" w:rsidRPr="00EB35B3" w:rsidTr="00FC2CE4">
        <w:trPr>
          <w:cantSplit/>
          <w:trHeight w:val="405"/>
        </w:trPr>
        <w:tc>
          <w:tcPr>
            <w:tcW w:w="1843" w:type="dxa"/>
            <w:tcMar>
              <w:top w:w="0" w:type="dxa"/>
              <w:left w:w="108" w:type="dxa"/>
              <w:bottom w:w="0" w:type="dxa"/>
              <w:right w:w="108" w:type="dxa"/>
            </w:tcMar>
            <w:vAlign w:val="center"/>
            <w:hideMark/>
          </w:tcPr>
          <w:p w:rsidR="00CC0426" w:rsidRPr="00EB35B3" w:rsidRDefault="00CC0426" w:rsidP="00FC2CE4">
            <w:pPr>
              <w:tabs>
                <w:tab w:val="center" w:pos="4536"/>
                <w:tab w:val="right" w:pos="9072"/>
              </w:tabs>
              <w:rPr>
                <w:rFonts w:ascii="Arial" w:hAnsi="Arial"/>
                <w:b/>
                <w:sz w:val="22"/>
                <w:lang w:val="nb-NO" w:eastAsia="de-DE"/>
              </w:rPr>
            </w:pPr>
            <w:r w:rsidRPr="00EB35B3">
              <w:rPr>
                <w:rFonts w:ascii="Arial" w:hAnsi="Arial"/>
                <w:b/>
                <w:sz w:val="22"/>
                <w:lang w:val="nb-NO" w:eastAsia="de-DE"/>
              </w:rPr>
              <w:t>Source:</w:t>
            </w:r>
          </w:p>
        </w:tc>
        <w:tc>
          <w:tcPr>
            <w:tcW w:w="7797" w:type="dxa"/>
            <w:gridSpan w:val="3"/>
            <w:tcMar>
              <w:top w:w="0" w:type="dxa"/>
              <w:left w:w="108" w:type="dxa"/>
              <w:bottom w:w="0" w:type="dxa"/>
              <w:right w:w="108" w:type="dxa"/>
            </w:tcMar>
            <w:vAlign w:val="center"/>
            <w:hideMark/>
          </w:tcPr>
          <w:p w:rsidR="00CC0426" w:rsidRPr="00EB35B3" w:rsidRDefault="00CC0426" w:rsidP="00FC2CE4">
            <w:pPr>
              <w:tabs>
                <w:tab w:val="center" w:pos="4536"/>
                <w:tab w:val="right" w:pos="9072"/>
              </w:tabs>
              <w:rPr>
                <w:rFonts w:ascii="Arial" w:hAnsi="Arial"/>
                <w:b/>
                <w:sz w:val="22"/>
                <w:lang w:eastAsia="de-DE"/>
              </w:rPr>
            </w:pPr>
            <w:r>
              <w:rPr>
                <w:rFonts w:ascii="Arial" w:hAnsi="Arial"/>
                <w:b/>
                <w:sz w:val="22"/>
                <w:lang w:eastAsia="de-DE"/>
              </w:rPr>
              <w:t>United Kingdom</w:t>
            </w:r>
          </w:p>
        </w:tc>
      </w:tr>
      <w:tr w:rsidR="00CC0426" w:rsidRPr="00EB35B3" w:rsidTr="00FC2CE4">
        <w:trPr>
          <w:cantSplit/>
          <w:trHeight w:val="405"/>
        </w:trPr>
        <w:tc>
          <w:tcPr>
            <w:tcW w:w="1843" w:type="dxa"/>
            <w:tcMar>
              <w:top w:w="0" w:type="dxa"/>
              <w:left w:w="108" w:type="dxa"/>
              <w:bottom w:w="0" w:type="dxa"/>
              <w:right w:w="108" w:type="dxa"/>
            </w:tcMar>
            <w:vAlign w:val="center"/>
            <w:hideMark/>
          </w:tcPr>
          <w:p w:rsidR="00CC0426" w:rsidRPr="00EB35B3" w:rsidRDefault="00CC0426" w:rsidP="00FC2CE4">
            <w:pPr>
              <w:tabs>
                <w:tab w:val="center" w:pos="4536"/>
                <w:tab w:val="right" w:pos="9072"/>
              </w:tabs>
              <w:rPr>
                <w:rFonts w:ascii="Arial" w:hAnsi="Arial"/>
                <w:b/>
                <w:sz w:val="22"/>
                <w:lang w:eastAsia="de-DE"/>
              </w:rPr>
            </w:pPr>
            <w:r w:rsidRPr="00EB35B3">
              <w:rPr>
                <w:rFonts w:ascii="Arial" w:hAnsi="Arial"/>
                <w:b/>
                <w:sz w:val="22"/>
                <w:lang w:eastAsia="de-DE"/>
              </w:rPr>
              <w:t>Subject:</w:t>
            </w:r>
          </w:p>
        </w:tc>
        <w:tc>
          <w:tcPr>
            <w:tcW w:w="7797" w:type="dxa"/>
            <w:gridSpan w:val="3"/>
            <w:tcMar>
              <w:top w:w="0" w:type="dxa"/>
              <w:left w:w="108" w:type="dxa"/>
              <w:bottom w:w="0" w:type="dxa"/>
              <w:right w:w="108" w:type="dxa"/>
            </w:tcMar>
            <w:vAlign w:val="center"/>
            <w:hideMark/>
          </w:tcPr>
          <w:p w:rsidR="00CC0426" w:rsidRPr="00EB35B3" w:rsidRDefault="00CC0426" w:rsidP="00FC2CE4">
            <w:pPr>
              <w:tabs>
                <w:tab w:val="center" w:pos="4536"/>
                <w:tab w:val="right" w:pos="9072"/>
              </w:tabs>
              <w:rPr>
                <w:rFonts w:ascii="Arial" w:hAnsi="Arial"/>
                <w:b/>
                <w:sz w:val="22"/>
                <w:lang w:eastAsia="de-DE"/>
              </w:rPr>
            </w:pPr>
            <w:r>
              <w:rPr>
                <w:rFonts w:ascii="Arial" w:hAnsi="Arial"/>
                <w:b/>
                <w:sz w:val="22"/>
                <w:lang w:eastAsia="de-DE"/>
              </w:rPr>
              <w:t>Global roaming</w:t>
            </w:r>
            <w:bookmarkStart w:id="0" w:name="_GoBack"/>
            <w:bookmarkEnd w:id="0"/>
          </w:p>
        </w:tc>
      </w:tr>
    </w:tbl>
    <w:p w:rsidR="00CC0426" w:rsidRPr="00EB35B3" w:rsidRDefault="00CC0426" w:rsidP="00CC0426">
      <w:pPr>
        <w:rPr>
          <w:rFonts w:ascii="Arial" w:hAnsi="Arial"/>
          <w:sz w:val="22"/>
          <w:lang w:val="en-US" w:eastAsia="de-DE"/>
        </w:rPr>
      </w:pPr>
      <w:r>
        <w:rPr>
          <w:rFonts w:ascii="Arial" w:hAnsi="Arial"/>
          <w:noProof/>
          <w:sz w:val="22"/>
          <w:lang w:val="sv-SE" w:eastAsia="sv-SE"/>
        </w:rPr>
        <mc:AlternateContent>
          <mc:Choice Requires="wps">
            <w:drawing>
              <wp:anchor distT="0" distB="0" distL="114300" distR="114300" simplePos="0" relativeHeight="251659264" behindDoc="1" locked="0" layoutInCell="1" allowOverlap="1">
                <wp:simplePos x="0" y="0"/>
                <wp:positionH relativeFrom="column">
                  <wp:posOffset>2600325</wp:posOffset>
                </wp:positionH>
                <wp:positionV relativeFrom="paragraph">
                  <wp:posOffset>187960</wp:posOffset>
                </wp:positionV>
                <wp:extent cx="457200" cy="271145"/>
                <wp:effectExtent l="0" t="0" r="19050" b="14605"/>
                <wp:wrapTight wrapText="bothSides">
                  <wp:wrapPolygon edited="0">
                    <wp:start x="0" y="0"/>
                    <wp:lineTo x="0" y="21246"/>
                    <wp:lineTo x="21600" y="21246"/>
                    <wp:lineTo x="21600" y="0"/>
                    <wp:lineTo x="0" y="0"/>
                  </wp:wrapPolygon>
                </wp:wrapTight>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CC0426" w:rsidRDefault="00CC0426" w:rsidP="00CC0426">
                            <w:pPr>
                              <w:jc w:val="center"/>
                              <w:rPr>
                                <w:rFonts w:cs="Arial"/>
                                <w:lang w:val="de-DE"/>
                              </w:rPr>
                            </w:pPr>
                            <w:r>
                              <w:rPr>
                                <w:rFonts w:cs="Arial"/>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204.75pt;margin-top:14.8pt;width:36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">
                <v:textbox>
                  <w:txbxContent>
                    <w:p w:rsidR="00CC0426" w:rsidRDefault="00CC0426" w:rsidP="00CC0426">
                      <w:pPr>
                        <w:jc w:val="center"/>
                        <w:rPr>
                          <w:rFonts w:cs="Arial"/>
                          <w:lang w:val="de-DE"/>
                        </w:rPr>
                      </w:pPr>
                      <w:r>
                        <w:rPr>
                          <w:rFonts w:cs="Arial"/>
                          <w:lang w:val="de-DE"/>
                        </w:rPr>
                        <w:t>N</w:t>
                      </w:r>
                    </w:p>
                  </w:txbxContent>
                </v:textbox>
                <w10:wrap type="tight"/>
              </v:shape>
            </w:pict>
          </mc:Fallback>
        </mc:AlternateContent>
      </w:r>
    </w:p>
    <w:p w:rsidR="00CC0426" w:rsidRPr="00EB35B3" w:rsidRDefault="00CC0426" w:rsidP="00CC0426">
      <w:pPr>
        <w:rPr>
          <w:rFonts w:ascii="Times New Roman" w:hAnsi="Times New Roman"/>
          <w:sz w:val="20"/>
        </w:rPr>
      </w:pPr>
      <w:r w:rsidRPr="00EB35B3">
        <w:rPr>
          <w:rFonts w:ascii="Times New Roman" w:hAnsi="Times New Roman"/>
          <w:sz w:val="20"/>
        </w:rPr>
        <w:t xml:space="preserve">Password protection required? (Y/N) </w:t>
      </w:r>
    </w:p>
    <w:p w:rsidR="00CC0426" w:rsidRPr="00EB35B3" w:rsidRDefault="00CC0426" w:rsidP="00CC0426">
      <w:pPr>
        <w:spacing w:after="120"/>
        <w:jc w:val="center"/>
        <w:rPr>
          <w:rFonts w:ascii="Arial" w:hAnsi="Arial"/>
          <w:b/>
          <w:sz w:val="28"/>
          <w:lang w:eastAsia="de-DE"/>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40"/>
      </w:tblGrid>
      <w:tr w:rsidR="00CC0426" w:rsidRPr="00EB35B3" w:rsidTr="00FC2CE4">
        <w:trPr>
          <w:cantSplit/>
          <w:trHeight w:val="446"/>
        </w:trPr>
        <w:tc>
          <w:tcPr>
            <w:tcW w:w="9640" w:type="dxa"/>
            <w:tcBorders>
              <w:top w:val="single" w:sz="4" w:space="0" w:color="auto"/>
              <w:left w:val="single" w:sz="4" w:space="0" w:color="auto"/>
              <w:bottom w:val="nil"/>
              <w:right w:val="single" w:sz="4" w:space="0" w:color="auto"/>
            </w:tcBorders>
            <w:hideMark/>
          </w:tcPr>
          <w:p w:rsidR="00CC0426" w:rsidRPr="00EB35B3" w:rsidRDefault="00CC0426" w:rsidP="00FC2CE4">
            <w:pPr>
              <w:tabs>
                <w:tab w:val="center" w:pos="4536"/>
                <w:tab w:val="right" w:pos="9072"/>
              </w:tabs>
              <w:rPr>
                <w:rFonts w:ascii="Arial" w:hAnsi="Arial"/>
                <w:b/>
                <w:sz w:val="22"/>
                <w:lang w:val="en-US" w:eastAsia="de-DE"/>
              </w:rPr>
            </w:pPr>
            <w:r w:rsidRPr="00EB35B3">
              <w:rPr>
                <w:rFonts w:ascii="Arial" w:hAnsi="Arial"/>
                <w:b/>
                <w:sz w:val="22"/>
                <w:lang w:val="en-US" w:eastAsia="de-DE"/>
              </w:rPr>
              <w:t xml:space="preserve">Summary: </w:t>
            </w:r>
          </w:p>
        </w:tc>
      </w:tr>
      <w:tr w:rsidR="00CC0426" w:rsidRPr="00EB35B3" w:rsidTr="00FC2CE4">
        <w:trPr>
          <w:cantSplit/>
          <w:trHeight w:val="1112"/>
        </w:trPr>
        <w:tc>
          <w:tcPr>
            <w:tcW w:w="9640" w:type="dxa"/>
            <w:tcBorders>
              <w:top w:val="nil"/>
              <w:left w:val="single" w:sz="4" w:space="0" w:color="auto"/>
              <w:bottom w:val="single" w:sz="4" w:space="0" w:color="auto"/>
              <w:right w:val="single" w:sz="4" w:space="0" w:color="auto"/>
            </w:tcBorders>
          </w:tcPr>
          <w:p w:rsidR="00CC0426" w:rsidRPr="00EB35B3" w:rsidRDefault="00CC0426" w:rsidP="00CC0426">
            <w:pPr>
              <w:rPr>
                <w:rFonts w:ascii="Arial" w:hAnsi="Arial"/>
                <w:sz w:val="22"/>
                <w:lang w:val="nb-NO" w:eastAsia="de-DE"/>
              </w:rPr>
            </w:pPr>
          </w:p>
        </w:tc>
      </w:tr>
      <w:tr w:rsidR="00CC0426" w:rsidRPr="00EB35B3" w:rsidTr="00FC2CE4">
        <w:trPr>
          <w:cantSplit/>
          <w:trHeight w:val="443"/>
        </w:trPr>
        <w:tc>
          <w:tcPr>
            <w:tcW w:w="9640" w:type="dxa"/>
            <w:tcBorders>
              <w:top w:val="single" w:sz="4" w:space="0" w:color="auto"/>
              <w:left w:val="single" w:sz="4" w:space="0" w:color="auto"/>
              <w:bottom w:val="nil"/>
              <w:right w:val="single" w:sz="4" w:space="0" w:color="auto"/>
            </w:tcBorders>
            <w:hideMark/>
          </w:tcPr>
          <w:p w:rsidR="00CC0426" w:rsidRPr="00EB35B3" w:rsidRDefault="00CC0426" w:rsidP="00FC2CE4">
            <w:pPr>
              <w:tabs>
                <w:tab w:val="center" w:pos="4536"/>
                <w:tab w:val="right" w:pos="9072"/>
              </w:tabs>
              <w:rPr>
                <w:rFonts w:ascii="Arial" w:hAnsi="Arial"/>
                <w:b/>
                <w:sz w:val="22"/>
                <w:lang w:val="en-US" w:eastAsia="de-DE"/>
              </w:rPr>
            </w:pPr>
            <w:r w:rsidRPr="00EB35B3">
              <w:rPr>
                <w:rFonts w:ascii="Arial" w:hAnsi="Arial"/>
                <w:b/>
                <w:sz w:val="22"/>
                <w:lang w:val="en-US" w:eastAsia="de-DE"/>
              </w:rPr>
              <w:t xml:space="preserve">Proposal: </w:t>
            </w:r>
          </w:p>
        </w:tc>
      </w:tr>
      <w:tr w:rsidR="00CC0426" w:rsidRPr="00EB35B3" w:rsidTr="00FC2CE4">
        <w:trPr>
          <w:cantSplit/>
          <w:trHeight w:val="945"/>
        </w:trPr>
        <w:tc>
          <w:tcPr>
            <w:tcW w:w="9640" w:type="dxa"/>
            <w:tcBorders>
              <w:top w:val="nil"/>
              <w:left w:val="single" w:sz="4" w:space="0" w:color="auto"/>
              <w:bottom w:val="single" w:sz="4" w:space="0" w:color="auto"/>
              <w:right w:val="single" w:sz="4" w:space="0" w:color="auto"/>
            </w:tcBorders>
          </w:tcPr>
          <w:p w:rsidR="00CC0426" w:rsidRPr="00EB35B3" w:rsidRDefault="00CC0426" w:rsidP="00FC2CE4">
            <w:pPr>
              <w:rPr>
                <w:rFonts w:ascii="Arial" w:hAnsi="Arial"/>
                <w:sz w:val="22"/>
                <w:lang w:val="en-US" w:eastAsia="de-DE"/>
              </w:rPr>
            </w:pPr>
            <w:r w:rsidRPr="00EB35B3">
              <w:rPr>
                <w:rFonts w:ascii="Times New Roman" w:hAnsi="Times New Roman"/>
                <w:sz w:val="20"/>
                <w:lang w:val="en-US"/>
              </w:rPr>
              <w:t>For consideration.</w:t>
            </w:r>
          </w:p>
          <w:p w:rsidR="00CC0426" w:rsidRPr="00EB35B3" w:rsidRDefault="00CC0426" w:rsidP="00FC2CE4">
            <w:pPr>
              <w:spacing w:after="120"/>
              <w:jc w:val="both"/>
              <w:rPr>
                <w:rFonts w:ascii="Arial" w:hAnsi="Arial"/>
                <w:sz w:val="22"/>
                <w:lang w:val="en-US" w:eastAsia="de-DE"/>
              </w:rPr>
            </w:pPr>
          </w:p>
        </w:tc>
      </w:tr>
      <w:tr w:rsidR="00CC0426" w:rsidRPr="00EB35B3" w:rsidTr="00FC2CE4">
        <w:trPr>
          <w:cantSplit/>
          <w:trHeight w:val="431"/>
        </w:trPr>
        <w:tc>
          <w:tcPr>
            <w:tcW w:w="9640" w:type="dxa"/>
            <w:tcBorders>
              <w:top w:val="single" w:sz="4" w:space="0" w:color="auto"/>
              <w:left w:val="single" w:sz="4" w:space="0" w:color="auto"/>
              <w:bottom w:val="nil"/>
              <w:right w:val="single" w:sz="4" w:space="0" w:color="auto"/>
            </w:tcBorders>
            <w:hideMark/>
          </w:tcPr>
          <w:p w:rsidR="00CC0426" w:rsidRPr="00EB35B3" w:rsidRDefault="00CC0426" w:rsidP="00FC2CE4">
            <w:pPr>
              <w:tabs>
                <w:tab w:val="center" w:pos="4536"/>
                <w:tab w:val="right" w:pos="9072"/>
              </w:tabs>
              <w:rPr>
                <w:rFonts w:ascii="Arial" w:hAnsi="Arial"/>
                <w:b/>
                <w:sz w:val="22"/>
                <w:lang w:val="en-US" w:eastAsia="de-DE"/>
              </w:rPr>
            </w:pPr>
            <w:r w:rsidRPr="00EB35B3">
              <w:rPr>
                <w:rFonts w:ascii="Arial" w:hAnsi="Arial"/>
                <w:b/>
                <w:sz w:val="22"/>
                <w:lang w:val="en-US" w:eastAsia="de-DE"/>
              </w:rPr>
              <w:t xml:space="preserve">Background: </w:t>
            </w:r>
          </w:p>
        </w:tc>
      </w:tr>
      <w:tr w:rsidR="00CC0426" w:rsidRPr="00EB35B3" w:rsidTr="00FC2CE4">
        <w:trPr>
          <w:cantSplit/>
          <w:trHeight w:val="784"/>
        </w:trPr>
        <w:tc>
          <w:tcPr>
            <w:tcW w:w="9640" w:type="dxa"/>
            <w:tcBorders>
              <w:top w:val="nil"/>
              <w:left w:val="single" w:sz="4" w:space="0" w:color="auto"/>
              <w:bottom w:val="single" w:sz="4" w:space="0" w:color="auto"/>
              <w:right w:val="single" w:sz="4" w:space="0" w:color="auto"/>
            </w:tcBorders>
          </w:tcPr>
          <w:p w:rsidR="00CC0426" w:rsidRPr="00EB35B3" w:rsidRDefault="00CC0426" w:rsidP="00FC2CE4">
            <w:pPr>
              <w:spacing w:after="120"/>
              <w:jc w:val="both"/>
              <w:rPr>
                <w:rFonts w:ascii="Arial" w:hAnsi="Arial"/>
                <w:bCs/>
                <w:sz w:val="22"/>
                <w:lang w:eastAsia="de-DE"/>
              </w:rPr>
            </w:pPr>
          </w:p>
        </w:tc>
      </w:tr>
    </w:tbl>
    <w:p w:rsidR="00CC0426" w:rsidRDefault="00CC0426" w:rsidP="00CC0426">
      <w:pPr>
        <w:rPr>
          <w:lang w:val="en-US"/>
        </w:rPr>
      </w:pPr>
    </w:p>
    <w:p w:rsidR="00CC0426" w:rsidRDefault="00CC0426">
      <w:pPr>
        <w:tabs>
          <w:tab w:val="clear" w:pos="567"/>
          <w:tab w:val="clear" w:pos="1134"/>
          <w:tab w:val="clear" w:pos="1701"/>
          <w:tab w:val="clear" w:pos="2268"/>
          <w:tab w:val="clear" w:pos="2835"/>
        </w:tabs>
        <w:overflowPunct/>
        <w:autoSpaceDE/>
        <w:autoSpaceDN/>
        <w:adjustRightInd/>
        <w:spacing w:before="0"/>
        <w:textAlignment w:val="auto"/>
        <w:rPr>
          <w:rFonts w:ascii="Arial" w:eastAsiaTheme="majorEastAsia" w:hAnsi="Arial" w:cs="Arial"/>
          <w:b/>
          <w:bCs/>
          <w:sz w:val="26"/>
          <w:szCs w:val="26"/>
        </w:rPr>
      </w:pPr>
      <w:r>
        <w:rPr>
          <w:rFonts w:ascii="Arial" w:hAnsi="Arial" w:cs="Arial"/>
        </w:rPr>
        <w:br w:type="page"/>
      </w:r>
    </w:p>
    <w:p w:rsidR="00CC0426" w:rsidRDefault="00CC0426" w:rsidP="00CC0426">
      <w:pPr>
        <w:pStyle w:val="Rubrik2"/>
        <w:jc w:val="center"/>
        <w:rPr>
          <w:rFonts w:ascii="Arial" w:hAnsi="Arial" w:cs="Arial"/>
          <w:color w:val="auto"/>
        </w:rPr>
      </w:pPr>
    </w:p>
    <w:p w:rsidR="00CC0426" w:rsidRPr="00CC0426" w:rsidRDefault="00CC0426" w:rsidP="00CC0426">
      <w:pPr>
        <w:pStyle w:val="Rubrik2"/>
        <w:jc w:val="center"/>
        <w:rPr>
          <w:rFonts w:ascii="Arial" w:hAnsi="Arial" w:cs="Arial"/>
          <w:color w:val="auto"/>
        </w:rPr>
      </w:pPr>
      <w:r w:rsidRPr="00CC0426">
        <w:rPr>
          <w:rFonts w:ascii="Arial" w:hAnsi="Arial" w:cs="Arial"/>
          <w:color w:val="auto"/>
        </w:rPr>
        <w:t xml:space="preserve">European Common </w:t>
      </w:r>
      <w:commentRangeStart w:id="1"/>
      <w:r w:rsidRPr="00CC0426">
        <w:rPr>
          <w:rFonts w:ascii="Arial" w:hAnsi="Arial" w:cs="Arial"/>
          <w:color w:val="auto"/>
        </w:rPr>
        <w:t xml:space="preserve">Proposal/Position </w:t>
      </w:r>
      <w:commentRangeEnd w:id="1"/>
      <w:r w:rsidRPr="00CC0426">
        <w:rPr>
          <w:rStyle w:val="Kommentarsreferens"/>
          <w:rFonts w:ascii="Arial" w:hAnsi="Arial" w:cs="Arial"/>
          <w:color w:val="auto"/>
          <w:sz w:val="26"/>
          <w:szCs w:val="26"/>
        </w:rPr>
        <w:commentReference w:id="1"/>
      </w:r>
      <w:r w:rsidRPr="00CC0426">
        <w:rPr>
          <w:rFonts w:ascii="Arial" w:hAnsi="Arial" w:cs="Arial"/>
          <w:color w:val="auto"/>
        </w:rPr>
        <w:t>&lt;xx&gt;</w:t>
      </w:r>
    </w:p>
    <w:p w:rsidR="00EF61D2" w:rsidRPr="00B9418A" w:rsidRDefault="00CC0426" w:rsidP="00CC0426">
      <w:pPr>
        <w:jc w:val="center"/>
        <w:rPr>
          <w:rFonts w:ascii="Arial" w:hAnsi="Arial" w:cs="Arial"/>
          <w:b/>
        </w:rPr>
      </w:pPr>
      <w:r w:rsidRPr="00233ECA">
        <w:rPr>
          <w:b/>
          <w:sz w:val="32"/>
          <w:szCs w:val="32"/>
        </w:rPr>
        <w:t>Global Roaming Agreements included in the International Telecommunication Regulations (ITRs</w:t>
      </w:r>
      <w:proofErr w:type="gramStart"/>
      <w:r w:rsidRPr="00233ECA">
        <w:rPr>
          <w:b/>
          <w:sz w:val="32"/>
          <w:szCs w:val="32"/>
        </w:rPr>
        <w:t>)</w:t>
      </w:r>
      <w:r w:rsidR="00EF61D2" w:rsidRPr="00B9418A">
        <w:rPr>
          <w:rFonts w:ascii="Arial" w:hAnsi="Arial" w:cs="Arial"/>
          <w:b/>
        </w:rPr>
        <w:t>Background</w:t>
      </w:r>
      <w:proofErr w:type="gramEnd"/>
    </w:p>
    <w:p w:rsidR="00E04826" w:rsidRPr="00B9418A" w:rsidRDefault="00E04826" w:rsidP="00E04826">
      <w:pPr>
        <w:pStyle w:val="Rubrik2"/>
        <w:rPr>
          <w:rFonts w:ascii="Arial" w:hAnsi="Arial" w:cs="Arial"/>
          <w:color w:val="auto"/>
          <w:sz w:val="24"/>
          <w:szCs w:val="24"/>
          <w:lang w:val="en"/>
        </w:rPr>
      </w:pPr>
      <w:r w:rsidRPr="00B9418A">
        <w:rPr>
          <w:rStyle w:val="mw-headline"/>
          <w:rFonts w:ascii="Arial" w:hAnsi="Arial" w:cs="Arial"/>
          <w:color w:val="auto"/>
          <w:sz w:val="24"/>
          <w:szCs w:val="24"/>
          <w:lang w:val="en"/>
        </w:rPr>
        <w:t>The roaming process</w:t>
      </w:r>
    </w:p>
    <w:p w:rsidR="00E04826" w:rsidRPr="00B9418A" w:rsidRDefault="00E04826" w:rsidP="00E04826">
      <w:pPr>
        <w:pStyle w:val="Normalwebb"/>
        <w:rPr>
          <w:rFonts w:ascii="Arial" w:hAnsi="Arial" w:cs="Arial"/>
          <w:lang w:val="en"/>
        </w:rPr>
      </w:pPr>
      <w:r w:rsidRPr="00B9418A">
        <w:rPr>
          <w:rFonts w:ascii="Arial" w:hAnsi="Arial" w:cs="Arial"/>
          <w:lang w:val="en"/>
        </w:rPr>
        <w:t xml:space="preserve">The details of the roaming process differ among types of </w:t>
      </w:r>
      <w:r w:rsidR="00B9418A">
        <w:rPr>
          <w:rFonts w:ascii="Arial" w:hAnsi="Arial" w:cs="Arial"/>
          <w:lang w:val="en"/>
        </w:rPr>
        <w:t>mobile</w:t>
      </w:r>
      <w:r w:rsidRPr="00B9418A">
        <w:rPr>
          <w:rFonts w:ascii="Arial" w:hAnsi="Arial" w:cs="Arial"/>
          <w:lang w:val="en"/>
        </w:rPr>
        <w:t xml:space="preserve"> networks, but in general, the process resembles the following:</w:t>
      </w:r>
    </w:p>
    <w:p w:rsidR="00E04826" w:rsidRPr="00B9418A" w:rsidRDefault="00E04826" w:rsidP="00E04826">
      <w:pPr>
        <w:numPr>
          <w:ilvl w:val="0"/>
          <w:numId w:val="4"/>
        </w:num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rPr>
          <w:rFonts w:ascii="Arial" w:hAnsi="Arial" w:cs="Arial"/>
          <w:szCs w:val="24"/>
          <w:lang w:val="en"/>
        </w:rPr>
      </w:pPr>
      <w:r w:rsidRPr="00B9418A">
        <w:rPr>
          <w:rFonts w:ascii="Arial" w:hAnsi="Arial" w:cs="Arial"/>
          <w:szCs w:val="24"/>
          <w:lang w:val="en"/>
        </w:rPr>
        <w:t xml:space="preserve">When the mobile device is turned on or is transferred via a </w:t>
      </w:r>
      <w:r w:rsidR="00B9418A">
        <w:rPr>
          <w:rFonts w:ascii="Arial" w:hAnsi="Arial" w:cs="Arial"/>
          <w:szCs w:val="24"/>
          <w:lang w:val="en"/>
        </w:rPr>
        <w:t xml:space="preserve">handover </w:t>
      </w:r>
      <w:r w:rsidRPr="00B9418A">
        <w:rPr>
          <w:rFonts w:ascii="Arial" w:hAnsi="Arial" w:cs="Arial"/>
          <w:szCs w:val="24"/>
          <w:lang w:val="en"/>
        </w:rPr>
        <w:t>to the network, this new "visited" network sees the device, notices that it is not registered with its own system, and attempts to identify its home network. If there is no roaming agreement between the two networks, maintenance of service is impossible, and service is denied by the visited network.</w:t>
      </w:r>
    </w:p>
    <w:p w:rsidR="00E04826" w:rsidRPr="00B9418A" w:rsidRDefault="00E04826" w:rsidP="00E04826">
      <w:pPr>
        <w:numPr>
          <w:ilvl w:val="0"/>
          <w:numId w:val="4"/>
        </w:num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rPr>
          <w:rFonts w:ascii="Arial" w:hAnsi="Arial" w:cs="Arial"/>
          <w:szCs w:val="24"/>
          <w:lang w:val="en"/>
        </w:rPr>
      </w:pPr>
      <w:r w:rsidRPr="00B9418A">
        <w:rPr>
          <w:rFonts w:ascii="Arial" w:hAnsi="Arial" w:cs="Arial"/>
          <w:szCs w:val="24"/>
          <w:lang w:val="en"/>
        </w:rPr>
        <w:t xml:space="preserve">The visited network contacts the home network and requests service information (including whether or not the mobile should be allowed to roam) about the roaming device using the </w:t>
      </w:r>
      <w:r w:rsidR="00B9418A">
        <w:rPr>
          <w:rFonts w:ascii="Arial" w:hAnsi="Arial" w:cs="Arial"/>
          <w:szCs w:val="24"/>
          <w:lang w:val="en"/>
        </w:rPr>
        <w:t xml:space="preserve">IMSI </w:t>
      </w:r>
      <w:r w:rsidRPr="00B9418A">
        <w:rPr>
          <w:rFonts w:ascii="Arial" w:hAnsi="Arial" w:cs="Arial"/>
          <w:szCs w:val="24"/>
          <w:lang w:val="en"/>
        </w:rPr>
        <w:t>number.</w:t>
      </w:r>
    </w:p>
    <w:p w:rsidR="00E04826" w:rsidRPr="00B9418A" w:rsidRDefault="00E04826" w:rsidP="00E04826">
      <w:pPr>
        <w:numPr>
          <w:ilvl w:val="0"/>
          <w:numId w:val="4"/>
        </w:num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rPr>
          <w:rFonts w:ascii="Arial" w:hAnsi="Arial" w:cs="Arial"/>
          <w:szCs w:val="24"/>
          <w:lang w:val="en"/>
        </w:rPr>
      </w:pPr>
      <w:r w:rsidRPr="00B9418A">
        <w:rPr>
          <w:rFonts w:ascii="Arial" w:hAnsi="Arial" w:cs="Arial"/>
          <w:szCs w:val="24"/>
          <w:lang w:val="en"/>
        </w:rPr>
        <w:t xml:space="preserve">If successful, the visited network begins to maintain a temporary subscriber record for the device. Likewise, the home network updates its information to indicate that the mobile is on the </w:t>
      </w:r>
      <w:r w:rsidR="00B42A1C">
        <w:rPr>
          <w:rFonts w:ascii="Arial" w:hAnsi="Arial" w:cs="Arial"/>
          <w:szCs w:val="24"/>
          <w:lang w:val="en"/>
        </w:rPr>
        <w:t>visited</w:t>
      </w:r>
      <w:r w:rsidRPr="00B9418A">
        <w:rPr>
          <w:rFonts w:ascii="Arial" w:hAnsi="Arial" w:cs="Arial"/>
          <w:szCs w:val="24"/>
          <w:lang w:val="en"/>
        </w:rPr>
        <w:t xml:space="preserve"> network so that any information sent to that device can be correctly routed.</w:t>
      </w:r>
    </w:p>
    <w:p w:rsidR="00E04826" w:rsidRPr="00B9418A" w:rsidRDefault="00E04826" w:rsidP="00E04826">
      <w:pPr>
        <w:pStyle w:val="Normalwebb"/>
        <w:rPr>
          <w:rFonts w:ascii="Arial" w:hAnsi="Arial" w:cs="Arial"/>
          <w:lang w:val="en"/>
        </w:rPr>
      </w:pPr>
      <w:r w:rsidRPr="00B9418A">
        <w:rPr>
          <w:rFonts w:ascii="Arial" w:hAnsi="Arial" w:cs="Arial"/>
          <w:lang w:val="en"/>
        </w:rPr>
        <w:t xml:space="preserve">If a call is made to a roaming mobile, the </w:t>
      </w:r>
      <w:r w:rsidR="00B9418A">
        <w:rPr>
          <w:rFonts w:ascii="Arial" w:hAnsi="Arial" w:cs="Arial"/>
          <w:lang w:val="en"/>
        </w:rPr>
        <w:t xml:space="preserve">public telephone network routes </w:t>
      </w:r>
      <w:r w:rsidRPr="00B9418A">
        <w:rPr>
          <w:rFonts w:ascii="Arial" w:hAnsi="Arial" w:cs="Arial"/>
          <w:lang w:val="en"/>
        </w:rPr>
        <w:t xml:space="preserve">the call to the </w:t>
      </w:r>
      <w:proofErr w:type="gramStart"/>
      <w:r w:rsidRPr="00B9418A">
        <w:rPr>
          <w:rFonts w:ascii="Arial" w:hAnsi="Arial" w:cs="Arial"/>
          <w:lang w:val="en"/>
        </w:rPr>
        <w:t>phone's</w:t>
      </w:r>
      <w:proofErr w:type="gramEnd"/>
      <w:r w:rsidRPr="00B9418A">
        <w:rPr>
          <w:rFonts w:ascii="Arial" w:hAnsi="Arial" w:cs="Arial"/>
          <w:lang w:val="en"/>
        </w:rPr>
        <w:t xml:space="preserve"> registered service provider, who then must route it to the visited network. That network must then provide an internal temporary phone number to the mobile. Once this number is defined, the home network forwards the incoming call to the temporary phone number, which terminates at the </w:t>
      </w:r>
      <w:r w:rsidR="00B42A1C">
        <w:rPr>
          <w:rFonts w:ascii="Arial" w:hAnsi="Arial" w:cs="Arial"/>
          <w:lang w:val="en"/>
        </w:rPr>
        <w:t>visited</w:t>
      </w:r>
      <w:r w:rsidRPr="00B9418A">
        <w:rPr>
          <w:rFonts w:ascii="Arial" w:hAnsi="Arial" w:cs="Arial"/>
          <w:lang w:val="en"/>
        </w:rPr>
        <w:t xml:space="preserve"> network and is forwarded to the mobile.</w:t>
      </w:r>
    </w:p>
    <w:p w:rsidR="00E04826" w:rsidRPr="00B9418A" w:rsidRDefault="00E04826" w:rsidP="00E04826">
      <w:pPr>
        <w:pStyle w:val="Normalwebb"/>
        <w:rPr>
          <w:rFonts w:ascii="Arial" w:hAnsi="Arial" w:cs="Arial"/>
          <w:lang w:val="en"/>
        </w:rPr>
      </w:pPr>
      <w:r w:rsidRPr="00B9418A">
        <w:rPr>
          <w:rFonts w:ascii="Arial" w:hAnsi="Arial" w:cs="Arial"/>
          <w:lang w:val="en"/>
        </w:rPr>
        <w:t>In order that a subscriber is able to "latch" on to a visited network, a roaming agreement needs to be in place between the visited network and the home network. This agreement is established after a series of testing processes called Int</w:t>
      </w:r>
      <w:r w:rsidR="00B9418A">
        <w:rPr>
          <w:rFonts w:ascii="Arial" w:hAnsi="Arial" w:cs="Arial"/>
          <w:lang w:val="en"/>
        </w:rPr>
        <w:t>ernational Roaming Expert Group (IREG)</w:t>
      </w:r>
      <w:r w:rsidRPr="00B9418A">
        <w:rPr>
          <w:rFonts w:ascii="Arial" w:hAnsi="Arial" w:cs="Arial"/>
          <w:lang w:val="en"/>
        </w:rPr>
        <w:t xml:space="preserve"> and Transferred</w:t>
      </w:r>
      <w:r w:rsidR="00B9418A">
        <w:rPr>
          <w:rFonts w:ascii="Arial" w:hAnsi="Arial" w:cs="Arial"/>
          <w:lang w:val="en"/>
        </w:rPr>
        <w:t xml:space="preserve"> Account Data Interchange Group (TADIG)</w:t>
      </w:r>
      <w:r w:rsidRPr="00B9418A">
        <w:rPr>
          <w:rFonts w:ascii="Arial" w:hAnsi="Arial" w:cs="Arial"/>
          <w:lang w:val="en"/>
        </w:rPr>
        <w:t>. While the IREG testing is to test the proper functioning of the established communication links, the TADIG testing is to check the billability of the calls.</w:t>
      </w:r>
    </w:p>
    <w:p w:rsidR="00E04826" w:rsidRPr="00B9418A" w:rsidRDefault="00E04826" w:rsidP="00E04826">
      <w:pPr>
        <w:pStyle w:val="Normalwebb"/>
        <w:rPr>
          <w:rFonts w:ascii="Arial" w:hAnsi="Arial" w:cs="Arial"/>
          <w:lang w:val="en"/>
        </w:rPr>
      </w:pPr>
      <w:r w:rsidRPr="00B9418A">
        <w:rPr>
          <w:rFonts w:ascii="Arial" w:hAnsi="Arial" w:cs="Arial"/>
          <w:lang w:val="en"/>
        </w:rPr>
        <w:t xml:space="preserve">The usage by a subscriber in a visited network is captured in a file called the </w:t>
      </w:r>
      <w:r w:rsidR="00B9418A">
        <w:rPr>
          <w:rFonts w:ascii="Arial" w:hAnsi="Arial" w:cs="Arial"/>
          <w:lang w:val="en"/>
        </w:rPr>
        <w:t xml:space="preserve">Transferred Account Procedure (TAP) for GSM and </w:t>
      </w:r>
      <w:r w:rsidRPr="00B9418A">
        <w:rPr>
          <w:rFonts w:ascii="Arial" w:hAnsi="Arial" w:cs="Arial"/>
          <w:lang w:val="en"/>
        </w:rPr>
        <w:t xml:space="preserve">Cellular </w:t>
      </w:r>
      <w:proofErr w:type="spellStart"/>
      <w:r w:rsidRPr="00B9418A">
        <w:rPr>
          <w:rFonts w:ascii="Arial" w:hAnsi="Arial" w:cs="Arial"/>
          <w:lang w:val="en"/>
        </w:rPr>
        <w:t>Inter</w:t>
      </w:r>
      <w:r w:rsidR="00B9418A">
        <w:rPr>
          <w:rFonts w:ascii="Arial" w:hAnsi="Arial" w:cs="Arial"/>
          <w:lang w:val="en"/>
        </w:rPr>
        <w:t>carrier</w:t>
      </w:r>
      <w:proofErr w:type="spellEnd"/>
      <w:r w:rsidR="00B9418A">
        <w:rPr>
          <w:rFonts w:ascii="Arial" w:hAnsi="Arial" w:cs="Arial"/>
          <w:lang w:val="en"/>
        </w:rPr>
        <w:t xml:space="preserve"> Billing Exchange Record (CIBER)</w:t>
      </w:r>
      <w:r w:rsidR="00B9418A" w:rsidRPr="00B9418A">
        <w:rPr>
          <w:rFonts w:ascii="Arial" w:hAnsi="Arial" w:cs="Arial"/>
          <w:lang w:val="en"/>
        </w:rPr>
        <w:t xml:space="preserve"> </w:t>
      </w:r>
      <w:r w:rsidR="00B9418A">
        <w:rPr>
          <w:rFonts w:ascii="Arial" w:hAnsi="Arial" w:cs="Arial"/>
          <w:lang w:val="en"/>
        </w:rPr>
        <w:t>for CDMA</w:t>
      </w:r>
      <w:r w:rsidRPr="00B9418A">
        <w:rPr>
          <w:rFonts w:ascii="Arial" w:hAnsi="Arial" w:cs="Arial"/>
          <w:lang w:val="en"/>
        </w:rPr>
        <w:t xml:space="preserve"> and is transferred to the home network. A TAP/CIBER file contains details of the calls made by the subscriber viz. location, calling party, called party, time of call and duration, etc. The TAP/CIBER files are rated as per the </w:t>
      </w:r>
      <w:r w:rsidR="00B42A1C">
        <w:rPr>
          <w:rFonts w:ascii="Arial" w:hAnsi="Arial" w:cs="Arial"/>
          <w:lang w:val="en"/>
        </w:rPr>
        <w:t xml:space="preserve">wholesale </w:t>
      </w:r>
      <w:r w:rsidRPr="00B9418A">
        <w:rPr>
          <w:rFonts w:ascii="Arial" w:hAnsi="Arial" w:cs="Arial"/>
          <w:lang w:val="en"/>
        </w:rPr>
        <w:t>tariffs charged by the visited operator</w:t>
      </w:r>
      <w:r w:rsidR="00B42A1C">
        <w:rPr>
          <w:rFonts w:ascii="Arial" w:hAnsi="Arial" w:cs="Arial"/>
          <w:lang w:val="en"/>
        </w:rPr>
        <w:t xml:space="preserve"> to the home operator</w:t>
      </w:r>
      <w:r w:rsidRPr="00B9418A">
        <w:rPr>
          <w:rFonts w:ascii="Arial" w:hAnsi="Arial" w:cs="Arial"/>
          <w:lang w:val="en"/>
        </w:rPr>
        <w:t xml:space="preserve">. The home operator then </w:t>
      </w:r>
      <w:r w:rsidR="00B42A1C">
        <w:rPr>
          <w:rFonts w:ascii="Arial" w:hAnsi="Arial" w:cs="Arial"/>
          <w:lang w:val="en"/>
        </w:rPr>
        <w:t>charges the subscriber for these calls at retail tariffs along with any applicable local taxes</w:t>
      </w:r>
      <w:r w:rsidRPr="00B9418A">
        <w:rPr>
          <w:rFonts w:ascii="Arial" w:hAnsi="Arial" w:cs="Arial"/>
          <w:lang w:val="en"/>
        </w:rPr>
        <w:t>.</w:t>
      </w:r>
    </w:p>
    <w:p w:rsidR="00E04826" w:rsidRPr="00B9418A" w:rsidRDefault="00B9418A" w:rsidP="00B9418A">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rPr>
          <w:rFonts w:ascii="Arial" w:hAnsi="Arial" w:cs="Arial"/>
          <w:b/>
          <w:lang w:val="en"/>
        </w:rPr>
      </w:pPr>
      <w:r>
        <w:rPr>
          <w:rFonts w:ascii="Arial" w:hAnsi="Arial" w:cs="Arial"/>
          <w:b/>
          <w:lang w:val="en"/>
        </w:rPr>
        <w:t>International Roaming</w:t>
      </w:r>
    </w:p>
    <w:p w:rsidR="00E04826" w:rsidRPr="00B9418A" w:rsidRDefault="00B9418A" w:rsidP="00E04826">
      <w:pPr>
        <w:pStyle w:val="Normalwebb"/>
        <w:rPr>
          <w:rFonts w:ascii="Arial" w:hAnsi="Arial" w:cs="Arial"/>
          <w:lang w:val="en"/>
        </w:rPr>
      </w:pPr>
      <w:r w:rsidRPr="00B9418A">
        <w:rPr>
          <w:rFonts w:ascii="Arial" w:hAnsi="Arial" w:cs="Arial"/>
          <w:lang w:val="en"/>
        </w:rPr>
        <w:lastRenderedPageBreak/>
        <w:t>International</w:t>
      </w:r>
      <w:r w:rsidR="00E04826" w:rsidRPr="00B9418A">
        <w:rPr>
          <w:rFonts w:ascii="Arial" w:hAnsi="Arial" w:cs="Arial"/>
          <w:lang w:val="en"/>
        </w:rPr>
        <w:t xml:space="preserve"> roaming refers to </w:t>
      </w:r>
      <w:r w:rsidR="00B42A1C">
        <w:rPr>
          <w:rFonts w:ascii="Arial" w:hAnsi="Arial" w:cs="Arial"/>
          <w:lang w:val="en"/>
        </w:rPr>
        <w:t>a subscriber using voice, SMS and data mobile services provided from</w:t>
      </w:r>
      <w:r w:rsidR="00E04826" w:rsidRPr="00B9418A">
        <w:rPr>
          <w:rFonts w:ascii="Arial" w:hAnsi="Arial" w:cs="Arial"/>
          <w:lang w:val="en"/>
        </w:rPr>
        <w:t xml:space="preserve"> a </w:t>
      </w:r>
      <w:r w:rsidR="00B42A1C">
        <w:rPr>
          <w:rFonts w:ascii="Arial" w:hAnsi="Arial" w:cs="Arial"/>
          <w:lang w:val="en"/>
        </w:rPr>
        <w:t>visited network that is not in the same country as the subscriber’s home network</w:t>
      </w:r>
      <w:r w:rsidR="00E04826" w:rsidRPr="00B9418A">
        <w:rPr>
          <w:rFonts w:ascii="Arial" w:hAnsi="Arial" w:cs="Arial"/>
          <w:lang w:val="en"/>
        </w:rPr>
        <w:t>. It is, consequently, of particular interest to international tourists and business travellers.</w:t>
      </w:r>
    </w:p>
    <w:p w:rsidR="009D414E" w:rsidRDefault="009D414E" w:rsidP="00B9418A">
      <w:pPr>
        <w:pStyle w:val="Normalwebb"/>
        <w:rPr>
          <w:rFonts w:ascii="Arial" w:hAnsi="Arial" w:cs="Arial"/>
          <w:b/>
          <w:lang w:val="en"/>
        </w:rPr>
      </w:pPr>
      <w:r>
        <w:rPr>
          <w:rFonts w:ascii="Arial" w:hAnsi="Arial" w:cs="Arial"/>
          <w:b/>
          <w:lang w:val="en"/>
        </w:rPr>
        <w:t>Regulatory and Competition Issues</w:t>
      </w:r>
    </w:p>
    <w:p w:rsidR="009D414E" w:rsidRDefault="00B96246" w:rsidP="00B9418A">
      <w:pPr>
        <w:pStyle w:val="Normalwebb"/>
        <w:rPr>
          <w:rFonts w:ascii="Arial" w:hAnsi="Arial" w:cs="Arial"/>
          <w:lang w:val="en"/>
        </w:rPr>
      </w:pPr>
      <w:r>
        <w:rPr>
          <w:rFonts w:ascii="Arial" w:hAnsi="Arial" w:cs="Arial"/>
          <w:lang w:val="en"/>
        </w:rPr>
        <w:t xml:space="preserve">Even though it is a laudable aim by governments and regulators in different regions around the world </w:t>
      </w:r>
      <w:r w:rsidR="005400F6">
        <w:rPr>
          <w:rFonts w:ascii="Arial" w:hAnsi="Arial" w:cs="Arial"/>
          <w:lang w:val="en"/>
        </w:rPr>
        <w:t>to look at addressing</w:t>
      </w:r>
      <w:r>
        <w:rPr>
          <w:rFonts w:ascii="Arial" w:hAnsi="Arial" w:cs="Arial"/>
          <w:lang w:val="en"/>
        </w:rPr>
        <w:t xml:space="preserve"> the level of roaming charges and consumer bill-shock, it </w:t>
      </w:r>
      <w:r w:rsidR="005400F6">
        <w:rPr>
          <w:rFonts w:ascii="Arial" w:hAnsi="Arial" w:cs="Arial"/>
          <w:lang w:val="en"/>
        </w:rPr>
        <w:t xml:space="preserve">can be argued that currently it </w:t>
      </w:r>
      <w:r>
        <w:rPr>
          <w:rFonts w:ascii="Arial" w:hAnsi="Arial" w:cs="Arial"/>
          <w:lang w:val="en"/>
        </w:rPr>
        <w:t xml:space="preserve">cannot be addressed by a one global solution through the International Telecommunications Regulations (ITRs). For instance, the regulatory picture on roaming within the European Union is a progressive one due to </w:t>
      </w:r>
      <w:r w:rsidR="00B42A1C">
        <w:rPr>
          <w:rFonts w:ascii="Arial" w:hAnsi="Arial" w:cs="Arial"/>
          <w:lang w:val="en"/>
        </w:rPr>
        <w:t>regulation</w:t>
      </w:r>
      <w:r>
        <w:rPr>
          <w:rFonts w:ascii="Arial" w:hAnsi="Arial" w:cs="Arial"/>
          <w:lang w:val="en"/>
        </w:rPr>
        <w:t xml:space="preserve"> being </w:t>
      </w:r>
      <w:r w:rsidR="00B42A1C">
        <w:rPr>
          <w:rFonts w:ascii="Arial" w:hAnsi="Arial" w:cs="Arial"/>
          <w:lang w:val="en"/>
        </w:rPr>
        <w:t>set firmly within the Single Market, which is governed by an extensive set of robust institutions</w:t>
      </w:r>
      <w:r>
        <w:rPr>
          <w:rFonts w:ascii="Arial" w:hAnsi="Arial" w:cs="Arial"/>
          <w:lang w:val="en"/>
        </w:rPr>
        <w:t xml:space="preserve">. </w:t>
      </w:r>
      <w:r w:rsidR="00B42A1C">
        <w:rPr>
          <w:rFonts w:ascii="Arial" w:hAnsi="Arial" w:cs="Arial"/>
          <w:lang w:val="en"/>
        </w:rPr>
        <w:t xml:space="preserve">However, other regions around the world do not operate as a Single Market and do not have the same governing institutions. Furthermore, globally, the economic </w:t>
      </w:r>
      <w:proofErr w:type="gramStart"/>
      <w:r w:rsidR="00B42A1C">
        <w:rPr>
          <w:rFonts w:ascii="Arial" w:hAnsi="Arial" w:cs="Arial"/>
          <w:lang w:val="en"/>
        </w:rPr>
        <w:t>condition of countries differ</w:t>
      </w:r>
      <w:proofErr w:type="gramEnd"/>
      <w:r w:rsidR="00B42A1C">
        <w:rPr>
          <w:rFonts w:ascii="Arial" w:hAnsi="Arial" w:cs="Arial"/>
          <w:lang w:val="en"/>
        </w:rPr>
        <w:t xml:space="preserve"> greatly, technical capabilities of mobile operators cannot be assumed to be the same, nor the performance of national and regional mobile markets. </w:t>
      </w:r>
      <w:r w:rsidR="00521C45">
        <w:rPr>
          <w:rFonts w:ascii="Arial" w:hAnsi="Arial" w:cs="Arial"/>
          <w:lang w:val="en"/>
        </w:rPr>
        <w:t>Therefore, a uniform, global regulator</w:t>
      </w:r>
      <w:r w:rsidR="005400F6">
        <w:rPr>
          <w:rFonts w:ascii="Arial" w:hAnsi="Arial" w:cs="Arial"/>
          <w:lang w:val="en"/>
        </w:rPr>
        <w:t>y recommendation cannot take in</w:t>
      </w:r>
      <w:r w:rsidR="00521C45">
        <w:rPr>
          <w:rFonts w:ascii="Arial" w:hAnsi="Arial" w:cs="Arial"/>
          <w:lang w:val="en"/>
        </w:rPr>
        <w:t>to account all the</w:t>
      </w:r>
      <w:r w:rsidR="00B42A1C">
        <w:rPr>
          <w:rFonts w:ascii="Arial" w:hAnsi="Arial" w:cs="Arial"/>
          <w:lang w:val="en"/>
        </w:rPr>
        <w:t>se</w:t>
      </w:r>
      <w:r w:rsidR="00521C45">
        <w:rPr>
          <w:rFonts w:ascii="Arial" w:hAnsi="Arial" w:cs="Arial"/>
          <w:lang w:val="en"/>
        </w:rPr>
        <w:t xml:space="preserve"> different local market conditions, and would fail to address the actual problems that some regions face in installing competitive frameworks for telecommunication services.</w:t>
      </w:r>
    </w:p>
    <w:p w:rsidR="00521C45" w:rsidRDefault="00521C45" w:rsidP="00B9418A">
      <w:pPr>
        <w:pStyle w:val="Normalwebb"/>
        <w:rPr>
          <w:rFonts w:ascii="Arial" w:hAnsi="Arial" w:cs="Arial"/>
          <w:b/>
          <w:lang w:val="en"/>
        </w:rPr>
      </w:pPr>
      <w:r>
        <w:rPr>
          <w:rFonts w:ascii="Arial" w:hAnsi="Arial" w:cs="Arial"/>
          <w:b/>
          <w:lang w:val="en"/>
        </w:rPr>
        <w:t>Transparency</w:t>
      </w:r>
    </w:p>
    <w:p w:rsidR="00E44E96" w:rsidRPr="00B9418A" w:rsidRDefault="00B42A1C" w:rsidP="00B9418A">
      <w:pPr>
        <w:pStyle w:val="Normalwebb"/>
        <w:rPr>
          <w:rFonts w:ascii="Arial" w:hAnsi="Arial" w:cs="Arial"/>
          <w:lang w:val="en"/>
        </w:rPr>
      </w:pPr>
      <w:r>
        <w:rPr>
          <w:rFonts w:ascii="Arial" w:hAnsi="Arial" w:cs="Arial"/>
          <w:lang w:val="en"/>
        </w:rPr>
        <w:t>O</w:t>
      </w:r>
      <w:r w:rsidR="00521C45">
        <w:rPr>
          <w:rFonts w:ascii="Arial" w:hAnsi="Arial" w:cs="Arial"/>
          <w:lang w:val="en"/>
        </w:rPr>
        <w:t xml:space="preserve">ne issue where a global agreement could be sought within the ITRs is one of transparency of pricing information </w:t>
      </w:r>
      <w:r>
        <w:rPr>
          <w:rFonts w:ascii="Arial" w:hAnsi="Arial" w:cs="Arial"/>
          <w:lang w:val="en"/>
        </w:rPr>
        <w:t>that residential or business</w:t>
      </w:r>
      <w:r w:rsidR="00521C45">
        <w:rPr>
          <w:rFonts w:ascii="Arial" w:hAnsi="Arial" w:cs="Arial"/>
          <w:lang w:val="en"/>
        </w:rPr>
        <w:t xml:space="preserve"> customer</w:t>
      </w:r>
      <w:r>
        <w:rPr>
          <w:rFonts w:ascii="Arial" w:hAnsi="Arial" w:cs="Arial"/>
          <w:lang w:val="en"/>
        </w:rPr>
        <w:t xml:space="preserve">s would pay when using international roaming. </w:t>
      </w:r>
      <w:r w:rsidR="00521C45">
        <w:rPr>
          <w:rFonts w:ascii="Arial" w:hAnsi="Arial" w:cs="Arial"/>
          <w:lang w:val="en"/>
        </w:rPr>
        <w:t xml:space="preserve"> </w:t>
      </w:r>
      <w:r w:rsidR="00CD63FE">
        <w:rPr>
          <w:rFonts w:ascii="Arial" w:hAnsi="Arial" w:cs="Arial"/>
          <w:lang w:val="en"/>
        </w:rPr>
        <w:t>The aim would be to ensure customers receive the necessary pricing information to make an informed purchase decision regarding international roaming</w:t>
      </w:r>
      <w:r w:rsidR="00521C45">
        <w:rPr>
          <w:rFonts w:ascii="Arial" w:hAnsi="Arial" w:cs="Arial"/>
          <w:lang w:val="en"/>
        </w:rPr>
        <w:t>.</w:t>
      </w:r>
    </w:p>
    <w:p w:rsidR="00EF61D2" w:rsidRPr="00B9418A" w:rsidRDefault="00EF61D2" w:rsidP="00EF61D2">
      <w:pPr>
        <w:rPr>
          <w:rFonts w:ascii="Arial" w:hAnsi="Arial" w:cs="Arial"/>
          <w:b/>
          <w:szCs w:val="24"/>
          <w:lang w:val="en-US"/>
        </w:rPr>
      </w:pPr>
      <w:r w:rsidRPr="00B9418A">
        <w:rPr>
          <w:rFonts w:ascii="Arial" w:hAnsi="Arial" w:cs="Arial"/>
          <w:b/>
          <w:szCs w:val="24"/>
          <w:lang w:val="en-US"/>
        </w:rPr>
        <w:t>Analysis</w:t>
      </w:r>
    </w:p>
    <w:p w:rsidR="00521C45" w:rsidRDefault="005400F6" w:rsidP="00EF61D2">
      <w:pPr>
        <w:rPr>
          <w:rFonts w:ascii="Arial" w:hAnsi="Arial" w:cs="Arial"/>
          <w:szCs w:val="24"/>
          <w:lang w:val="en-US"/>
        </w:rPr>
      </w:pPr>
      <w:r>
        <w:rPr>
          <w:rFonts w:ascii="Arial" w:hAnsi="Arial" w:cs="Arial"/>
          <w:szCs w:val="24"/>
          <w:lang w:val="en-US"/>
        </w:rPr>
        <w:t xml:space="preserve">It is clear that a global regulation on international roaming is currently incompatible </w:t>
      </w:r>
      <w:r w:rsidR="00CD63FE">
        <w:rPr>
          <w:rFonts w:ascii="Arial" w:hAnsi="Arial" w:cs="Arial"/>
          <w:szCs w:val="24"/>
          <w:lang w:val="en-US"/>
        </w:rPr>
        <w:t>with the significant regional and national differences in the</w:t>
      </w:r>
      <w:r>
        <w:rPr>
          <w:rFonts w:ascii="Arial" w:hAnsi="Arial" w:cs="Arial"/>
          <w:szCs w:val="24"/>
          <w:lang w:val="en-US"/>
        </w:rPr>
        <w:t xml:space="preserve"> telecommunication markets</w:t>
      </w:r>
      <w:r w:rsidR="00CD63FE">
        <w:rPr>
          <w:rFonts w:ascii="Arial" w:hAnsi="Arial" w:cs="Arial"/>
          <w:szCs w:val="24"/>
          <w:lang w:val="en-US"/>
        </w:rPr>
        <w:t xml:space="preserve">. </w:t>
      </w:r>
      <w:r>
        <w:rPr>
          <w:rFonts w:ascii="Arial" w:hAnsi="Arial" w:cs="Arial"/>
          <w:szCs w:val="24"/>
          <w:lang w:val="en-US"/>
        </w:rPr>
        <w:t xml:space="preserve">In particular, a regulatory measure (say EU Roaming Regulation) may not be suitable for another </w:t>
      </w:r>
      <w:r w:rsidR="009D3290">
        <w:rPr>
          <w:rFonts w:ascii="Arial" w:hAnsi="Arial" w:cs="Arial"/>
          <w:szCs w:val="24"/>
          <w:lang w:val="en-US"/>
        </w:rPr>
        <w:t xml:space="preserve">regional </w:t>
      </w:r>
      <w:r>
        <w:rPr>
          <w:rFonts w:ascii="Arial" w:hAnsi="Arial" w:cs="Arial"/>
          <w:szCs w:val="24"/>
          <w:lang w:val="en-US"/>
        </w:rPr>
        <w:t>market</w:t>
      </w:r>
      <w:r w:rsidR="00CD63FE">
        <w:rPr>
          <w:rFonts w:ascii="Arial" w:hAnsi="Arial" w:cs="Arial"/>
          <w:szCs w:val="24"/>
          <w:lang w:val="en-US"/>
        </w:rPr>
        <w:t>.</w:t>
      </w:r>
      <w:r>
        <w:rPr>
          <w:rFonts w:ascii="Arial" w:hAnsi="Arial" w:cs="Arial"/>
          <w:szCs w:val="24"/>
          <w:lang w:val="en-US"/>
        </w:rPr>
        <w:t xml:space="preserve"> </w:t>
      </w:r>
    </w:p>
    <w:p w:rsidR="009D3290" w:rsidRDefault="009D3290" w:rsidP="00EF61D2">
      <w:pPr>
        <w:rPr>
          <w:rFonts w:ascii="Arial" w:hAnsi="Arial" w:cs="Arial"/>
          <w:b/>
          <w:szCs w:val="24"/>
          <w:lang w:val="en-US"/>
        </w:rPr>
      </w:pPr>
    </w:p>
    <w:p w:rsidR="009D3290" w:rsidRDefault="009D3290" w:rsidP="00EF61D2">
      <w:pPr>
        <w:rPr>
          <w:rFonts w:ascii="Arial" w:hAnsi="Arial" w:cs="Arial"/>
          <w:b/>
          <w:szCs w:val="24"/>
          <w:lang w:val="en-US"/>
        </w:rPr>
      </w:pPr>
      <w:r>
        <w:rPr>
          <w:rFonts w:ascii="Arial" w:hAnsi="Arial" w:cs="Arial"/>
          <w:b/>
          <w:szCs w:val="24"/>
          <w:lang w:val="en-US"/>
        </w:rPr>
        <w:t>Mobile Industry Position</w:t>
      </w:r>
    </w:p>
    <w:p w:rsidR="009D3290" w:rsidRDefault="00CD63FE" w:rsidP="00EF61D2">
      <w:pPr>
        <w:rPr>
          <w:rFonts w:ascii="Arial" w:hAnsi="Arial" w:cs="Arial"/>
          <w:szCs w:val="24"/>
          <w:lang w:val="en-US"/>
        </w:rPr>
      </w:pPr>
      <w:r>
        <w:rPr>
          <w:rFonts w:ascii="Arial" w:hAnsi="Arial" w:cs="Arial"/>
          <w:szCs w:val="24"/>
          <w:lang w:val="en-US"/>
        </w:rPr>
        <w:t>Industry</w:t>
      </w:r>
      <w:r w:rsidR="009D3290">
        <w:rPr>
          <w:rFonts w:ascii="Arial" w:hAnsi="Arial" w:cs="Arial"/>
          <w:szCs w:val="24"/>
          <w:lang w:val="en-US"/>
        </w:rPr>
        <w:t xml:space="preserve"> </w:t>
      </w:r>
      <w:r>
        <w:rPr>
          <w:rFonts w:ascii="Arial" w:hAnsi="Arial" w:cs="Arial"/>
          <w:szCs w:val="24"/>
          <w:lang w:val="en-US"/>
        </w:rPr>
        <w:t>believes</w:t>
      </w:r>
      <w:r w:rsidR="009D3290">
        <w:rPr>
          <w:rFonts w:ascii="Arial" w:hAnsi="Arial" w:cs="Arial"/>
          <w:szCs w:val="24"/>
          <w:lang w:val="en-US"/>
        </w:rPr>
        <w:t xml:space="preserve"> that governments</w:t>
      </w:r>
      <w:r>
        <w:rPr>
          <w:rFonts w:ascii="Arial" w:hAnsi="Arial" w:cs="Arial"/>
          <w:szCs w:val="24"/>
          <w:lang w:val="en-US"/>
        </w:rPr>
        <w:t xml:space="preserve"> and</w:t>
      </w:r>
      <w:r w:rsidR="009D3290">
        <w:rPr>
          <w:rFonts w:ascii="Arial" w:hAnsi="Arial" w:cs="Arial"/>
          <w:szCs w:val="24"/>
          <w:lang w:val="en-US"/>
        </w:rPr>
        <w:t xml:space="preserve">/ regulators address their concerns with roaming by ordering measures from those that are most likely to benefit consumers through to those that risk greater detriments. As a general principle </w:t>
      </w:r>
      <w:proofErr w:type="gramStart"/>
      <w:r>
        <w:rPr>
          <w:rFonts w:ascii="Arial" w:hAnsi="Arial" w:cs="Arial"/>
          <w:szCs w:val="24"/>
          <w:lang w:val="en-US"/>
        </w:rPr>
        <w:t>industry</w:t>
      </w:r>
      <w:r w:rsidR="009D3290">
        <w:rPr>
          <w:rFonts w:ascii="Arial" w:hAnsi="Arial" w:cs="Arial"/>
          <w:szCs w:val="24"/>
          <w:lang w:val="en-US"/>
        </w:rPr>
        <w:t xml:space="preserve"> think</w:t>
      </w:r>
      <w:proofErr w:type="gramEnd"/>
      <w:r w:rsidR="009D3290">
        <w:rPr>
          <w:rFonts w:ascii="Arial" w:hAnsi="Arial" w:cs="Arial"/>
          <w:szCs w:val="24"/>
          <w:lang w:val="en-US"/>
        </w:rPr>
        <w:t xml:space="preserve"> that policymakers and regulators should address roaming issues in the following order:</w:t>
      </w:r>
    </w:p>
    <w:p w:rsidR="009D3290" w:rsidRDefault="009D3290" w:rsidP="009D3290">
      <w:pPr>
        <w:pStyle w:val="Liststycke"/>
        <w:numPr>
          <w:ilvl w:val="0"/>
          <w:numId w:val="10"/>
        </w:numPr>
        <w:rPr>
          <w:rFonts w:ascii="Arial" w:hAnsi="Arial" w:cs="Arial"/>
          <w:szCs w:val="24"/>
          <w:lang w:val="en-US"/>
        </w:rPr>
      </w:pPr>
      <w:r>
        <w:rPr>
          <w:rFonts w:ascii="Arial" w:hAnsi="Arial" w:cs="Arial"/>
          <w:szCs w:val="24"/>
          <w:lang w:val="en-US"/>
        </w:rPr>
        <w:t>Encourage operators to take measures that enhance consumers awareness;</w:t>
      </w:r>
    </w:p>
    <w:p w:rsidR="009D3290" w:rsidRDefault="009D3290" w:rsidP="009D3290">
      <w:pPr>
        <w:pStyle w:val="Liststycke"/>
        <w:numPr>
          <w:ilvl w:val="0"/>
          <w:numId w:val="10"/>
        </w:numPr>
        <w:rPr>
          <w:rFonts w:ascii="Arial" w:hAnsi="Arial" w:cs="Arial"/>
          <w:szCs w:val="24"/>
          <w:lang w:val="en-US"/>
        </w:rPr>
      </w:pPr>
      <w:r>
        <w:rPr>
          <w:rFonts w:ascii="Arial" w:hAnsi="Arial" w:cs="Arial"/>
          <w:szCs w:val="24"/>
          <w:lang w:val="en-US"/>
        </w:rPr>
        <w:t>Address structural barriers that increase cost of roaming and hold back the development of market based substitutes; and</w:t>
      </w:r>
    </w:p>
    <w:p w:rsidR="009D3290" w:rsidRDefault="009D3290" w:rsidP="009D3290">
      <w:pPr>
        <w:pStyle w:val="Liststycke"/>
        <w:numPr>
          <w:ilvl w:val="0"/>
          <w:numId w:val="10"/>
        </w:numPr>
        <w:rPr>
          <w:rFonts w:ascii="Arial" w:hAnsi="Arial" w:cs="Arial"/>
          <w:szCs w:val="24"/>
          <w:lang w:val="en-US"/>
        </w:rPr>
      </w:pPr>
      <w:r>
        <w:rPr>
          <w:rFonts w:ascii="Arial" w:hAnsi="Arial" w:cs="Arial"/>
          <w:szCs w:val="24"/>
          <w:lang w:val="en-US"/>
        </w:rPr>
        <w:t>As a last resort only consider price regulation after:</w:t>
      </w:r>
    </w:p>
    <w:p w:rsidR="009D3290" w:rsidRDefault="009D3290" w:rsidP="009D3290">
      <w:pPr>
        <w:pStyle w:val="Liststycke"/>
        <w:numPr>
          <w:ilvl w:val="0"/>
          <w:numId w:val="11"/>
        </w:numPr>
        <w:rPr>
          <w:rFonts w:ascii="Arial" w:hAnsi="Arial" w:cs="Arial"/>
          <w:szCs w:val="24"/>
          <w:lang w:val="en-US"/>
        </w:rPr>
      </w:pPr>
      <w:r>
        <w:rPr>
          <w:rFonts w:ascii="Arial" w:hAnsi="Arial" w:cs="Arial"/>
          <w:szCs w:val="24"/>
          <w:lang w:val="en-US"/>
        </w:rPr>
        <w:lastRenderedPageBreak/>
        <w:t>The other measures have been given sufficient time to conclude there is a persistent problem;</w:t>
      </w:r>
    </w:p>
    <w:p w:rsidR="009D3290" w:rsidRDefault="009D3290" w:rsidP="009D3290">
      <w:pPr>
        <w:pStyle w:val="Liststycke"/>
        <w:numPr>
          <w:ilvl w:val="0"/>
          <w:numId w:val="11"/>
        </w:numPr>
        <w:rPr>
          <w:rFonts w:ascii="Arial" w:hAnsi="Arial" w:cs="Arial"/>
          <w:szCs w:val="24"/>
          <w:lang w:val="en-US"/>
        </w:rPr>
      </w:pPr>
      <w:r>
        <w:rPr>
          <w:rFonts w:ascii="Arial" w:hAnsi="Arial" w:cs="Arial"/>
          <w:szCs w:val="24"/>
          <w:lang w:val="en-US"/>
        </w:rPr>
        <w:t>It is clearly shown that operators have market power in the international roaming market;</w:t>
      </w:r>
    </w:p>
    <w:p w:rsidR="009D3290" w:rsidRDefault="009D3290" w:rsidP="009D3290">
      <w:pPr>
        <w:pStyle w:val="Liststycke"/>
        <w:numPr>
          <w:ilvl w:val="0"/>
          <w:numId w:val="11"/>
        </w:numPr>
        <w:rPr>
          <w:rFonts w:ascii="Arial" w:hAnsi="Arial" w:cs="Arial"/>
          <w:szCs w:val="24"/>
          <w:lang w:val="en-US"/>
        </w:rPr>
      </w:pPr>
      <w:r>
        <w:rPr>
          <w:rFonts w:ascii="Arial" w:hAnsi="Arial" w:cs="Arial"/>
          <w:szCs w:val="24"/>
          <w:lang w:val="en-US"/>
        </w:rPr>
        <w:t>It is clearly shown that the operat</w:t>
      </w:r>
      <w:r w:rsidR="0010065F">
        <w:rPr>
          <w:rFonts w:ascii="Arial" w:hAnsi="Arial" w:cs="Arial"/>
          <w:szCs w:val="24"/>
          <w:lang w:val="en-US"/>
        </w:rPr>
        <w:t>or derives its market power from processing a natural monopoly;</w:t>
      </w:r>
    </w:p>
    <w:p w:rsidR="0010065F" w:rsidRDefault="0010065F" w:rsidP="009D3290">
      <w:pPr>
        <w:pStyle w:val="Liststycke"/>
        <w:numPr>
          <w:ilvl w:val="0"/>
          <w:numId w:val="11"/>
        </w:numPr>
        <w:rPr>
          <w:rFonts w:ascii="Arial" w:hAnsi="Arial" w:cs="Arial"/>
          <w:szCs w:val="24"/>
          <w:lang w:val="en-US"/>
        </w:rPr>
      </w:pPr>
      <w:r>
        <w:rPr>
          <w:rFonts w:ascii="Arial" w:hAnsi="Arial" w:cs="Arial"/>
          <w:szCs w:val="24"/>
          <w:lang w:val="en-US"/>
        </w:rPr>
        <w:t>It is clearly shown that proposed regulated price ceilings are not below cost; and</w:t>
      </w:r>
    </w:p>
    <w:p w:rsidR="0010065F" w:rsidRPr="009D3290" w:rsidRDefault="0010065F" w:rsidP="009D3290">
      <w:pPr>
        <w:pStyle w:val="Liststycke"/>
        <w:numPr>
          <w:ilvl w:val="0"/>
          <w:numId w:val="11"/>
        </w:numPr>
        <w:rPr>
          <w:rFonts w:ascii="Arial" w:hAnsi="Arial" w:cs="Arial"/>
          <w:szCs w:val="24"/>
          <w:lang w:val="en-US"/>
        </w:rPr>
      </w:pPr>
      <w:r>
        <w:rPr>
          <w:rFonts w:ascii="Arial" w:hAnsi="Arial" w:cs="Arial"/>
          <w:szCs w:val="24"/>
          <w:lang w:val="en-US"/>
        </w:rPr>
        <w:t xml:space="preserve">It is clearly shown that the </w:t>
      </w:r>
      <w:proofErr w:type="gramStart"/>
      <w:r>
        <w:rPr>
          <w:rFonts w:ascii="Arial" w:hAnsi="Arial" w:cs="Arial"/>
          <w:szCs w:val="24"/>
          <w:lang w:val="en-US"/>
        </w:rPr>
        <w:t>benefits exceeds</w:t>
      </w:r>
      <w:proofErr w:type="gramEnd"/>
      <w:r>
        <w:rPr>
          <w:rFonts w:ascii="Arial" w:hAnsi="Arial" w:cs="Arial"/>
          <w:szCs w:val="24"/>
          <w:lang w:val="en-US"/>
        </w:rPr>
        <w:t xml:space="preserve"> the cost of the regulation.</w:t>
      </w:r>
    </w:p>
    <w:p w:rsidR="00521C45" w:rsidRPr="00CD63FE" w:rsidRDefault="00CD63FE" w:rsidP="00EF61D2">
      <w:pPr>
        <w:rPr>
          <w:rFonts w:ascii="Arial" w:hAnsi="Arial" w:cs="Arial"/>
          <w:szCs w:val="24"/>
          <w:lang w:val="en-US"/>
        </w:rPr>
      </w:pPr>
      <w:r>
        <w:rPr>
          <w:rFonts w:ascii="Arial" w:hAnsi="Arial" w:cs="Arial"/>
          <w:szCs w:val="24"/>
          <w:lang w:val="en-US"/>
        </w:rPr>
        <w:t>Following this order, a regulator would only take the next step and adopt the next regulatory measure if the sum of the benefits exceeds the costs of taking that step. This analysis is an important part of the regulatory process as the objective is to ensure that in the long run consumers benefit from new regulations. Regulators would carry out this calculation given their own particular local market conditions.</w:t>
      </w:r>
    </w:p>
    <w:p w:rsidR="00EF61D2" w:rsidRPr="00B9418A" w:rsidRDefault="00EF61D2" w:rsidP="00EF61D2">
      <w:pPr>
        <w:rPr>
          <w:rFonts w:ascii="Arial" w:hAnsi="Arial" w:cs="Arial"/>
          <w:b/>
          <w:szCs w:val="24"/>
          <w:lang w:val="en-US"/>
        </w:rPr>
      </w:pPr>
      <w:r w:rsidRPr="00B9418A">
        <w:rPr>
          <w:rFonts w:ascii="Arial" w:hAnsi="Arial" w:cs="Arial"/>
          <w:b/>
          <w:szCs w:val="24"/>
          <w:lang w:val="en-US"/>
        </w:rPr>
        <w:t>Proposal</w:t>
      </w:r>
    </w:p>
    <w:p w:rsidR="009A7C33" w:rsidRPr="00B9418A" w:rsidRDefault="0010065F" w:rsidP="00EF61D2">
      <w:pPr>
        <w:rPr>
          <w:rFonts w:ascii="Arial" w:hAnsi="Arial" w:cs="Arial"/>
          <w:szCs w:val="24"/>
          <w:lang w:val="en-US"/>
        </w:rPr>
      </w:pPr>
      <w:r>
        <w:rPr>
          <w:rFonts w:ascii="Arial" w:hAnsi="Arial" w:cs="Arial"/>
          <w:szCs w:val="24"/>
          <w:lang w:val="en-US"/>
        </w:rPr>
        <w:t>For n</w:t>
      </w:r>
      <w:r w:rsidR="009A7C33" w:rsidRPr="00B9418A">
        <w:rPr>
          <w:rFonts w:ascii="Arial" w:hAnsi="Arial" w:cs="Arial"/>
          <w:szCs w:val="24"/>
          <w:lang w:val="en-US"/>
        </w:rPr>
        <w:t>o text</w:t>
      </w:r>
      <w:r>
        <w:rPr>
          <w:rFonts w:ascii="Arial" w:hAnsi="Arial" w:cs="Arial"/>
          <w:szCs w:val="24"/>
          <w:lang w:val="en-US"/>
        </w:rPr>
        <w:t xml:space="preserve"> to be</w:t>
      </w:r>
      <w:r w:rsidR="009A7C33" w:rsidRPr="00B9418A">
        <w:rPr>
          <w:rFonts w:ascii="Arial" w:hAnsi="Arial" w:cs="Arial"/>
          <w:szCs w:val="24"/>
          <w:lang w:val="en-US"/>
        </w:rPr>
        <w:t xml:space="preserve"> inserted in the revised ITRs </w:t>
      </w:r>
      <w:r>
        <w:rPr>
          <w:rFonts w:ascii="Arial" w:hAnsi="Arial" w:cs="Arial"/>
          <w:szCs w:val="24"/>
          <w:lang w:val="en-US"/>
        </w:rPr>
        <w:t>with regard to</w:t>
      </w:r>
      <w:r w:rsidR="009A7C33" w:rsidRPr="00B9418A">
        <w:rPr>
          <w:rFonts w:ascii="Arial" w:hAnsi="Arial" w:cs="Arial"/>
          <w:szCs w:val="24"/>
          <w:lang w:val="en-US"/>
        </w:rPr>
        <w:t xml:space="preserve"> agreeing to </w:t>
      </w:r>
      <w:r w:rsidR="00BF27E6" w:rsidRPr="00B9418A">
        <w:rPr>
          <w:rFonts w:ascii="Arial" w:hAnsi="Arial" w:cs="Arial"/>
          <w:szCs w:val="24"/>
          <w:lang w:val="en-US"/>
        </w:rPr>
        <w:t>‘</w:t>
      </w:r>
      <w:r w:rsidR="009A7C33" w:rsidRPr="00B9418A">
        <w:rPr>
          <w:rFonts w:ascii="Arial" w:hAnsi="Arial" w:cs="Arial"/>
          <w:szCs w:val="24"/>
          <w:lang w:val="en-US"/>
        </w:rPr>
        <w:t>Global Roaming Agreements</w:t>
      </w:r>
      <w:r w:rsidR="00BF27E6" w:rsidRPr="00B9418A">
        <w:rPr>
          <w:rFonts w:ascii="Arial" w:hAnsi="Arial" w:cs="Arial"/>
          <w:szCs w:val="24"/>
          <w:lang w:val="en-US"/>
        </w:rPr>
        <w:t>’</w:t>
      </w:r>
      <w:r w:rsidR="009A7C33" w:rsidRPr="00B9418A">
        <w:rPr>
          <w:rFonts w:ascii="Arial" w:hAnsi="Arial" w:cs="Arial"/>
          <w:szCs w:val="24"/>
          <w:lang w:val="en-US"/>
        </w:rPr>
        <w:t xml:space="preserve">, but push for additional text in Article 6  on operators providing transparent up-to-date information on roaming charges, and in Article 2 – </w:t>
      </w:r>
      <w:r w:rsidR="00BF27E6" w:rsidRPr="00B9418A">
        <w:rPr>
          <w:rFonts w:ascii="Arial" w:hAnsi="Arial" w:cs="Arial"/>
          <w:szCs w:val="24"/>
          <w:lang w:val="en-US"/>
        </w:rPr>
        <w:t>provision of</w:t>
      </w:r>
      <w:r w:rsidR="009A7C33" w:rsidRPr="00B9418A">
        <w:rPr>
          <w:rFonts w:ascii="Arial" w:hAnsi="Arial" w:cs="Arial"/>
          <w:szCs w:val="24"/>
          <w:lang w:val="en-US"/>
        </w:rPr>
        <w:t xml:space="preserve"> a clear definition on International roaming charges.</w:t>
      </w:r>
    </w:p>
    <w:p w:rsidR="009A7C33" w:rsidRPr="00B9418A" w:rsidRDefault="009A7C33" w:rsidP="00EF61D2">
      <w:pPr>
        <w:rPr>
          <w:rFonts w:ascii="Arial" w:hAnsi="Arial" w:cs="Arial"/>
          <w:szCs w:val="24"/>
          <w:lang w:val="en-US"/>
        </w:rPr>
      </w:pPr>
    </w:p>
    <w:p w:rsidR="00AC2989" w:rsidRPr="00B9418A" w:rsidRDefault="00AC2989" w:rsidP="00AC2989">
      <w:pPr>
        <w:pStyle w:val="Oformateradtext"/>
        <w:rPr>
          <w:rFonts w:ascii="Arial" w:hAnsi="Arial" w:cs="Arial"/>
          <w:b/>
          <w:sz w:val="24"/>
          <w:szCs w:val="24"/>
        </w:rPr>
      </w:pPr>
      <w:r w:rsidRPr="00B9418A">
        <w:rPr>
          <w:rFonts w:ascii="Arial" w:hAnsi="Arial" w:cs="Arial"/>
          <w:b/>
          <w:sz w:val="24"/>
          <w:szCs w:val="24"/>
        </w:rPr>
        <w:t>Addition to Article 6 in the ITRs: Transparency of international roaming charges</w:t>
      </w:r>
      <w:r w:rsidR="009A7C33" w:rsidRPr="00B9418A">
        <w:rPr>
          <w:rFonts w:ascii="Arial" w:hAnsi="Arial" w:cs="Arial"/>
          <w:b/>
          <w:sz w:val="24"/>
          <w:szCs w:val="24"/>
        </w:rPr>
        <w:t>:</w:t>
      </w:r>
    </w:p>
    <w:p w:rsidR="00AC2989" w:rsidRPr="00B9418A" w:rsidRDefault="00AC2989" w:rsidP="00AC2989">
      <w:pPr>
        <w:pStyle w:val="Oformateradtext"/>
        <w:rPr>
          <w:rFonts w:ascii="Arial" w:hAnsi="Arial" w:cs="Arial"/>
          <w:sz w:val="24"/>
          <w:szCs w:val="24"/>
        </w:rPr>
      </w:pPr>
    </w:p>
    <w:p w:rsidR="00AC2989" w:rsidRPr="00B9418A" w:rsidRDefault="00AC2989" w:rsidP="0045071F">
      <w:pPr>
        <w:rPr>
          <w:rFonts w:ascii="Arial" w:hAnsi="Arial" w:cs="Arial"/>
          <w:szCs w:val="24"/>
        </w:rPr>
      </w:pPr>
      <w:r w:rsidRPr="00B9418A">
        <w:rPr>
          <w:rFonts w:ascii="Arial" w:hAnsi="Arial" w:cs="Arial"/>
          <w:szCs w:val="24"/>
        </w:rPr>
        <w:t xml:space="preserve">Member States shall ensure that national regulatory authorities are able to oblige operators </w:t>
      </w:r>
      <w:r w:rsidR="00BF27E6" w:rsidRPr="00B9418A">
        <w:rPr>
          <w:rFonts w:ascii="Arial" w:hAnsi="Arial" w:cs="Arial"/>
          <w:szCs w:val="24"/>
        </w:rPr>
        <w:t>within their national jurisdiction that provide</w:t>
      </w:r>
      <w:r w:rsidRPr="00B9418A">
        <w:rPr>
          <w:rFonts w:ascii="Arial" w:hAnsi="Arial" w:cs="Arial"/>
          <w:szCs w:val="24"/>
        </w:rPr>
        <w:t xml:space="preserve"> international roaming services to publish transparent and up-to-date information on roaming charges. In particular, users could</w:t>
      </w:r>
      <w:r w:rsidR="00CD63FE">
        <w:rPr>
          <w:rFonts w:ascii="Arial" w:hAnsi="Arial" w:cs="Arial"/>
          <w:szCs w:val="24"/>
        </w:rPr>
        <w:t>,</w:t>
      </w:r>
      <w:r w:rsidRPr="00B9418A">
        <w:rPr>
          <w:rFonts w:ascii="Arial" w:hAnsi="Arial" w:cs="Arial"/>
          <w:szCs w:val="24"/>
        </w:rPr>
        <w:t xml:space="preserve"> free of charge</w:t>
      </w:r>
      <w:r w:rsidR="00CD63FE">
        <w:rPr>
          <w:rFonts w:ascii="Arial" w:hAnsi="Arial" w:cs="Arial"/>
          <w:szCs w:val="24"/>
        </w:rPr>
        <w:t>,</w:t>
      </w:r>
      <w:r w:rsidRPr="00B9418A">
        <w:rPr>
          <w:rFonts w:ascii="Arial" w:hAnsi="Arial" w:cs="Arial"/>
          <w:szCs w:val="24"/>
        </w:rPr>
        <w:t xml:space="preserve"> receive appropriate and timely pricing information through personalized messages from operators providing international roaming services.</w:t>
      </w:r>
    </w:p>
    <w:p w:rsidR="00AC2989" w:rsidRPr="00B9418A" w:rsidRDefault="00AC2989" w:rsidP="00AC2989">
      <w:pPr>
        <w:pStyle w:val="Oformateradtext"/>
        <w:rPr>
          <w:rFonts w:ascii="Arial" w:hAnsi="Arial" w:cs="Arial"/>
          <w:sz w:val="24"/>
          <w:szCs w:val="24"/>
        </w:rPr>
      </w:pPr>
    </w:p>
    <w:p w:rsidR="00AC2989" w:rsidRPr="00B9418A" w:rsidRDefault="00AC2989" w:rsidP="0045071F">
      <w:pPr>
        <w:rPr>
          <w:rFonts w:ascii="Arial" w:hAnsi="Arial" w:cs="Arial"/>
          <w:b/>
          <w:szCs w:val="24"/>
        </w:rPr>
      </w:pPr>
      <w:r w:rsidRPr="00B9418A">
        <w:rPr>
          <w:rFonts w:ascii="Arial" w:hAnsi="Arial" w:cs="Arial"/>
          <w:b/>
          <w:szCs w:val="24"/>
        </w:rPr>
        <w:t>Addition to definitions in Article 2:</w:t>
      </w:r>
      <w:r w:rsidR="0045071F" w:rsidRPr="00B9418A">
        <w:rPr>
          <w:rFonts w:ascii="Arial" w:hAnsi="Arial" w:cs="Arial"/>
          <w:b/>
          <w:szCs w:val="24"/>
        </w:rPr>
        <w:t xml:space="preserve"> </w:t>
      </w:r>
      <w:r w:rsidRPr="00B9418A">
        <w:rPr>
          <w:rFonts w:ascii="Arial" w:hAnsi="Arial" w:cs="Arial"/>
          <w:b/>
          <w:szCs w:val="24"/>
        </w:rPr>
        <w:t xml:space="preserve">International roaming services </w:t>
      </w:r>
    </w:p>
    <w:p w:rsidR="00AC2989" w:rsidRPr="00B9418A" w:rsidRDefault="00AC2989" w:rsidP="0045071F">
      <w:pPr>
        <w:rPr>
          <w:rFonts w:ascii="Arial" w:hAnsi="Arial" w:cs="Arial"/>
          <w:szCs w:val="24"/>
        </w:rPr>
      </w:pPr>
    </w:p>
    <w:p w:rsidR="00AC2989" w:rsidRPr="00B9418A" w:rsidRDefault="00AC2989" w:rsidP="0045071F">
      <w:pPr>
        <w:rPr>
          <w:rFonts w:ascii="Arial" w:hAnsi="Arial" w:cs="Arial"/>
          <w:szCs w:val="24"/>
        </w:rPr>
      </w:pPr>
      <w:r w:rsidRPr="00B9418A">
        <w:rPr>
          <w:rFonts w:ascii="Arial" w:hAnsi="Arial" w:cs="Arial"/>
          <w:szCs w:val="24"/>
        </w:rPr>
        <w:t xml:space="preserve">International </w:t>
      </w:r>
      <w:r w:rsidR="00FC6DB3" w:rsidRPr="00B9418A">
        <w:rPr>
          <w:rFonts w:ascii="Arial" w:hAnsi="Arial" w:cs="Arial"/>
          <w:szCs w:val="24"/>
        </w:rPr>
        <w:t xml:space="preserve">roaming is a service that allows a customer of a Mobile (Virtual) Network Operator (M(V)NO) in </w:t>
      </w:r>
      <w:r w:rsidR="00CD63FE">
        <w:rPr>
          <w:rFonts w:ascii="Arial" w:hAnsi="Arial" w:cs="Arial"/>
          <w:szCs w:val="24"/>
        </w:rPr>
        <w:t>their home</w:t>
      </w:r>
      <w:r w:rsidR="00FC6DB3" w:rsidRPr="00B9418A">
        <w:rPr>
          <w:rFonts w:ascii="Arial" w:hAnsi="Arial" w:cs="Arial"/>
          <w:szCs w:val="24"/>
        </w:rPr>
        <w:t xml:space="preserve"> country, to obtain services (voice, SMS or data) from an Mobile Network Operator (MNO) in another country</w:t>
      </w:r>
      <w:r w:rsidR="00CD63FE">
        <w:rPr>
          <w:rFonts w:ascii="Arial" w:hAnsi="Arial" w:cs="Arial"/>
          <w:szCs w:val="24"/>
        </w:rPr>
        <w:t xml:space="preserve"> they are visiting</w:t>
      </w:r>
      <w:r w:rsidR="00FC6DB3" w:rsidRPr="00B9418A">
        <w:rPr>
          <w:rFonts w:ascii="Arial" w:hAnsi="Arial" w:cs="Arial"/>
          <w:szCs w:val="24"/>
        </w:rPr>
        <w:t xml:space="preserve">. The </w:t>
      </w:r>
      <w:r w:rsidR="00CD63FE">
        <w:rPr>
          <w:rFonts w:ascii="Arial" w:hAnsi="Arial" w:cs="Arial"/>
          <w:szCs w:val="24"/>
        </w:rPr>
        <w:t xml:space="preserve">MNO in the visited country allows the </w:t>
      </w:r>
      <w:r w:rsidR="00DF735E">
        <w:rPr>
          <w:rFonts w:ascii="Arial" w:hAnsi="Arial" w:cs="Arial"/>
          <w:szCs w:val="24"/>
        </w:rPr>
        <w:t>customer</w:t>
      </w:r>
      <w:r w:rsidR="00FC6DB3" w:rsidRPr="00B9418A">
        <w:rPr>
          <w:rFonts w:ascii="Arial" w:hAnsi="Arial" w:cs="Arial"/>
          <w:szCs w:val="24"/>
        </w:rPr>
        <w:t xml:space="preserve"> to </w:t>
      </w:r>
      <w:r w:rsidR="00DF735E">
        <w:rPr>
          <w:rFonts w:ascii="Arial" w:hAnsi="Arial" w:cs="Arial"/>
          <w:szCs w:val="24"/>
        </w:rPr>
        <w:t>the visited</w:t>
      </w:r>
      <w:r w:rsidR="00FC6DB3" w:rsidRPr="00B9418A">
        <w:rPr>
          <w:rFonts w:ascii="Arial" w:hAnsi="Arial" w:cs="Arial"/>
          <w:szCs w:val="24"/>
        </w:rPr>
        <w:t xml:space="preserve"> network while using the same mobile handset and the same telephone number</w:t>
      </w:r>
      <w:r w:rsidR="00DF735E">
        <w:rPr>
          <w:rFonts w:ascii="Arial" w:hAnsi="Arial" w:cs="Arial"/>
          <w:szCs w:val="24"/>
        </w:rPr>
        <w:t xml:space="preserve"> as the subscriber uses on the home network</w:t>
      </w:r>
      <w:r w:rsidRPr="00B9418A">
        <w:rPr>
          <w:rFonts w:ascii="Arial" w:hAnsi="Arial" w:cs="Arial"/>
          <w:szCs w:val="24"/>
        </w:rPr>
        <w:t>.</w:t>
      </w:r>
    </w:p>
    <w:p w:rsidR="003D0339" w:rsidRPr="00B9418A" w:rsidRDefault="003D0339" w:rsidP="0045071F">
      <w:pPr>
        <w:rPr>
          <w:rFonts w:ascii="Arial" w:hAnsi="Arial" w:cs="Arial"/>
          <w:szCs w:val="24"/>
          <w:lang w:val="en-US"/>
        </w:rPr>
      </w:pPr>
    </w:p>
    <w:p w:rsidR="00EF61D2" w:rsidRPr="00B9418A" w:rsidRDefault="00EF61D2" w:rsidP="00EF61D2">
      <w:pPr>
        <w:pStyle w:val="NormalS2"/>
        <w:rPr>
          <w:rFonts w:ascii="Arial" w:hAnsi="Arial" w:cs="Arial"/>
          <w:szCs w:val="24"/>
        </w:rPr>
      </w:pPr>
      <w:r w:rsidRPr="00B9418A">
        <w:rPr>
          <w:rFonts w:ascii="Arial" w:hAnsi="Arial" w:cs="Arial"/>
          <w:szCs w:val="24"/>
        </w:rPr>
        <w:t>EUR/</w:t>
      </w:r>
      <w:commentRangeStart w:id="2"/>
      <w:r w:rsidRPr="00B9418A">
        <w:rPr>
          <w:rFonts w:ascii="Arial" w:hAnsi="Arial" w:cs="Arial"/>
          <w:szCs w:val="24"/>
        </w:rPr>
        <w:t>xx</w:t>
      </w:r>
      <w:commentRangeEnd w:id="2"/>
      <w:r w:rsidRPr="00B9418A">
        <w:rPr>
          <w:rStyle w:val="Kommentarsreferens"/>
          <w:rFonts w:ascii="Arial" w:hAnsi="Arial" w:cs="Arial"/>
          <w:b w:val="0"/>
          <w:sz w:val="24"/>
          <w:szCs w:val="24"/>
        </w:rPr>
        <w:commentReference w:id="2"/>
      </w:r>
      <w:r w:rsidRPr="00B9418A">
        <w:rPr>
          <w:rFonts w:ascii="Arial" w:hAnsi="Arial" w:cs="Arial"/>
          <w:szCs w:val="24"/>
        </w:rPr>
        <w:t>/n</w:t>
      </w:r>
    </w:p>
    <w:p w:rsidR="00EF61D2" w:rsidRPr="0016430C" w:rsidRDefault="00EF61D2" w:rsidP="00EF61D2">
      <w:pPr>
        <w:pStyle w:val="NormalendS2"/>
        <w:rPr>
          <w:lang w:val="en-US"/>
        </w:rPr>
      </w:pPr>
    </w:p>
    <w:sectPr w:rsidR="00EF61D2" w:rsidRPr="0016430C" w:rsidSect="008361C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Rushton" w:date="2011-11-17T14:00:00Z" w:initials="PM">
    <w:p w:rsidR="00CC0426" w:rsidRDefault="00CC0426" w:rsidP="00CC0426">
      <w:pPr>
        <w:pStyle w:val="Kommentarer"/>
      </w:pPr>
      <w:r>
        <w:rPr>
          <w:rStyle w:val="Kommentarsreferens"/>
        </w:rPr>
        <w:annotationRef/>
      </w:r>
      <w:r>
        <w:t xml:space="preserve">Delete </w:t>
      </w:r>
      <w:proofErr w:type="spellStart"/>
      <w:r>
        <w:t>which ever</w:t>
      </w:r>
      <w:proofErr w:type="spellEnd"/>
      <w:r>
        <w:t xml:space="preserve"> is not required</w:t>
      </w:r>
    </w:p>
  </w:comment>
  <w:comment w:id="2" w:author="Rushton" w:date="2011-10-06T15:53:00Z" w:initials="PM">
    <w:p w:rsidR="00EF61D2" w:rsidRDefault="00EF61D2">
      <w:pPr>
        <w:pStyle w:val="Kommentarer"/>
      </w:pPr>
      <w:r>
        <w:rPr>
          <w:rStyle w:val="Kommentarsreferens"/>
        </w:rPr>
        <w:annotationRef/>
      </w:r>
      <w:r>
        <w:t xml:space="preserve">This will be </w:t>
      </w:r>
      <w:proofErr w:type="gramStart"/>
      <w:r>
        <w:t>the  number</w:t>
      </w:r>
      <w:proofErr w:type="gramEnd"/>
      <w:r>
        <w:t xml:space="preserve"> of the document in the conference containing the </w:t>
      </w:r>
      <w:proofErr w:type="spellStart"/>
      <w:r>
        <w:t>ECp’s</w:t>
      </w:r>
      <w:proofErr w:type="spell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246" w:rsidRDefault="00B00246" w:rsidP="00EF61D2">
      <w:pPr>
        <w:spacing w:before="0"/>
      </w:pPr>
      <w:r>
        <w:separator/>
      </w:r>
    </w:p>
  </w:endnote>
  <w:endnote w:type="continuationSeparator" w:id="0">
    <w:p w:rsidR="00B00246" w:rsidRDefault="00B00246" w:rsidP="00EF61D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246" w:rsidRDefault="00B00246" w:rsidP="00EF61D2">
      <w:pPr>
        <w:spacing w:before="0"/>
      </w:pPr>
      <w:r>
        <w:separator/>
      </w:r>
    </w:p>
  </w:footnote>
  <w:footnote w:type="continuationSeparator" w:id="0">
    <w:p w:rsidR="00B00246" w:rsidRDefault="00B00246" w:rsidP="00EF61D2">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A177F"/>
    <w:multiLevelType w:val="hybridMultilevel"/>
    <w:tmpl w:val="67A6D8EA"/>
    <w:lvl w:ilvl="0" w:tplc="8D661DFE">
      <w:start w:val="1"/>
      <w:numFmt w:val="decimal"/>
      <w:pStyle w:val="Rubrik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2C1942"/>
    <w:multiLevelType w:val="multilevel"/>
    <w:tmpl w:val="7290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621EE1"/>
    <w:multiLevelType w:val="hybridMultilevel"/>
    <w:tmpl w:val="94423412"/>
    <w:lvl w:ilvl="0" w:tplc="DCE85C9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30C36183"/>
    <w:multiLevelType w:val="multilevel"/>
    <w:tmpl w:val="5FA2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EE74EF"/>
    <w:multiLevelType w:val="hybridMultilevel"/>
    <w:tmpl w:val="20E09A40"/>
    <w:lvl w:ilvl="0" w:tplc="5D66698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5292046A"/>
    <w:multiLevelType w:val="multilevel"/>
    <w:tmpl w:val="F36A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DD2B6E"/>
    <w:multiLevelType w:val="multilevel"/>
    <w:tmpl w:val="A47CA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530626"/>
    <w:multiLevelType w:val="hybridMultilevel"/>
    <w:tmpl w:val="06682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6DB0539"/>
    <w:multiLevelType w:val="multilevel"/>
    <w:tmpl w:val="1BFC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6"/>
  </w:num>
  <w:num w:numId="5">
    <w:abstractNumId w:val="1"/>
  </w:num>
  <w:num w:numId="6">
    <w:abstractNumId w:val="5"/>
  </w:num>
  <w:num w:numId="7">
    <w:abstractNumId w:val="3"/>
  </w:num>
  <w:num w:numId="8">
    <w:abstractNumId w:val="8"/>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808"/>
    <w:rsid w:val="000A0F24"/>
    <w:rsid w:val="0010065F"/>
    <w:rsid w:val="001A5EA4"/>
    <w:rsid w:val="00233ECA"/>
    <w:rsid w:val="002D71B0"/>
    <w:rsid w:val="003D0339"/>
    <w:rsid w:val="00414AC2"/>
    <w:rsid w:val="004469BC"/>
    <w:rsid w:val="0045071F"/>
    <w:rsid w:val="00521C45"/>
    <w:rsid w:val="005400F6"/>
    <w:rsid w:val="0060026D"/>
    <w:rsid w:val="006D49A3"/>
    <w:rsid w:val="007517CE"/>
    <w:rsid w:val="007523EB"/>
    <w:rsid w:val="00772082"/>
    <w:rsid w:val="007833C0"/>
    <w:rsid w:val="008361C6"/>
    <w:rsid w:val="00864745"/>
    <w:rsid w:val="009053DC"/>
    <w:rsid w:val="009A7C33"/>
    <w:rsid w:val="009D3290"/>
    <w:rsid w:val="009D414E"/>
    <w:rsid w:val="009E489D"/>
    <w:rsid w:val="00A44A03"/>
    <w:rsid w:val="00A54A93"/>
    <w:rsid w:val="00A54D89"/>
    <w:rsid w:val="00A84892"/>
    <w:rsid w:val="00AC2989"/>
    <w:rsid w:val="00B00246"/>
    <w:rsid w:val="00B42A1C"/>
    <w:rsid w:val="00B9418A"/>
    <w:rsid w:val="00B96246"/>
    <w:rsid w:val="00BF27E6"/>
    <w:rsid w:val="00CA6364"/>
    <w:rsid w:val="00CC0426"/>
    <w:rsid w:val="00CD63FE"/>
    <w:rsid w:val="00DA3829"/>
    <w:rsid w:val="00DF735E"/>
    <w:rsid w:val="00E04826"/>
    <w:rsid w:val="00E44E96"/>
    <w:rsid w:val="00E64808"/>
    <w:rsid w:val="00EF61D2"/>
    <w:rsid w:val="00FC6DB3"/>
    <w:rsid w:val="00FD64FA"/>
    <w:rsid w:val="00FE7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1D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eastAsia="Times New Roman"/>
      <w:sz w:val="24"/>
      <w:lang w:eastAsia="en-US"/>
    </w:rPr>
  </w:style>
  <w:style w:type="paragraph" w:styleId="Rubrik1">
    <w:name w:val="heading 1"/>
    <w:basedOn w:val="Normal"/>
    <w:next w:val="Normal"/>
    <w:link w:val="Rubrik1Char"/>
    <w:autoRedefine/>
    <w:uiPriority w:val="9"/>
    <w:qFormat/>
    <w:rsid w:val="00864745"/>
    <w:pPr>
      <w:keepNext/>
      <w:keepLines/>
      <w:numPr>
        <w:numId w:val="3"/>
      </w:numPr>
      <w:spacing w:before="480"/>
      <w:outlineLvl w:val="0"/>
    </w:pPr>
    <w:rPr>
      <w:b/>
      <w:bCs/>
      <w:color w:val="000000"/>
      <w:sz w:val="28"/>
      <w:szCs w:val="28"/>
    </w:rPr>
  </w:style>
  <w:style w:type="paragraph" w:styleId="Rubrik2">
    <w:name w:val="heading 2"/>
    <w:basedOn w:val="Normal"/>
    <w:next w:val="Normal"/>
    <w:link w:val="Rubrik2Char"/>
    <w:uiPriority w:val="9"/>
    <w:unhideWhenUsed/>
    <w:qFormat/>
    <w:rsid w:val="00E0482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semiHidden/>
    <w:unhideWhenUsed/>
    <w:qFormat/>
    <w:rsid w:val="00E04826"/>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Rubrik1"/>
    <w:link w:val="RubrikChar"/>
    <w:autoRedefine/>
    <w:uiPriority w:val="10"/>
    <w:qFormat/>
    <w:rsid w:val="009E489D"/>
    <w:pPr>
      <w:spacing w:after="120"/>
      <w:contextualSpacing/>
      <w:jc w:val="center"/>
    </w:pPr>
    <w:rPr>
      <w:color w:val="000000"/>
      <w:spacing w:val="5"/>
      <w:kern w:val="28"/>
      <w:sz w:val="36"/>
      <w:szCs w:val="52"/>
    </w:rPr>
  </w:style>
  <w:style w:type="character" w:customStyle="1" w:styleId="RubrikChar">
    <w:name w:val="Rubrik Char"/>
    <w:basedOn w:val="Standardstycketeckensnitt"/>
    <w:link w:val="Rubrik"/>
    <w:uiPriority w:val="10"/>
    <w:rsid w:val="009E489D"/>
    <w:rPr>
      <w:rFonts w:ascii="Times New Roman" w:eastAsia="Times New Roman" w:hAnsi="Times New Roman" w:cs="Times New Roman"/>
      <w:color w:val="000000"/>
      <w:spacing w:val="5"/>
      <w:kern w:val="28"/>
      <w:sz w:val="36"/>
      <w:szCs w:val="52"/>
    </w:rPr>
  </w:style>
  <w:style w:type="character" w:customStyle="1" w:styleId="Rubrik1Char">
    <w:name w:val="Rubrik 1 Char"/>
    <w:basedOn w:val="Standardstycketeckensnitt"/>
    <w:link w:val="Rubrik1"/>
    <w:uiPriority w:val="9"/>
    <w:rsid w:val="00864745"/>
    <w:rPr>
      <w:rFonts w:ascii="Times New Roman" w:eastAsia="Times New Roman" w:hAnsi="Times New Roman" w:cs="Times New Roman"/>
      <w:b/>
      <w:bCs/>
      <w:color w:val="000000"/>
      <w:sz w:val="28"/>
      <w:szCs w:val="28"/>
    </w:rPr>
  </w:style>
  <w:style w:type="character" w:styleId="Fotnotsreferens">
    <w:name w:val="footnote reference"/>
    <w:aliases w:val="Appel note de bas de p,Footnote Reference/,Footnote symbol,Ref,de nota al pie"/>
    <w:basedOn w:val="Standardstycketeckensnitt"/>
    <w:rsid w:val="00EF61D2"/>
    <w:rPr>
      <w:rFonts w:ascii="Calibri" w:hAnsi="Calibri"/>
      <w:position w:val="6"/>
      <w:sz w:val="16"/>
    </w:rPr>
  </w:style>
  <w:style w:type="paragraph" w:styleId="Fotnotstext">
    <w:name w:val="footnote text"/>
    <w:aliases w:val="ALTS FOOTNOTE,Footnote Text Char1,Footnote Text Char Char1,Footnote Text Char4 Char Char,Footnote Text Char1 Char1 Char1 Char,Footnote Text Char Char1 Char1 Char Char,Footnote Text Char1 Char1 Char1 Char Char Char1,DNV-FT,fn"/>
    <w:basedOn w:val="Normal"/>
    <w:link w:val="FotnotstextChar"/>
    <w:rsid w:val="00EF61D2"/>
    <w:pPr>
      <w:keepLines/>
      <w:tabs>
        <w:tab w:val="left" w:pos="256"/>
      </w:tabs>
      <w:ind w:left="256" w:hanging="256"/>
    </w:pPr>
  </w:style>
  <w:style w:type="character" w:customStyle="1" w:styleId="FotnotstextChar">
    <w:name w:val="Fotnotstext Char"/>
    <w:aliases w:val="ALTS FOOTNOTE Char,Footnote Text Char1 Char,Footnote Text Char Char1 Char,Footnote Text Char4 Char Char Char,Footnote Text Char1 Char1 Char1 Char Char,Footnote Text Char Char1 Char1 Char Char Char,DNV-FT Char,fn Char"/>
    <w:basedOn w:val="Standardstycketeckensnitt"/>
    <w:link w:val="Fotnotstext"/>
    <w:rsid w:val="00EF61D2"/>
    <w:rPr>
      <w:rFonts w:ascii="Calibri" w:eastAsia="Times New Roman" w:hAnsi="Calibri" w:cs="Times New Roman"/>
      <w:sz w:val="24"/>
      <w:szCs w:val="20"/>
    </w:rPr>
  </w:style>
  <w:style w:type="paragraph" w:customStyle="1" w:styleId="AnnexNo">
    <w:name w:val="Annex_No"/>
    <w:basedOn w:val="Normal"/>
    <w:next w:val="Normal"/>
    <w:rsid w:val="00EF61D2"/>
    <w:pPr>
      <w:spacing w:before="720"/>
      <w:jc w:val="center"/>
    </w:pPr>
    <w:rPr>
      <w:caps/>
      <w:sz w:val="28"/>
    </w:rPr>
  </w:style>
  <w:style w:type="paragraph" w:customStyle="1" w:styleId="Annextitle">
    <w:name w:val="Annex_title"/>
    <w:basedOn w:val="Normal"/>
    <w:next w:val="Normal"/>
    <w:rsid w:val="00EF61D2"/>
    <w:pPr>
      <w:spacing w:before="240" w:after="240"/>
      <w:jc w:val="center"/>
    </w:pPr>
    <w:rPr>
      <w:b/>
      <w:sz w:val="28"/>
    </w:rPr>
  </w:style>
  <w:style w:type="paragraph" w:customStyle="1" w:styleId="Part">
    <w:name w:val="Part"/>
    <w:basedOn w:val="Normal"/>
    <w:next w:val="Normal"/>
    <w:rsid w:val="00EF61D2"/>
    <w:pPr>
      <w:tabs>
        <w:tab w:val="clear" w:pos="567"/>
        <w:tab w:val="clear" w:pos="1134"/>
        <w:tab w:val="clear" w:pos="1701"/>
        <w:tab w:val="clear" w:pos="2268"/>
        <w:tab w:val="clear" w:pos="2835"/>
      </w:tabs>
      <w:spacing w:before="600"/>
      <w:jc w:val="center"/>
    </w:pPr>
    <w:rPr>
      <w:caps/>
      <w:sz w:val="28"/>
    </w:rPr>
  </w:style>
  <w:style w:type="paragraph" w:customStyle="1" w:styleId="Title3">
    <w:name w:val="Title 3"/>
    <w:basedOn w:val="Normal"/>
    <w:next w:val="Normal"/>
    <w:rsid w:val="00EF61D2"/>
    <w:pPr>
      <w:spacing w:before="240"/>
      <w:jc w:val="center"/>
    </w:pPr>
    <w:rPr>
      <w:sz w:val="28"/>
    </w:rPr>
  </w:style>
  <w:style w:type="paragraph" w:customStyle="1" w:styleId="NormalS2">
    <w:name w:val="Normal_S2"/>
    <w:basedOn w:val="Normal"/>
    <w:rsid w:val="00EF61D2"/>
    <w:pPr>
      <w:tabs>
        <w:tab w:val="clear" w:pos="567"/>
        <w:tab w:val="clear" w:pos="1134"/>
        <w:tab w:val="clear" w:pos="1701"/>
        <w:tab w:val="clear" w:pos="2268"/>
        <w:tab w:val="clear" w:pos="2835"/>
        <w:tab w:val="left" w:pos="851"/>
      </w:tabs>
    </w:pPr>
    <w:rPr>
      <w:b/>
    </w:rPr>
  </w:style>
  <w:style w:type="character" w:styleId="Kommentarsreferens">
    <w:name w:val="annotation reference"/>
    <w:basedOn w:val="Standardstycketeckensnitt"/>
    <w:rsid w:val="00EF61D2"/>
    <w:rPr>
      <w:sz w:val="16"/>
      <w:szCs w:val="16"/>
    </w:rPr>
  </w:style>
  <w:style w:type="paragraph" w:styleId="Kommentarer">
    <w:name w:val="annotation text"/>
    <w:basedOn w:val="Normal"/>
    <w:link w:val="KommentarerChar"/>
    <w:rsid w:val="00EF61D2"/>
    <w:pPr>
      <w:tabs>
        <w:tab w:val="clear" w:pos="567"/>
        <w:tab w:val="clear" w:pos="1134"/>
        <w:tab w:val="clear" w:pos="1701"/>
        <w:tab w:val="clear" w:pos="2268"/>
        <w:tab w:val="clear" w:pos="2835"/>
        <w:tab w:val="left" w:pos="794"/>
        <w:tab w:val="left" w:pos="1191"/>
        <w:tab w:val="left" w:pos="1588"/>
        <w:tab w:val="left" w:pos="1985"/>
      </w:tabs>
    </w:pPr>
    <w:rPr>
      <w:sz w:val="20"/>
    </w:rPr>
  </w:style>
  <w:style w:type="character" w:customStyle="1" w:styleId="KommentarerChar">
    <w:name w:val="Kommentarer Char"/>
    <w:basedOn w:val="Standardstycketeckensnitt"/>
    <w:link w:val="Kommentarer"/>
    <w:rsid w:val="00EF61D2"/>
    <w:rPr>
      <w:rFonts w:ascii="Calibri" w:eastAsia="Times New Roman" w:hAnsi="Calibri" w:cs="Times New Roman"/>
      <w:sz w:val="20"/>
      <w:szCs w:val="20"/>
    </w:rPr>
  </w:style>
  <w:style w:type="paragraph" w:customStyle="1" w:styleId="NormalendS2">
    <w:name w:val="Normal_end_S2"/>
    <w:basedOn w:val="Normal"/>
    <w:qFormat/>
    <w:rsid w:val="00EF61D2"/>
  </w:style>
  <w:style w:type="paragraph" w:customStyle="1" w:styleId="Annex">
    <w:name w:val="Annex"/>
    <w:basedOn w:val="Normal"/>
    <w:rsid w:val="00EF61D2"/>
    <w:pPr>
      <w:tabs>
        <w:tab w:val="clear" w:pos="567"/>
        <w:tab w:val="clear" w:pos="1134"/>
        <w:tab w:val="clear" w:pos="1701"/>
        <w:tab w:val="clear" w:pos="2268"/>
        <w:tab w:val="clear" w:pos="2835"/>
        <w:tab w:val="left" w:pos="851"/>
      </w:tabs>
      <w:spacing w:before="720"/>
    </w:pPr>
    <w:rPr>
      <w:b/>
      <w:caps/>
      <w:szCs w:val="24"/>
    </w:rPr>
  </w:style>
  <w:style w:type="paragraph" w:styleId="Ballongtext">
    <w:name w:val="Balloon Text"/>
    <w:basedOn w:val="Normal"/>
    <w:link w:val="BallongtextChar"/>
    <w:uiPriority w:val="99"/>
    <w:semiHidden/>
    <w:unhideWhenUsed/>
    <w:rsid w:val="00EF61D2"/>
    <w:pPr>
      <w:spacing w:before="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F61D2"/>
    <w:rPr>
      <w:rFonts w:ascii="Tahoma" w:eastAsia="Times New Roman" w:hAnsi="Tahoma" w:cs="Tahoma"/>
      <w:sz w:val="16"/>
      <w:szCs w:val="16"/>
    </w:rPr>
  </w:style>
  <w:style w:type="paragraph" w:styleId="Kommentarsmne">
    <w:name w:val="annotation subject"/>
    <w:basedOn w:val="Kommentarer"/>
    <w:next w:val="Kommentarer"/>
    <w:link w:val="KommentarsmneChar"/>
    <w:uiPriority w:val="99"/>
    <w:semiHidden/>
    <w:unhideWhenUsed/>
    <w:rsid w:val="00EF61D2"/>
    <w:pPr>
      <w:tabs>
        <w:tab w:val="clear" w:pos="794"/>
        <w:tab w:val="clear" w:pos="1191"/>
        <w:tab w:val="clear" w:pos="1588"/>
        <w:tab w:val="clear" w:pos="1985"/>
        <w:tab w:val="left" w:pos="567"/>
        <w:tab w:val="left" w:pos="1134"/>
        <w:tab w:val="left" w:pos="1701"/>
        <w:tab w:val="left" w:pos="2268"/>
        <w:tab w:val="left" w:pos="2835"/>
      </w:tabs>
    </w:pPr>
    <w:rPr>
      <w:b/>
      <w:bCs/>
    </w:rPr>
  </w:style>
  <w:style w:type="character" w:customStyle="1" w:styleId="KommentarsmneChar">
    <w:name w:val="Kommentarsämne Char"/>
    <w:basedOn w:val="KommentarerChar"/>
    <w:link w:val="Kommentarsmne"/>
    <w:uiPriority w:val="99"/>
    <w:semiHidden/>
    <w:rsid w:val="00EF61D2"/>
    <w:rPr>
      <w:rFonts w:ascii="Calibri" w:eastAsia="Times New Roman" w:hAnsi="Calibri" w:cs="Times New Roman"/>
      <w:b/>
      <w:bCs/>
      <w:sz w:val="20"/>
      <w:szCs w:val="20"/>
    </w:rPr>
  </w:style>
  <w:style w:type="paragraph" w:styleId="Oformateradtext">
    <w:name w:val="Plain Text"/>
    <w:basedOn w:val="Normal"/>
    <w:link w:val="OformateradtextChar"/>
    <w:uiPriority w:val="99"/>
    <w:semiHidden/>
    <w:unhideWhenUsed/>
    <w:rsid w:val="00AC2989"/>
    <w:pPr>
      <w:tabs>
        <w:tab w:val="clear" w:pos="567"/>
        <w:tab w:val="clear" w:pos="1134"/>
        <w:tab w:val="clear" w:pos="1701"/>
        <w:tab w:val="clear" w:pos="2268"/>
        <w:tab w:val="clear" w:pos="2835"/>
      </w:tabs>
      <w:overflowPunct/>
      <w:autoSpaceDE/>
      <w:autoSpaceDN/>
      <w:adjustRightInd/>
      <w:spacing w:before="0"/>
      <w:textAlignment w:val="auto"/>
    </w:pPr>
    <w:rPr>
      <w:rFonts w:eastAsiaTheme="minorHAnsi" w:cs="Consolas"/>
      <w:sz w:val="22"/>
      <w:szCs w:val="21"/>
    </w:rPr>
  </w:style>
  <w:style w:type="character" w:customStyle="1" w:styleId="OformateradtextChar">
    <w:name w:val="Oformaterad text Char"/>
    <w:basedOn w:val="Standardstycketeckensnitt"/>
    <w:link w:val="Oformateradtext"/>
    <w:uiPriority w:val="99"/>
    <w:semiHidden/>
    <w:rsid w:val="00AC2989"/>
    <w:rPr>
      <w:rFonts w:eastAsiaTheme="minorHAnsi" w:cs="Consolas"/>
      <w:sz w:val="22"/>
      <w:szCs w:val="21"/>
      <w:lang w:eastAsia="en-US"/>
    </w:rPr>
  </w:style>
  <w:style w:type="character" w:customStyle="1" w:styleId="Rubrik2Char">
    <w:name w:val="Rubrik 2 Char"/>
    <w:basedOn w:val="Standardstycketeckensnitt"/>
    <w:link w:val="Rubrik2"/>
    <w:uiPriority w:val="9"/>
    <w:rsid w:val="00E04826"/>
    <w:rPr>
      <w:rFonts w:asciiTheme="majorHAnsi" w:eastAsiaTheme="majorEastAsia" w:hAnsiTheme="majorHAnsi" w:cstheme="majorBidi"/>
      <w:b/>
      <w:bCs/>
      <w:color w:val="4F81BD" w:themeColor="accent1"/>
      <w:sz w:val="26"/>
      <w:szCs w:val="26"/>
      <w:lang w:eastAsia="en-US"/>
    </w:rPr>
  </w:style>
  <w:style w:type="character" w:customStyle="1" w:styleId="Rubrik3Char">
    <w:name w:val="Rubrik 3 Char"/>
    <w:basedOn w:val="Standardstycketeckensnitt"/>
    <w:link w:val="Rubrik3"/>
    <w:uiPriority w:val="9"/>
    <w:semiHidden/>
    <w:rsid w:val="00E04826"/>
    <w:rPr>
      <w:rFonts w:asciiTheme="majorHAnsi" w:eastAsiaTheme="majorEastAsia" w:hAnsiTheme="majorHAnsi" w:cstheme="majorBidi"/>
      <w:b/>
      <w:bCs/>
      <w:color w:val="4F81BD" w:themeColor="accent1"/>
      <w:sz w:val="24"/>
      <w:lang w:eastAsia="en-US"/>
    </w:rPr>
  </w:style>
  <w:style w:type="character" w:styleId="Hyperlnk">
    <w:name w:val="Hyperlink"/>
    <w:basedOn w:val="Standardstycketeckensnitt"/>
    <w:uiPriority w:val="99"/>
    <w:semiHidden/>
    <w:unhideWhenUsed/>
    <w:rsid w:val="00E04826"/>
    <w:rPr>
      <w:color w:val="0000FF"/>
      <w:u w:val="single"/>
    </w:rPr>
  </w:style>
  <w:style w:type="paragraph" w:styleId="Normalwebb">
    <w:name w:val="Normal (Web)"/>
    <w:basedOn w:val="Normal"/>
    <w:uiPriority w:val="99"/>
    <w:unhideWhenUsed/>
    <w:rsid w:val="00E04826"/>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mw-headline">
    <w:name w:val="mw-headline"/>
    <w:basedOn w:val="Standardstycketeckensnitt"/>
    <w:rsid w:val="00E04826"/>
  </w:style>
  <w:style w:type="character" w:customStyle="1" w:styleId="editsection">
    <w:name w:val="editsection"/>
    <w:basedOn w:val="Standardstycketeckensnitt"/>
    <w:rsid w:val="00E04826"/>
  </w:style>
  <w:style w:type="paragraph" w:styleId="Liststycke">
    <w:name w:val="List Paragraph"/>
    <w:basedOn w:val="Normal"/>
    <w:uiPriority w:val="34"/>
    <w:qFormat/>
    <w:rsid w:val="009D32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1D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eastAsia="Times New Roman"/>
      <w:sz w:val="24"/>
      <w:lang w:eastAsia="en-US"/>
    </w:rPr>
  </w:style>
  <w:style w:type="paragraph" w:styleId="Rubrik1">
    <w:name w:val="heading 1"/>
    <w:basedOn w:val="Normal"/>
    <w:next w:val="Normal"/>
    <w:link w:val="Rubrik1Char"/>
    <w:autoRedefine/>
    <w:uiPriority w:val="9"/>
    <w:qFormat/>
    <w:rsid w:val="00864745"/>
    <w:pPr>
      <w:keepNext/>
      <w:keepLines/>
      <w:numPr>
        <w:numId w:val="3"/>
      </w:numPr>
      <w:spacing w:before="480"/>
      <w:outlineLvl w:val="0"/>
    </w:pPr>
    <w:rPr>
      <w:b/>
      <w:bCs/>
      <w:color w:val="000000"/>
      <w:sz w:val="28"/>
      <w:szCs w:val="28"/>
    </w:rPr>
  </w:style>
  <w:style w:type="paragraph" w:styleId="Rubrik2">
    <w:name w:val="heading 2"/>
    <w:basedOn w:val="Normal"/>
    <w:next w:val="Normal"/>
    <w:link w:val="Rubrik2Char"/>
    <w:uiPriority w:val="9"/>
    <w:unhideWhenUsed/>
    <w:qFormat/>
    <w:rsid w:val="00E0482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semiHidden/>
    <w:unhideWhenUsed/>
    <w:qFormat/>
    <w:rsid w:val="00E04826"/>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Rubrik1"/>
    <w:link w:val="RubrikChar"/>
    <w:autoRedefine/>
    <w:uiPriority w:val="10"/>
    <w:qFormat/>
    <w:rsid w:val="009E489D"/>
    <w:pPr>
      <w:spacing w:after="120"/>
      <w:contextualSpacing/>
      <w:jc w:val="center"/>
    </w:pPr>
    <w:rPr>
      <w:color w:val="000000"/>
      <w:spacing w:val="5"/>
      <w:kern w:val="28"/>
      <w:sz w:val="36"/>
      <w:szCs w:val="52"/>
    </w:rPr>
  </w:style>
  <w:style w:type="character" w:customStyle="1" w:styleId="RubrikChar">
    <w:name w:val="Rubrik Char"/>
    <w:basedOn w:val="Standardstycketeckensnitt"/>
    <w:link w:val="Rubrik"/>
    <w:uiPriority w:val="10"/>
    <w:rsid w:val="009E489D"/>
    <w:rPr>
      <w:rFonts w:ascii="Times New Roman" w:eastAsia="Times New Roman" w:hAnsi="Times New Roman" w:cs="Times New Roman"/>
      <w:color w:val="000000"/>
      <w:spacing w:val="5"/>
      <w:kern w:val="28"/>
      <w:sz w:val="36"/>
      <w:szCs w:val="52"/>
    </w:rPr>
  </w:style>
  <w:style w:type="character" w:customStyle="1" w:styleId="Rubrik1Char">
    <w:name w:val="Rubrik 1 Char"/>
    <w:basedOn w:val="Standardstycketeckensnitt"/>
    <w:link w:val="Rubrik1"/>
    <w:uiPriority w:val="9"/>
    <w:rsid w:val="00864745"/>
    <w:rPr>
      <w:rFonts w:ascii="Times New Roman" w:eastAsia="Times New Roman" w:hAnsi="Times New Roman" w:cs="Times New Roman"/>
      <w:b/>
      <w:bCs/>
      <w:color w:val="000000"/>
      <w:sz w:val="28"/>
      <w:szCs w:val="28"/>
    </w:rPr>
  </w:style>
  <w:style w:type="character" w:styleId="Fotnotsreferens">
    <w:name w:val="footnote reference"/>
    <w:aliases w:val="Appel note de bas de p,Footnote Reference/,Footnote symbol,Ref,de nota al pie"/>
    <w:basedOn w:val="Standardstycketeckensnitt"/>
    <w:rsid w:val="00EF61D2"/>
    <w:rPr>
      <w:rFonts w:ascii="Calibri" w:hAnsi="Calibri"/>
      <w:position w:val="6"/>
      <w:sz w:val="16"/>
    </w:rPr>
  </w:style>
  <w:style w:type="paragraph" w:styleId="Fotnotstext">
    <w:name w:val="footnote text"/>
    <w:aliases w:val="ALTS FOOTNOTE,Footnote Text Char1,Footnote Text Char Char1,Footnote Text Char4 Char Char,Footnote Text Char1 Char1 Char1 Char,Footnote Text Char Char1 Char1 Char Char,Footnote Text Char1 Char1 Char1 Char Char Char1,DNV-FT,fn"/>
    <w:basedOn w:val="Normal"/>
    <w:link w:val="FotnotstextChar"/>
    <w:rsid w:val="00EF61D2"/>
    <w:pPr>
      <w:keepLines/>
      <w:tabs>
        <w:tab w:val="left" w:pos="256"/>
      </w:tabs>
      <w:ind w:left="256" w:hanging="256"/>
    </w:pPr>
  </w:style>
  <w:style w:type="character" w:customStyle="1" w:styleId="FotnotstextChar">
    <w:name w:val="Fotnotstext Char"/>
    <w:aliases w:val="ALTS FOOTNOTE Char,Footnote Text Char1 Char,Footnote Text Char Char1 Char,Footnote Text Char4 Char Char Char,Footnote Text Char1 Char1 Char1 Char Char,Footnote Text Char Char1 Char1 Char Char Char,DNV-FT Char,fn Char"/>
    <w:basedOn w:val="Standardstycketeckensnitt"/>
    <w:link w:val="Fotnotstext"/>
    <w:rsid w:val="00EF61D2"/>
    <w:rPr>
      <w:rFonts w:ascii="Calibri" w:eastAsia="Times New Roman" w:hAnsi="Calibri" w:cs="Times New Roman"/>
      <w:sz w:val="24"/>
      <w:szCs w:val="20"/>
    </w:rPr>
  </w:style>
  <w:style w:type="paragraph" w:customStyle="1" w:styleId="AnnexNo">
    <w:name w:val="Annex_No"/>
    <w:basedOn w:val="Normal"/>
    <w:next w:val="Normal"/>
    <w:rsid w:val="00EF61D2"/>
    <w:pPr>
      <w:spacing w:before="720"/>
      <w:jc w:val="center"/>
    </w:pPr>
    <w:rPr>
      <w:caps/>
      <w:sz w:val="28"/>
    </w:rPr>
  </w:style>
  <w:style w:type="paragraph" w:customStyle="1" w:styleId="Annextitle">
    <w:name w:val="Annex_title"/>
    <w:basedOn w:val="Normal"/>
    <w:next w:val="Normal"/>
    <w:rsid w:val="00EF61D2"/>
    <w:pPr>
      <w:spacing w:before="240" w:after="240"/>
      <w:jc w:val="center"/>
    </w:pPr>
    <w:rPr>
      <w:b/>
      <w:sz w:val="28"/>
    </w:rPr>
  </w:style>
  <w:style w:type="paragraph" w:customStyle="1" w:styleId="Part">
    <w:name w:val="Part"/>
    <w:basedOn w:val="Normal"/>
    <w:next w:val="Normal"/>
    <w:rsid w:val="00EF61D2"/>
    <w:pPr>
      <w:tabs>
        <w:tab w:val="clear" w:pos="567"/>
        <w:tab w:val="clear" w:pos="1134"/>
        <w:tab w:val="clear" w:pos="1701"/>
        <w:tab w:val="clear" w:pos="2268"/>
        <w:tab w:val="clear" w:pos="2835"/>
      </w:tabs>
      <w:spacing w:before="600"/>
      <w:jc w:val="center"/>
    </w:pPr>
    <w:rPr>
      <w:caps/>
      <w:sz w:val="28"/>
    </w:rPr>
  </w:style>
  <w:style w:type="paragraph" w:customStyle="1" w:styleId="Title3">
    <w:name w:val="Title 3"/>
    <w:basedOn w:val="Normal"/>
    <w:next w:val="Normal"/>
    <w:rsid w:val="00EF61D2"/>
    <w:pPr>
      <w:spacing w:before="240"/>
      <w:jc w:val="center"/>
    </w:pPr>
    <w:rPr>
      <w:sz w:val="28"/>
    </w:rPr>
  </w:style>
  <w:style w:type="paragraph" w:customStyle="1" w:styleId="NormalS2">
    <w:name w:val="Normal_S2"/>
    <w:basedOn w:val="Normal"/>
    <w:rsid w:val="00EF61D2"/>
    <w:pPr>
      <w:tabs>
        <w:tab w:val="clear" w:pos="567"/>
        <w:tab w:val="clear" w:pos="1134"/>
        <w:tab w:val="clear" w:pos="1701"/>
        <w:tab w:val="clear" w:pos="2268"/>
        <w:tab w:val="clear" w:pos="2835"/>
        <w:tab w:val="left" w:pos="851"/>
      </w:tabs>
    </w:pPr>
    <w:rPr>
      <w:b/>
    </w:rPr>
  </w:style>
  <w:style w:type="character" w:styleId="Kommentarsreferens">
    <w:name w:val="annotation reference"/>
    <w:basedOn w:val="Standardstycketeckensnitt"/>
    <w:rsid w:val="00EF61D2"/>
    <w:rPr>
      <w:sz w:val="16"/>
      <w:szCs w:val="16"/>
    </w:rPr>
  </w:style>
  <w:style w:type="paragraph" w:styleId="Kommentarer">
    <w:name w:val="annotation text"/>
    <w:basedOn w:val="Normal"/>
    <w:link w:val="KommentarerChar"/>
    <w:rsid w:val="00EF61D2"/>
    <w:pPr>
      <w:tabs>
        <w:tab w:val="clear" w:pos="567"/>
        <w:tab w:val="clear" w:pos="1134"/>
        <w:tab w:val="clear" w:pos="1701"/>
        <w:tab w:val="clear" w:pos="2268"/>
        <w:tab w:val="clear" w:pos="2835"/>
        <w:tab w:val="left" w:pos="794"/>
        <w:tab w:val="left" w:pos="1191"/>
        <w:tab w:val="left" w:pos="1588"/>
        <w:tab w:val="left" w:pos="1985"/>
      </w:tabs>
    </w:pPr>
    <w:rPr>
      <w:sz w:val="20"/>
    </w:rPr>
  </w:style>
  <w:style w:type="character" w:customStyle="1" w:styleId="KommentarerChar">
    <w:name w:val="Kommentarer Char"/>
    <w:basedOn w:val="Standardstycketeckensnitt"/>
    <w:link w:val="Kommentarer"/>
    <w:rsid w:val="00EF61D2"/>
    <w:rPr>
      <w:rFonts w:ascii="Calibri" w:eastAsia="Times New Roman" w:hAnsi="Calibri" w:cs="Times New Roman"/>
      <w:sz w:val="20"/>
      <w:szCs w:val="20"/>
    </w:rPr>
  </w:style>
  <w:style w:type="paragraph" w:customStyle="1" w:styleId="NormalendS2">
    <w:name w:val="Normal_end_S2"/>
    <w:basedOn w:val="Normal"/>
    <w:qFormat/>
    <w:rsid w:val="00EF61D2"/>
  </w:style>
  <w:style w:type="paragraph" w:customStyle="1" w:styleId="Annex">
    <w:name w:val="Annex"/>
    <w:basedOn w:val="Normal"/>
    <w:rsid w:val="00EF61D2"/>
    <w:pPr>
      <w:tabs>
        <w:tab w:val="clear" w:pos="567"/>
        <w:tab w:val="clear" w:pos="1134"/>
        <w:tab w:val="clear" w:pos="1701"/>
        <w:tab w:val="clear" w:pos="2268"/>
        <w:tab w:val="clear" w:pos="2835"/>
        <w:tab w:val="left" w:pos="851"/>
      </w:tabs>
      <w:spacing w:before="720"/>
    </w:pPr>
    <w:rPr>
      <w:b/>
      <w:caps/>
      <w:szCs w:val="24"/>
    </w:rPr>
  </w:style>
  <w:style w:type="paragraph" w:styleId="Ballongtext">
    <w:name w:val="Balloon Text"/>
    <w:basedOn w:val="Normal"/>
    <w:link w:val="BallongtextChar"/>
    <w:uiPriority w:val="99"/>
    <w:semiHidden/>
    <w:unhideWhenUsed/>
    <w:rsid w:val="00EF61D2"/>
    <w:pPr>
      <w:spacing w:before="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F61D2"/>
    <w:rPr>
      <w:rFonts w:ascii="Tahoma" w:eastAsia="Times New Roman" w:hAnsi="Tahoma" w:cs="Tahoma"/>
      <w:sz w:val="16"/>
      <w:szCs w:val="16"/>
    </w:rPr>
  </w:style>
  <w:style w:type="paragraph" w:styleId="Kommentarsmne">
    <w:name w:val="annotation subject"/>
    <w:basedOn w:val="Kommentarer"/>
    <w:next w:val="Kommentarer"/>
    <w:link w:val="KommentarsmneChar"/>
    <w:uiPriority w:val="99"/>
    <w:semiHidden/>
    <w:unhideWhenUsed/>
    <w:rsid w:val="00EF61D2"/>
    <w:pPr>
      <w:tabs>
        <w:tab w:val="clear" w:pos="794"/>
        <w:tab w:val="clear" w:pos="1191"/>
        <w:tab w:val="clear" w:pos="1588"/>
        <w:tab w:val="clear" w:pos="1985"/>
        <w:tab w:val="left" w:pos="567"/>
        <w:tab w:val="left" w:pos="1134"/>
        <w:tab w:val="left" w:pos="1701"/>
        <w:tab w:val="left" w:pos="2268"/>
        <w:tab w:val="left" w:pos="2835"/>
      </w:tabs>
    </w:pPr>
    <w:rPr>
      <w:b/>
      <w:bCs/>
    </w:rPr>
  </w:style>
  <w:style w:type="character" w:customStyle="1" w:styleId="KommentarsmneChar">
    <w:name w:val="Kommentarsämne Char"/>
    <w:basedOn w:val="KommentarerChar"/>
    <w:link w:val="Kommentarsmne"/>
    <w:uiPriority w:val="99"/>
    <w:semiHidden/>
    <w:rsid w:val="00EF61D2"/>
    <w:rPr>
      <w:rFonts w:ascii="Calibri" w:eastAsia="Times New Roman" w:hAnsi="Calibri" w:cs="Times New Roman"/>
      <w:b/>
      <w:bCs/>
      <w:sz w:val="20"/>
      <w:szCs w:val="20"/>
    </w:rPr>
  </w:style>
  <w:style w:type="paragraph" w:styleId="Oformateradtext">
    <w:name w:val="Plain Text"/>
    <w:basedOn w:val="Normal"/>
    <w:link w:val="OformateradtextChar"/>
    <w:uiPriority w:val="99"/>
    <w:semiHidden/>
    <w:unhideWhenUsed/>
    <w:rsid w:val="00AC2989"/>
    <w:pPr>
      <w:tabs>
        <w:tab w:val="clear" w:pos="567"/>
        <w:tab w:val="clear" w:pos="1134"/>
        <w:tab w:val="clear" w:pos="1701"/>
        <w:tab w:val="clear" w:pos="2268"/>
        <w:tab w:val="clear" w:pos="2835"/>
      </w:tabs>
      <w:overflowPunct/>
      <w:autoSpaceDE/>
      <w:autoSpaceDN/>
      <w:adjustRightInd/>
      <w:spacing w:before="0"/>
      <w:textAlignment w:val="auto"/>
    </w:pPr>
    <w:rPr>
      <w:rFonts w:eastAsiaTheme="minorHAnsi" w:cs="Consolas"/>
      <w:sz w:val="22"/>
      <w:szCs w:val="21"/>
    </w:rPr>
  </w:style>
  <w:style w:type="character" w:customStyle="1" w:styleId="OformateradtextChar">
    <w:name w:val="Oformaterad text Char"/>
    <w:basedOn w:val="Standardstycketeckensnitt"/>
    <w:link w:val="Oformateradtext"/>
    <w:uiPriority w:val="99"/>
    <w:semiHidden/>
    <w:rsid w:val="00AC2989"/>
    <w:rPr>
      <w:rFonts w:eastAsiaTheme="minorHAnsi" w:cs="Consolas"/>
      <w:sz w:val="22"/>
      <w:szCs w:val="21"/>
      <w:lang w:eastAsia="en-US"/>
    </w:rPr>
  </w:style>
  <w:style w:type="character" w:customStyle="1" w:styleId="Rubrik2Char">
    <w:name w:val="Rubrik 2 Char"/>
    <w:basedOn w:val="Standardstycketeckensnitt"/>
    <w:link w:val="Rubrik2"/>
    <w:uiPriority w:val="9"/>
    <w:rsid w:val="00E04826"/>
    <w:rPr>
      <w:rFonts w:asciiTheme="majorHAnsi" w:eastAsiaTheme="majorEastAsia" w:hAnsiTheme="majorHAnsi" w:cstheme="majorBidi"/>
      <w:b/>
      <w:bCs/>
      <w:color w:val="4F81BD" w:themeColor="accent1"/>
      <w:sz w:val="26"/>
      <w:szCs w:val="26"/>
      <w:lang w:eastAsia="en-US"/>
    </w:rPr>
  </w:style>
  <w:style w:type="character" w:customStyle="1" w:styleId="Rubrik3Char">
    <w:name w:val="Rubrik 3 Char"/>
    <w:basedOn w:val="Standardstycketeckensnitt"/>
    <w:link w:val="Rubrik3"/>
    <w:uiPriority w:val="9"/>
    <w:semiHidden/>
    <w:rsid w:val="00E04826"/>
    <w:rPr>
      <w:rFonts w:asciiTheme="majorHAnsi" w:eastAsiaTheme="majorEastAsia" w:hAnsiTheme="majorHAnsi" w:cstheme="majorBidi"/>
      <w:b/>
      <w:bCs/>
      <w:color w:val="4F81BD" w:themeColor="accent1"/>
      <w:sz w:val="24"/>
      <w:lang w:eastAsia="en-US"/>
    </w:rPr>
  </w:style>
  <w:style w:type="character" w:styleId="Hyperlnk">
    <w:name w:val="Hyperlink"/>
    <w:basedOn w:val="Standardstycketeckensnitt"/>
    <w:uiPriority w:val="99"/>
    <w:semiHidden/>
    <w:unhideWhenUsed/>
    <w:rsid w:val="00E04826"/>
    <w:rPr>
      <w:color w:val="0000FF"/>
      <w:u w:val="single"/>
    </w:rPr>
  </w:style>
  <w:style w:type="paragraph" w:styleId="Normalwebb">
    <w:name w:val="Normal (Web)"/>
    <w:basedOn w:val="Normal"/>
    <w:uiPriority w:val="99"/>
    <w:unhideWhenUsed/>
    <w:rsid w:val="00E04826"/>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mw-headline">
    <w:name w:val="mw-headline"/>
    <w:basedOn w:val="Standardstycketeckensnitt"/>
    <w:rsid w:val="00E04826"/>
  </w:style>
  <w:style w:type="character" w:customStyle="1" w:styleId="editsection">
    <w:name w:val="editsection"/>
    <w:basedOn w:val="Standardstycketeckensnitt"/>
    <w:rsid w:val="00E04826"/>
  </w:style>
  <w:style w:type="paragraph" w:styleId="Liststycke">
    <w:name w:val="List Paragraph"/>
    <w:basedOn w:val="Normal"/>
    <w:uiPriority w:val="34"/>
    <w:qFormat/>
    <w:rsid w:val="009D32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946032">
      <w:bodyDiv w:val="1"/>
      <w:marLeft w:val="0"/>
      <w:marRight w:val="0"/>
      <w:marTop w:val="0"/>
      <w:marBottom w:val="0"/>
      <w:divBdr>
        <w:top w:val="none" w:sz="0" w:space="0" w:color="auto"/>
        <w:left w:val="none" w:sz="0" w:space="0" w:color="auto"/>
        <w:bottom w:val="none" w:sz="0" w:space="0" w:color="auto"/>
        <w:right w:val="none" w:sz="0" w:space="0" w:color="auto"/>
      </w:divBdr>
      <w:divsChild>
        <w:div w:id="479153351">
          <w:marLeft w:val="0"/>
          <w:marRight w:val="0"/>
          <w:marTop w:val="0"/>
          <w:marBottom w:val="0"/>
          <w:divBdr>
            <w:top w:val="none" w:sz="0" w:space="0" w:color="auto"/>
            <w:left w:val="none" w:sz="0" w:space="0" w:color="auto"/>
            <w:bottom w:val="none" w:sz="0" w:space="0" w:color="auto"/>
            <w:right w:val="none" w:sz="0" w:space="0" w:color="auto"/>
          </w:divBdr>
          <w:divsChild>
            <w:div w:id="1996883105">
              <w:marLeft w:val="0"/>
              <w:marRight w:val="0"/>
              <w:marTop w:val="0"/>
              <w:marBottom w:val="0"/>
              <w:divBdr>
                <w:top w:val="none" w:sz="0" w:space="0" w:color="auto"/>
                <w:left w:val="none" w:sz="0" w:space="0" w:color="auto"/>
                <w:bottom w:val="none" w:sz="0" w:space="0" w:color="auto"/>
                <w:right w:val="none" w:sz="0" w:space="0" w:color="auto"/>
              </w:divBdr>
              <w:divsChild>
                <w:div w:id="378746406">
                  <w:marLeft w:val="0"/>
                  <w:marRight w:val="0"/>
                  <w:marTop w:val="0"/>
                  <w:marBottom w:val="0"/>
                  <w:divBdr>
                    <w:top w:val="none" w:sz="0" w:space="0" w:color="auto"/>
                    <w:left w:val="none" w:sz="0" w:space="0" w:color="auto"/>
                    <w:bottom w:val="none" w:sz="0" w:space="0" w:color="auto"/>
                    <w:right w:val="none" w:sz="0" w:space="0" w:color="auto"/>
                  </w:divBdr>
                  <w:divsChild>
                    <w:div w:id="1103951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2886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30094\AppData\Local\Microsoft\Windows\Temporary%20Internet%20Files\Content.Outlook\5331ZW4Q\European%20Common%20Propos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European Common Proposal.dot</Template>
  <TotalTime>0</TotalTime>
  <Pages>4</Pages>
  <Words>1247</Words>
  <Characters>6611</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BT</Company>
  <LinksUpToDate>false</LinksUpToDate>
  <CharactersWithSpaces>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REDWIN, Paul</dc:creator>
  <cp:lastModifiedBy>PT A1</cp:lastModifiedBy>
  <cp:revision>2</cp:revision>
  <cp:lastPrinted>2011-11-09T10:05:00Z</cp:lastPrinted>
  <dcterms:created xsi:type="dcterms:W3CDTF">2011-11-17T13:02:00Z</dcterms:created>
  <dcterms:modified xsi:type="dcterms:W3CDTF">2011-11-17T13:02:00Z</dcterms:modified>
</cp:coreProperties>
</file>