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CB" w:rsidRPr="00C14625" w:rsidRDefault="001E04CB" w:rsidP="001E04CB">
      <w:pPr>
        <w:spacing w:after="0" w:line="240" w:lineRule="auto"/>
        <w:rPr>
          <w:rFonts w:ascii="Verdana" w:hAnsi="Verdana"/>
          <w:sz w:val="24"/>
        </w:rPr>
      </w:pPr>
    </w:p>
    <w:tbl>
      <w:tblPr>
        <w:tblW w:w="9645" w:type="dxa"/>
        <w:tblInd w:w="-72" w:type="dxa"/>
        <w:tblLayout w:type="fixed"/>
        <w:tblCellMar>
          <w:left w:w="70" w:type="dxa"/>
          <w:right w:w="70" w:type="dxa"/>
        </w:tblCellMar>
        <w:tblLook w:val="04A0" w:firstRow="1" w:lastRow="0" w:firstColumn="1" w:lastColumn="0" w:noHBand="0" w:noVBand="1"/>
      </w:tblPr>
      <w:tblGrid>
        <w:gridCol w:w="1844"/>
        <w:gridCol w:w="2498"/>
        <w:gridCol w:w="1732"/>
        <w:gridCol w:w="3571"/>
      </w:tblGrid>
      <w:tr w:rsidR="001E04CB" w:rsidRPr="00C14625" w:rsidTr="00C215FF">
        <w:trPr>
          <w:cantSplit/>
        </w:trPr>
        <w:tc>
          <w:tcPr>
            <w:tcW w:w="6074" w:type="dxa"/>
            <w:gridSpan w:val="3"/>
          </w:tcPr>
          <w:p w:rsidR="001E04CB" w:rsidRPr="00C14625" w:rsidRDefault="001E04CB" w:rsidP="00C215FF">
            <w:pPr>
              <w:tabs>
                <w:tab w:val="center" w:pos="4536"/>
                <w:tab w:val="right" w:pos="9072"/>
              </w:tabs>
              <w:spacing w:after="0" w:line="240" w:lineRule="auto"/>
              <w:rPr>
                <w:rFonts w:ascii="Arial" w:hAnsi="Arial"/>
                <w:b/>
                <w:szCs w:val="20"/>
                <w:lang w:val="nb-NO" w:eastAsia="de-DE"/>
              </w:rPr>
            </w:pPr>
          </w:p>
          <w:p w:rsidR="001E04CB" w:rsidRPr="00C14625" w:rsidRDefault="001E04CB" w:rsidP="00C215FF">
            <w:pPr>
              <w:tabs>
                <w:tab w:val="center" w:pos="4536"/>
                <w:tab w:val="right" w:pos="9072"/>
              </w:tabs>
              <w:spacing w:after="0" w:line="240" w:lineRule="auto"/>
              <w:rPr>
                <w:rFonts w:ascii="Arial" w:hAnsi="Arial"/>
                <w:b/>
                <w:szCs w:val="20"/>
                <w:lang w:val="nb-NO" w:eastAsia="de-DE"/>
              </w:rPr>
            </w:pPr>
            <w:bookmarkStart w:id="0" w:name="_GoBack"/>
            <w:bookmarkEnd w:id="0"/>
            <w:r>
              <w:rPr>
                <w:rFonts w:ascii="Arial" w:hAnsi="Arial"/>
                <w:b/>
                <w:noProof/>
                <w:szCs w:val="20"/>
                <w:lang w:val="sv-SE" w:eastAsia="sv-SE"/>
              </w:rPr>
              <w:drawing>
                <wp:inline distT="0" distB="0" distL="0" distR="0">
                  <wp:extent cx="1943100" cy="5334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rsidR="001E04CB" w:rsidRPr="00C14625" w:rsidRDefault="001E04CB" w:rsidP="00C215FF">
            <w:pPr>
              <w:tabs>
                <w:tab w:val="center" w:pos="4536"/>
                <w:tab w:val="right" w:pos="9072"/>
              </w:tabs>
              <w:spacing w:after="0" w:line="240" w:lineRule="auto"/>
              <w:rPr>
                <w:rFonts w:ascii="Arial" w:hAnsi="Arial" w:cs="Arial"/>
                <w:b/>
                <w:color w:val="000000"/>
                <w:szCs w:val="20"/>
                <w:lang w:val="en-GB" w:eastAsia="de-DE"/>
              </w:rPr>
            </w:pPr>
          </w:p>
        </w:tc>
        <w:tc>
          <w:tcPr>
            <w:tcW w:w="3571" w:type="dxa"/>
            <w:hideMark/>
          </w:tcPr>
          <w:p w:rsidR="001E04CB" w:rsidRPr="00C14625" w:rsidRDefault="001E04CB" w:rsidP="00C215FF">
            <w:pPr>
              <w:tabs>
                <w:tab w:val="right" w:pos="3357"/>
                <w:tab w:val="right" w:pos="9072"/>
              </w:tabs>
              <w:spacing w:after="0" w:line="240" w:lineRule="auto"/>
              <w:rPr>
                <w:rFonts w:ascii="Arial" w:hAnsi="Arial"/>
                <w:b/>
                <w:szCs w:val="20"/>
                <w:lang w:val="nb-NO" w:eastAsia="de-DE"/>
              </w:rPr>
            </w:pPr>
            <w:r w:rsidRPr="00C14625">
              <w:rPr>
                <w:rFonts w:ascii="Arial" w:hAnsi="Arial"/>
                <w:b/>
                <w:szCs w:val="20"/>
                <w:lang w:val="nb-NO" w:eastAsia="de-DE"/>
              </w:rPr>
              <w:tab/>
              <w:t>Doc. Com-ITU(11) 0</w:t>
            </w:r>
            <w:r>
              <w:rPr>
                <w:rFonts w:ascii="Arial" w:hAnsi="Arial"/>
                <w:b/>
                <w:szCs w:val="20"/>
                <w:lang w:val="nb-NO" w:eastAsia="de-DE"/>
              </w:rPr>
              <w:t>69</w:t>
            </w:r>
          </w:p>
        </w:tc>
      </w:tr>
      <w:tr w:rsidR="001E04CB" w:rsidRPr="00C14625" w:rsidTr="00C215FF">
        <w:trPr>
          <w:cantSplit/>
          <w:trHeight w:val="405"/>
        </w:trPr>
        <w:tc>
          <w:tcPr>
            <w:tcW w:w="4342" w:type="dxa"/>
            <w:gridSpan w:val="2"/>
            <w:tcMar>
              <w:top w:w="0" w:type="dxa"/>
              <w:left w:w="108" w:type="dxa"/>
              <w:bottom w:w="0" w:type="dxa"/>
              <w:right w:w="108" w:type="dxa"/>
            </w:tcMar>
            <w:vAlign w:val="center"/>
            <w:hideMark/>
          </w:tcPr>
          <w:p w:rsidR="001E04CB" w:rsidRPr="00C14625" w:rsidRDefault="001E04CB" w:rsidP="00C215FF">
            <w:pPr>
              <w:tabs>
                <w:tab w:val="center" w:pos="4536"/>
                <w:tab w:val="right" w:pos="9072"/>
              </w:tabs>
              <w:spacing w:after="0" w:line="240" w:lineRule="auto"/>
              <w:rPr>
                <w:rFonts w:ascii="Arial" w:hAnsi="Arial"/>
                <w:b/>
                <w:szCs w:val="20"/>
                <w:lang w:val="nb-NO" w:eastAsia="de-DE"/>
              </w:rPr>
            </w:pPr>
            <w:r w:rsidRPr="00C14625">
              <w:rPr>
                <w:rFonts w:ascii="Arial" w:hAnsi="Arial"/>
                <w:b/>
                <w:szCs w:val="20"/>
                <w:lang w:val="nb-NO" w:eastAsia="de-DE"/>
              </w:rPr>
              <w:t xml:space="preserve">Copenhagen, </w:t>
            </w:r>
          </w:p>
          <w:p w:rsidR="001E04CB" w:rsidRPr="00C14625" w:rsidRDefault="001E04CB" w:rsidP="00C215FF">
            <w:pPr>
              <w:tabs>
                <w:tab w:val="center" w:pos="4536"/>
                <w:tab w:val="right" w:pos="9072"/>
              </w:tabs>
              <w:spacing w:after="0" w:line="240" w:lineRule="auto"/>
              <w:rPr>
                <w:rFonts w:ascii="Arial" w:hAnsi="Arial"/>
                <w:b/>
                <w:szCs w:val="20"/>
                <w:lang w:val="nb-NO" w:eastAsia="de-DE"/>
              </w:rPr>
            </w:pPr>
            <w:r w:rsidRPr="00C14625">
              <w:rPr>
                <w:rFonts w:ascii="Arial" w:hAnsi="Arial"/>
                <w:b/>
                <w:szCs w:val="20"/>
                <w:lang w:val="nb-NO" w:eastAsia="de-DE"/>
              </w:rPr>
              <w:t>30 November – 2 December 2011</w:t>
            </w:r>
          </w:p>
        </w:tc>
        <w:tc>
          <w:tcPr>
            <w:tcW w:w="5303" w:type="dxa"/>
            <w:gridSpan w:val="2"/>
            <w:tcMar>
              <w:top w:w="0" w:type="dxa"/>
              <w:left w:w="108" w:type="dxa"/>
              <w:bottom w:w="0" w:type="dxa"/>
              <w:right w:w="108" w:type="dxa"/>
            </w:tcMar>
            <w:vAlign w:val="center"/>
          </w:tcPr>
          <w:p w:rsidR="001E04CB" w:rsidRPr="00C14625" w:rsidRDefault="001E04CB" w:rsidP="00C215FF">
            <w:pPr>
              <w:tabs>
                <w:tab w:val="center" w:pos="4536"/>
                <w:tab w:val="right" w:pos="9072"/>
              </w:tabs>
              <w:spacing w:after="0" w:line="240" w:lineRule="auto"/>
              <w:rPr>
                <w:rFonts w:ascii="Arial" w:hAnsi="Arial"/>
                <w:b/>
                <w:szCs w:val="20"/>
                <w:lang w:val="en-GB" w:eastAsia="de-DE"/>
              </w:rPr>
            </w:pPr>
          </w:p>
        </w:tc>
      </w:tr>
      <w:tr w:rsidR="001E04CB" w:rsidRPr="00C14625" w:rsidTr="00C215FF">
        <w:trPr>
          <w:cantSplit/>
          <w:trHeight w:val="80"/>
        </w:trPr>
        <w:tc>
          <w:tcPr>
            <w:tcW w:w="4342" w:type="dxa"/>
            <w:gridSpan w:val="2"/>
            <w:tcMar>
              <w:top w:w="0" w:type="dxa"/>
              <w:left w:w="108" w:type="dxa"/>
              <w:bottom w:w="0" w:type="dxa"/>
              <w:right w:w="108" w:type="dxa"/>
            </w:tcMar>
            <w:vAlign w:val="center"/>
          </w:tcPr>
          <w:p w:rsidR="001E04CB" w:rsidRPr="00C14625" w:rsidRDefault="001E04CB" w:rsidP="00C215FF">
            <w:pPr>
              <w:tabs>
                <w:tab w:val="center" w:pos="4536"/>
                <w:tab w:val="right" w:pos="9072"/>
              </w:tabs>
              <w:spacing w:after="0" w:line="240" w:lineRule="auto"/>
              <w:rPr>
                <w:rFonts w:ascii="Arial" w:hAnsi="Arial"/>
                <w:b/>
                <w:sz w:val="8"/>
                <w:szCs w:val="20"/>
                <w:lang w:val="nb-NO" w:eastAsia="de-DE"/>
              </w:rPr>
            </w:pPr>
          </w:p>
        </w:tc>
        <w:tc>
          <w:tcPr>
            <w:tcW w:w="5303" w:type="dxa"/>
            <w:gridSpan w:val="2"/>
            <w:tcMar>
              <w:top w:w="0" w:type="dxa"/>
              <w:left w:w="108" w:type="dxa"/>
              <w:bottom w:w="0" w:type="dxa"/>
              <w:right w:w="108" w:type="dxa"/>
            </w:tcMar>
            <w:vAlign w:val="center"/>
          </w:tcPr>
          <w:p w:rsidR="001E04CB" w:rsidRPr="00C14625" w:rsidRDefault="001E04CB" w:rsidP="00C215FF">
            <w:pPr>
              <w:tabs>
                <w:tab w:val="center" w:pos="4536"/>
                <w:tab w:val="right" w:pos="9072"/>
              </w:tabs>
              <w:spacing w:after="0" w:line="240" w:lineRule="auto"/>
              <w:rPr>
                <w:rFonts w:ascii="Arial" w:hAnsi="Arial"/>
                <w:b/>
                <w:sz w:val="8"/>
                <w:szCs w:val="20"/>
                <w:lang w:val="en-GB" w:eastAsia="de-DE"/>
              </w:rPr>
            </w:pPr>
          </w:p>
        </w:tc>
      </w:tr>
      <w:tr w:rsidR="001E04CB" w:rsidRPr="00C14625" w:rsidTr="00C215FF">
        <w:trPr>
          <w:cantSplit/>
          <w:trHeight w:val="405"/>
        </w:trPr>
        <w:tc>
          <w:tcPr>
            <w:tcW w:w="1844" w:type="dxa"/>
            <w:tcMar>
              <w:top w:w="0" w:type="dxa"/>
              <w:left w:w="108" w:type="dxa"/>
              <w:bottom w:w="0" w:type="dxa"/>
              <w:right w:w="108" w:type="dxa"/>
            </w:tcMar>
            <w:vAlign w:val="center"/>
            <w:hideMark/>
          </w:tcPr>
          <w:p w:rsidR="001E04CB" w:rsidRDefault="001E04CB" w:rsidP="00C215FF">
            <w:pPr>
              <w:tabs>
                <w:tab w:val="center" w:pos="4536"/>
                <w:tab w:val="right" w:pos="9072"/>
              </w:tabs>
              <w:spacing w:after="0" w:line="240" w:lineRule="auto"/>
              <w:rPr>
                <w:rFonts w:ascii="Arial" w:hAnsi="Arial"/>
                <w:b/>
                <w:szCs w:val="20"/>
                <w:lang w:val="nb-NO" w:eastAsia="de-DE"/>
              </w:rPr>
            </w:pPr>
          </w:p>
          <w:p w:rsidR="001E04CB" w:rsidRPr="00C14625" w:rsidRDefault="001E04CB" w:rsidP="00C215FF">
            <w:pPr>
              <w:tabs>
                <w:tab w:val="center" w:pos="4536"/>
                <w:tab w:val="right" w:pos="9072"/>
              </w:tabs>
              <w:spacing w:after="0" w:line="240" w:lineRule="auto"/>
              <w:rPr>
                <w:rFonts w:ascii="Arial" w:hAnsi="Arial"/>
                <w:b/>
                <w:szCs w:val="20"/>
                <w:lang w:val="nb-NO" w:eastAsia="de-DE"/>
              </w:rPr>
            </w:pPr>
            <w:r w:rsidRPr="00C14625">
              <w:rPr>
                <w:rFonts w:ascii="Arial" w:hAnsi="Arial"/>
                <w:b/>
                <w:szCs w:val="20"/>
                <w:lang w:val="nb-NO" w:eastAsia="de-DE"/>
              </w:rPr>
              <w:t>Date issued:</w:t>
            </w:r>
          </w:p>
        </w:tc>
        <w:tc>
          <w:tcPr>
            <w:tcW w:w="7801" w:type="dxa"/>
            <w:gridSpan w:val="3"/>
            <w:tcMar>
              <w:top w:w="0" w:type="dxa"/>
              <w:left w:w="108" w:type="dxa"/>
              <w:bottom w:w="0" w:type="dxa"/>
              <w:right w:w="108" w:type="dxa"/>
            </w:tcMar>
            <w:vAlign w:val="center"/>
            <w:hideMark/>
          </w:tcPr>
          <w:p w:rsidR="001E04CB" w:rsidRDefault="001E04CB" w:rsidP="00C215FF">
            <w:pPr>
              <w:tabs>
                <w:tab w:val="center" w:pos="4536"/>
                <w:tab w:val="right" w:pos="9072"/>
              </w:tabs>
              <w:spacing w:after="0" w:line="240" w:lineRule="auto"/>
              <w:rPr>
                <w:rFonts w:ascii="Arial" w:hAnsi="Arial"/>
                <w:b/>
                <w:szCs w:val="20"/>
                <w:lang w:val="en-GB" w:eastAsia="de-DE"/>
              </w:rPr>
            </w:pPr>
          </w:p>
          <w:p w:rsidR="001E04CB" w:rsidRPr="00C14625" w:rsidRDefault="001E04CB" w:rsidP="00C215FF">
            <w:pPr>
              <w:tabs>
                <w:tab w:val="center" w:pos="4536"/>
                <w:tab w:val="right" w:pos="9072"/>
              </w:tabs>
              <w:spacing w:after="0" w:line="240" w:lineRule="auto"/>
              <w:rPr>
                <w:rFonts w:ascii="Arial" w:hAnsi="Arial"/>
                <w:b/>
                <w:szCs w:val="20"/>
                <w:lang w:val="en-GB" w:eastAsia="de-DE"/>
              </w:rPr>
            </w:pPr>
            <w:r>
              <w:rPr>
                <w:rFonts w:ascii="Arial" w:hAnsi="Arial"/>
                <w:b/>
                <w:szCs w:val="20"/>
                <w:lang w:val="en-GB" w:eastAsia="de-DE"/>
              </w:rPr>
              <w:t>25</w:t>
            </w:r>
            <w:r w:rsidRPr="00C14625">
              <w:rPr>
                <w:rFonts w:ascii="Arial" w:hAnsi="Arial"/>
                <w:b/>
                <w:szCs w:val="20"/>
                <w:lang w:val="en-GB" w:eastAsia="de-DE"/>
              </w:rPr>
              <w:t xml:space="preserve"> November 2011</w:t>
            </w:r>
          </w:p>
        </w:tc>
      </w:tr>
      <w:tr w:rsidR="001E04CB" w:rsidRPr="00C14625" w:rsidTr="00C215FF">
        <w:trPr>
          <w:cantSplit/>
          <w:trHeight w:val="405"/>
        </w:trPr>
        <w:tc>
          <w:tcPr>
            <w:tcW w:w="1844" w:type="dxa"/>
            <w:tcMar>
              <w:top w:w="0" w:type="dxa"/>
              <w:left w:w="108" w:type="dxa"/>
              <w:bottom w:w="0" w:type="dxa"/>
              <w:right w:w="108" w:type="dxa"/>
            </w:tcMar>
            <w:vAlign w:val="center"/>
            <w:hideMark/>
          </w:tcPr>
          <w:p w:rsidR="001E04CB" w:rsidRPr="00C14625" w:rsidRDefault="001E04CB" w:rsidP="00C215FF">
            <w:pPr>
              <w:tabs>
                <w:tab w:val="center" w:pos="4536"/>
                <w:tab w:val="right" w:pos="9072"/>
              </w:tabs>
              <w:spacing w:after="0" w:line="240" w:lineRule="auto"/>
              <w:rPr>
                <w:rFonts w:ascii="Arial" w:hAnsi="Arial"/>
                <w:b/>
                <w:szCs w:val="20"/>
                <w:lang w:val="nb-NO" w:eastAsia="de-DE"/>
              </w:rPr>
            </w:pPr>
            <w:r w:rsidRPr="00C14625">
              <w:rPr>
                <w:rFonts w:ascii="Arial" w:hAnsi="Arial"/>
                <w:b/>
                <w:szCs w:val="20"/>
                <w:lang w:val="nb-NO" w:eastAsia="de-DE"/>
              </w:rPr>
              <w:t>Source:</w:t>
            </w:r>
          </w:p>
        </w:tc>
        <w:tc>
          <w:tcPr>
            <w:tcW w:w="7801" w:type="dxa"/>
            <w:gridSpan w:val="3"/>
            <w:tcMar>
              <w:top w:w="0" w:type="dxa"/>
              <w:left w:w="108" w:type="dxa"/>
              <w:bottom w:w="0" w:type="dxa"/>
              <w:right w:w="108" w:type="dxa"/>
            </w:tcMar>
            <w:vAlign w:val="center"/>
            <w:hideMark/>
          </w:tcPr>
          <w:p w:rsidR="001E04CB" w:rsidRPr="00C14625" w:rsidRDefault="001E04CB" w:rsidP="00C215FF">
            <w:pPr>
              <w:tabs>
                <w:tab w:val="center" w:pos="4536"/>
                <w:tab w:val="right" w:pos="9072"/>
              </w:tabs>
              <w:spacing w:after="0" w:line="240" w:lineRule="auto"/>
              <w:rPr>
                <w:rFonts w:ascii="Arial" w:hAnsi="Arial"/>
                <w:b/>
                <w:szCs w:val="20"/>
                <w:lang w:val="en-GB" w:eastAsia="de-DE"/>
              </w:rPr>
            </w:pPr>
            <w:r>
              <w:rPr>
                <w:rFonts w:ascii="Arial" w:hAnsi="Arial"/>
                <w:b/>
                <w:szCs w:val="20"/>
                <w:lang w:val="en-GB" w:eastAsia="de-DE"/>
              </w:rPr>
              <w:t>Czech Republic</w:t>
            </w:r>
          </w:p>
        </w:tc>
      </w:tr>
      <w:tr w:rsidR="001E04CB" w:rsidRPr="00C14625" w:rsidTr="00C215FF">
        <w:trPr>
          <w:cantSplit/>
          <w:trHeight w:val="405"/>
        </w:trPr>
        <w:tc>
          <w:tcPr>
            <w:tcW w:w="1844" w:type="dxa"/>
            <w:tcMar>
              <w:top w:w="0" w:type="dxa"/>
              <w:left w:w="108" w:type="dxa"/>
              <w:bottom w:w="0" w:type="dxa"/>
              <w:right w:w="108" w:type="dxa"/>
            </w:tcMar>
            <w:vAlign w:val="center"/>
            <w:hideMark/>
          </w:tcPr>
          <w:p w:rsidR="001E04CB" w:rsidRPr="00C14625" w:rsidRDefault="001E04CB" w:rsidP="00C215FF">
            <w:pPr>
              <w:tabs>
                <w:tab w:val="center" w:pos="4536"/>
                <w:tab w:val="right" w:pos="9072"/>
              </w:tabs>
              <w:spacing w:after="0" w:line="240" w:lineRule="auto"/>
              <w:rPr>
                <w:rFonts w:ascii="Arial" w:hAnsi="Arial"/>
                <w:b/>
                <w:szCs w:val="20"/>
                <w:lang w:val="en-GB" w:eastAsia="de-DE"/>
              </w:rPr>
            </w:pPr>
            <w:r w:rsidRPr="00C14625">
              <w:rPr>
                <w:rFonts w:ascii="Arial" w:hAnsi="Arial"/>
                <w:b/>
                <w:szCs w:val="20"/>
                <w:lang w:val="en-GB" w:eastAsia="de-DE"/>
              </w:rPr>
              <w:t>Subject:</w:t>
            </w:r>
          </w:p>
        </w:tc>
        <w:tc>
          <w:tcPr>
            <w:tcW w:w="7801" w:type="dxa"/>
            <w:gridSpan w:val="3"/>
            <w:tcMar>
              <w:top w:w="0" w:type="dxa"/>
              <w:left w:w="108" w:type="dxa"/>
              <w:bottom w:w="0" w:type="dxa"/>
              <w:right w:w="108" w:type="dxa"/>
            </w:tcMar>
            <w:vAlign w:val="center"/>
            <w:hideMark/>
          </w:tcPr>
          <w:p w:rsidR="001E04CB" w:rsidRPr="00C14625" w:rsidRDefault="001E04CB" w:rsidP="00C215FF">
            <w:pPr>
              <w:tabs>
                <w:tab w:val="center" w:pos="4536"/>
                <w:tab w:val="right" w:pos="9072"/>
              </w:tabs>
              <w:spacing w:after="0" w:line="240" w:lineRule="auto"/>
              <w:rPr>
                <w:rFonts w:ascii="Arial" w:hAnsi="Arial"/>
                <w:b/>
                <w:szCs w:val="20"/>
                <w:lang w:val="en-GB" w:eastAsia="de-DE"/>
              </w:rPr>
            </w:pPr>
            <w:r>
              <w:rPr>
                <w:rFonts w:ascii="Arial" w:hAnsi="Arial"/>
                <w:b/>
                <w:szCs w:val="20"/>
                <w:lang w:val="en-GB" w:eastAsia="de-DE"/>
              </w:rPr>
              <w:t>ITR Double taxation</w:t>
            </w:r>
          </w:p>
        </w:tc>
      </w:tr>
    </w:tbl>
    <w:p w:rsidR="001E04CB" w:rsidRPr="00C14625" w:rsidRDefault="001E04CB" w:rsidP="001E04CB">
      <w:pPr>
        <w:spacing w:after="0" w:line="240" w:lineRule="auto"/>
        <w:rPr>
          <w:rFonts w:ascii="Arial" w:hAnsi="Arial"/>
          <w:szCs w:val="20"/>
          <w:lang w:eastAsia="de-DE"/>
        </w:rPr>
      </w:pPr>
      <w:r>
        <w:rPr>
          <w:rFonts w:ascii="Arial" w:hAnsi="Arial"/>
          <w:noProof/>
          <w:szCs w:val="20"/>
          <w:lang w:val="sv-SE" w:eastAsia="sv-S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1E04CB" w:rsidRDefault="001E04CB" w:rsidP="001E04CB">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">
                <v:textbox>
                  <w:txbxContent>
                    <w:p w:rsidR="001E04CB" w:rsidRDefault="001E04CB" w:rsidP="001E04CB">
                      <w:pPr>
                        <w:jc w:val="center"/>
                        <w:rPr>
                          <w:rFonts w:cs="Arial"/>
                          <w:lang w:val="de-DE"/>
                        </w:rPr>
                      </w:pPr>
                      <w:r>
                        <w:rPr>
                          <w:rFonts w:cs="Arial"/>
                          <w:lang w:val="de-DE"/>
                        </w:rPr>
                        <w:t>N</w:t>
                      </w:r>
                    </w:p>
                  </w:txbxContent>
                </v:textbox>
                <w10:wrap type="tight"/>
              </v:shape>
            </w:pict>
          </mc:Fallback>
        </mc:AlternateContent>
      </w:r>
    </w:p>
    <w:p w:rsidR="001E04CB" w:rsidRPr="00C14625" w:rsidRDefault="001E04CB" w:rsidP="001E04CB">
      <w:pPr>
        <w:spacing w:after="0" w:line="240" w:lineRule="auto"/>
        <w:rPr>
          <w:rFonts w:ascii="Times New Roman" w:hAnsi="Times New Roman"/>
          <w:sz w:val="20"/>
          <w:lang w:val="en-GB"/>
        </w:rPr>
      </w:pPr>
      <w:r w:rsidRPr="00C14625">
        <w:rPr>
          <w:rFonts w:ascii="Times New Roman" w:hAnsi="Times New Roman"/>
          <w:sz w:val="20"/>
          <w:lang w:val="en-GB"/>
        </w:rPr>
        <w:t xml:space="preserve">Password protection required? (Y/N) </w:t>
      </w:r>
    </w:p>
    <w:p w:rsidR="001E04CB" w:rsidRPr="00C14625" w:rsidRDefault="001E04CB" w:rsidP="001E04CB">
      <w:pPr>
        <w:spacing w:after="120" w:line="240" w:lineRule="auto"/>
        <w:jc w:val="center"/>
        <w:rPr>
          <w:rFonts w:ascii="Arial" w:hAnsi="Arial"/>
          <w:b/>
          <w:sz w:val="28"/>
          <w:szCs w:val="20"/>
          <w:lang w:val="en-GB"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0"/>
      </w:tblGrid>
      <w:tr w:rsidR="001E04CB" w:rsidRPr="00C14625" w:rsidTr="00C215FF">
        <w:trPr>
          <w:cantSplit/>
          <w:trHeight w:val="446"/>
        </w:trPr>
        <w:tc>
          <w:tcPr>
            <w:tcW w:w="9640" w:type="dxa"/>
            <w:tcBorders>
              <w:top w:val="single" w:sz="4" w:space="0" w:color="auto"/>
              <w:left w:val="single" w:sz="4" w:space="0" w:color="auto"/>
              <w:bottom w:val="nil"/>
              <w:right w:val="single" w:sz="4" w:space="0" w:color="auto"/>
            </w:tcBorders>
            <w:hideMark/>
          </w:tcPr>
          <w:p w:rsidR="001E04CB" w:rsidRPr="00C14625" w:rsidRDefault="001E04CB" w:rsidP="00C215FF">
            <w:pPr>
              <w:tabs>
                <w:tab w:val="center" w:pos="4536"/>
                <w:tab w:val="right" w:pos="9072"/>
              </w:tabs>
              <w:spacing w:after="0" w:line="240" w:lineRule="auto"/>
              <w:rPr>
                <w:rFonts w:ascii="Arial" w:hAnsi="Arial"/>
                <w:b/>
                <w:szCs w:val="20"/>
                <w:lang w:eastAsia="de-DE"/>
              </w:rPr>
            </w:pPr>
            <w:r w:rsidRPr="00C14625">
              <w:rPr>
                <w:rFonts w:ascii="Arial" w:hAnsi="Arial"/>
                <w:b/>
                <w:szCs w:val="20"/>
                <w:lang w:eastAsia="de-DE"/>
              </w:rPr>
              <w:t xml:space="preserve">Summary: </w:t>
            </w:r>
          </w:p>
        </w:tc>
      </w:tr>
      <w:tr w:rsidR="001E04CB" w:rsidRPr="00C14625" w:rsidTr="00C215FF">
        <w:trPr>
          <w:cantSplit/>
          <w:trHeight w:val="1112"/>
        </w:trPr>
        <w:tc>
          <w:tcPr>
            <w:tcW w:w="9640" w:type="dxa"/>
            <w:tcBorders>
              <w:top w:val="nil"/>
              <w:left w:val="single" w:sz="4" w:space="0" w:color="auto"/>
              <w:bottom w:val="single" w:sz="4" w:space="0" w:color="auto"/>
              <w:right w:val="single" w:sz="4" w:space="0" w:color="auto"/>
            </w:tcBorders>
          </w:tcPr>
          <w:p w:rsidR="001E04CB" w:rsidRPr="00C14625" w:rsidRDefault="001E04CB" w:rsidP="00C215FF">
            <w:pPr>
              <w:spacing w:after="120" w:line="240" w:lineRule="auto"/>
              <w:jc w:val="both"/>
              <w:rPr>
                <w:rFonts w:ascii="Arial" w:hAnsi="Arial"/>
                <w:lang w:val="nb-NO" w:eastAsia="de-DE"/>
              </w:rPr>
            </w:pPr>
          </w:p>
        </w:tc>
      </w:tr>
      <w:tr w:rsidR="001E04CB" w:rsidRPr="00C14625" w:rsidTr="00C215FF">
        <w:trPr>
          <w:cantSplit/>
          <w:trHeight w:val="443"/>
        </w:trPr>
        <w:tc>
          <w:tcPr>
            <w:tcW w:w="9640" w:type="dxa"/>
            <w:tcBorders>
              <w:top w:val="single" w:sz="4" w:space="0" w:color="auto"/>
              <w:left w:val="single" w:sz="4" w:space="0" w:color="auto"/>
              <w:bottom w:val="nil"/>
              <w:right w:val="single" w:sz="4" w:space="0" w:color="auto"/>
            </w:tcBorders>
            <w:hideMark/>
          </w:tcPr>
          <w:p w:rsidR="001E04CB" w:rsidRPr="00C14625" w:rsidRDefault="001E04CB" w:rsidP="00C215FF">
            <w:pPr>
              <w:tabs>
                <w:tab w:val="center" w:pos="4536"/>
                <w:tab w:val="right" w:pos="9072"/>
              </w:tabs>
              <w:spacing w:after="0" w:line="240" w:lineRule="auto"/>
              <w:rPr>
                <w:rFonts w:ascii="Arial" w:hAnsi="Arial"/>
                <w:b/>
                <w:szCs w:val="20"/>
                <w:lang w:eastAsia="de-DE"/>
              </w:rPr>
            </w:pPr>
            <w:r w:rsidRPr="00C14625">
              <w:rPr>
                <w:rFonts w:ascii="Arial" w:hAnsi="Arial"/>
                <w:b/>
                <w:szCs w:val="20"/>
                <w:lang w:eastAsia="de-DE"/>
              </w:rPr>
              <w:t xml:space="preserve">Proposal: </w:t>
            </w:r>
          </w:p>
        </w:tc>
      </w:tr>
      <w:tr w:rsidR="001E04CB" w:rsidRPr="00C14625" w:rsidTr="00C215FF">
        <w:trPr>
          <w:cantSplit/>
          <w:trHeight w:val="945"/>
        </w:trPr>
        <w:tc>
          <w:tcPr>
            <w:tcW w:w="9640" w:type="dxa"/>
            <w:tcBorders>
              <w:top w:val="nil"/>
              <w:left w:val="single" w:sz="4" w:space="0" w:color="auto"/>
              <w:bottom w:val="single" w:sz="4" w:space="0" w:color="auto"/>
              <w:right w:val="single" w:sz="4" w:space="0" w:color="auto"/>
            </w:tcBorders>
          </w:tcPr>
          <w:p w:rsidR="001E04CB" w:rsidRPr="00C14625" w:rsidRDefault="001E04CB" w:rsidP="00C215FF">
            <w:pPr>
              <w:spacing w:after="0" w:line="240" w:lineRule="auto"/>
              <w:rPr>
                <w:rFonts w:ascii="Arial" w:hAnsi="Arial"/>
                <w:lang w:eastAsia="de-DE"/>
              </w:rPr>
            </w:pPr>
            <w:r w:rsidRPr="00C14625">
              <w:rPr>
                <w:rFonts w:ascii="Times New Roman" w:hAnsi="Times New Roman"/>
                <w:sz w:val="20"/>
              </w:rPr>
              <w:t>For consideration.</w:t>
            </w:r>
          </w:p>
          <w:p w:rsidR="001E04CB" w:rsidRPr="00C14625" w:rsidRDefault="001E04CB" w:rsidP="00C215FF">
            <w:pPr>
              <w:spacing w:after="120" w:line="240" w:lineRule="auto"/>
              <w:jc w:val="both"/>
              <w:rPr>
                <w:rFonts w:ascii="Arial" w:hAnsi="Arial"/>
                <w:lang w:eastAsia="de-DE"/>
              </w:rPr>
            </w:pPr>
          </w:p>
        </w:tc>
      </w:tr>
      <w:tr w:rsidR="001E04CB" w:rsidRPr="00C14625" w:rsidTr="00C215FF">
        <w:trPr>
          <w:cantSplit/>
          <w:trHeight w:val="431"/>
        </w:trPr>
        <w:tc>
          <w:tcPr>
            <w:tcW w:w="9640" w:type="dxa"/>
            <w:tcBorders>
              <w:top w:val="single" w:sz="4" w:space="0" w:color="auto"/>
              <w:left w:val="single" w:sz="4" w:space="0" w:color="auto"/>
              <w:bottom w:val="nil"/>
              <w:right w:val="single" w:sz="4" w:space="0" w:color="auto"/>
            </w:tcBorders>
            <w:hideMark/>
          </w:tcPr>
          <w:p w:rsidR="001E04CB" w:rsidRPr="00C14625" w:rsidRDefault="001E04CB" w:rsidP="00C215FF">
            <w:pPr>
              <w:tabs>
                <w:tab w:val="center" w:pos="4536"/>
                <w:tab w:val="right" w:pos="9072"/>
              </w:tabs>
              <w:spacing w:after="0" w:line="240" w:lineRule="auto"/>
              <w:rPr>
                <w:rFonts w:ascii="Arial" w:hAnsi="Arial"/>
                <w:b/>
                <w:szCs w:val="20"/>
                <w:lang w:eastAsia="de-DE"/>
              </w:rPr>
            </w:pPr>
            <w:r w:rsidRPr="00C14625">
              <w:rPr>
                <w:rFonts w:ascii="Arial" w:hAnsi="Arial"/>
                <w:b/>
                <w:szCs w:val="20"/>
                <w:lang w:eastAsia="de-DE"/>
              </w:rPr>
              <w:t xml:space="preserve">Background: </w:t>
            </w:r>
          </w:p>
        </w:tc>
      </w:tr>
      <w:tr w:rsidR="001E04CB" w:rsidRPr="00C14625" w:rsidTr="00C215FF">
        <w:trPr>
          <w:cantSplit/>
          <w:trHeight w:val="784"/>
        </w:trPr>
        <w:tc>
          <w:tcPr>
            <w:tcW w:w="9640" w:type="dxa"/>
            <w:tcBorders>
              <w:top w:val="nil"/>
              <w:left w:val="single" w:sz="4" w:space="0" w:color="auto"/>
              <w:bottom w:val="single" w:sz="4" w:space="0" w:color="auto"/>
              <w:right w:val="single" w:sz="4" w:space="0" w:color="auto"/>
            </w:tcBorders>
          </w:tcPr>
          <w:p w:rsidR="001E04CB" w:rsidRPr="00C14625" w:rsidRDefault="001E04CB" w:rsidP="00C215FF">
            <w:pPr>
              <w:spacing w:after="120" w:line="240" w:lineRule="auto"/>
              <w:jc w:val="both"/>
              <w:rPr>
                <w:rFonts w:ascii="Arial" w:hAnsi="Arial"/>
                <w:bCs/>
                <w:lang w:val="en-GB" w:eastAsia="de-DE"/>
              </w:rPr>
            </w:pPr>
          </w:p>
        </w:tc>
      </w:tr>
    </w:tbl>
    <w:p w:rsidR="001E04CB" w:rsidRDefault="001E04CB" w:rsidP="001E04CB">
      <w:r>
        <w:br w:type="page"/>
      </w:r>
    </w:p>
    <w:tbl>
      <w:tblPr>
        <w:tblW w:w="9639" w:type="dxa"/>
        <w:tblCellMar>
          <w:left w:w="0" w:type="dxa"/>
          <w:right w:w="0" w:type="dxa"/>
        </w:tblCellMar>
        <w:tblLook w:val="04A0" w:firstRow="1" w:lastRow="0" w:firstColumn="1" w:lastColumn="0" w:noHBand="0" w:noVBand="1"/>
      </w:tblPr>
      <w:tblGrid>
        <w:gridCol w:w="2268"/>
        <w:gridCol w:w="142"/>
        <w:gridCol w:w="7229"/>
      </w:tblGrid>
      <w:tr w:rsidR="001E04CB" w:rsidRPr="00F0517B" w:rsidTr="00C215FF">
        <w:trPr>
          <w:trHeight w:val="14173"/>
        </w:trPr>
        <w:tc>
          <w:tcPr>
            <w:tcW w:w="2268" w:type="dxa"/>
            <w:shd w:val="clear" w:color="auto" w:fill="auto"/>
          </w:tcPr>
          <w:p w:rsidR="001E04CB" w:rsidRPr="004E77EF" w:rsidRDefault="001E04CB" w:rsidP="00C215FF">
            <w:pPr>
              <w:pStyle w:val="Normalnitabulka"/>
            </w:pPr>
          </w:p>
        </w:tc>
        <w:tc>
          <w:tcPr>
            <w:tcW w:w="142" w:type="dxa"/>
            <w:tcBorders>
              <w:right w:val="single" w:sz="18" w:space="0" w:color="D9D9D9"/>
            </w:tcBorders>
            <w:shd w:val="clear" w:color="auto" w:fill="auto"/>
          </w:tcPr>
          <w:p w:rsidR="001E04CB" w:rsidRPr="004E77EF" w:rsidRDefault="001E04CB" w:rsidP="00C215FF">
            <w:pPr>
              <w:pStyle w:val="Normalnitabulka"/>
            </w:pPr>
          </w:p>
        </w:tc>
        <w:tc>
          <w:tcPr>
            <w:tcW w:w="7229" w:type="dxa"/>
            <w:tcBorders>
              <w:left w:val="single" w:sz="18" w:space="0" w:color="D9D9D9"/>
            </w:tcBorders>
            <w:shd w:val="clear" w:color="auto" w:fill="auto"/>
          </w:tcPr>
          <w:p w:rsidR="001E04CB" w:rsidRDefault="001E04CB" w:rsidP="00C215FF">
            <w:pPr>
              <w:pStyle w:val="Default"/>
            </w:pPr>
            <w:r>
              <w:t xml:space="preserve">Czech Republic appreciates very much the work being done on CEPT position to the ITRs so far. We also found the </w:t>
            </w:r>
            <w:r w:rsidRPr="00C449F4">
              <w:t xml:space="preserve">Information Paper Overview of the Global Roaming Market outside of the European Union </w:t>
            </w:r>
            <w:r>
              <w:t>prepared by the GSMA very useful and illustrative.</w:t>
            </w:r>
          </w:p>
          <w:p w:rsidR="001E04CB" w:rsidRDefault="001E04CB" w:rsidP="00C215FF">
            <w:pPr>
              <w:pStyle w:val="Default"/>
            </w:pPr>
            <w:r>
              <w:t>Our view is based on the proposal of United Kingdom and we are gratefull to this administration for preparing the document</w:t>
            </w:r>
            <w:r w:rsidRPr="00404D0B">
              <w:t xml:space="preserve"> Com-ITU(11) 062</w:t>
            </w:r>
            <w:r>
              <w:t>.</w:t>
            </w:r>
          </w:p>
          <w:p w:rsidR="001E04CB" w:rsidRDefault="001E04CB" w:rsidP="00C215FF">
            <w:pPr>
              <w:pStyle w:val="Default"/>
            </w:pPr>
            <w:r>
              <w:t>We do agree to UK distinguishing the two types of double (in many cases even multiple) taxation and are of the opinion that ITRs intend to avoid the juridical double taxation.</w:t>
            </w:r>
          </w:p>
          <w:p w:rsidR="001E04CB" w:rsidRDefault="001E04CB" w:rsidP="00C215FF">
            <w:pPr>
              <w:pStyle w:val="Default"/>
            </w:pPr>
          </w:p>
          <w:p w:rsidR="001E04CB" w:rsidRDefault="001E04CB" w:rsidP="00C215FF">
            <w:pPr>
              <w:pStyle w:val="Default"/>
            </w:pPr>
            <w:r>
              <w:t xml:space="preserve">Juridical double taxation avoidance is no speciality to the telecommunication sector but on the contrary, to the entire economy. The legal as well as taxation systems however differ from country to country and it is very hard to find one common solution. For this reason the state Bodies responsible for taxation and international relations found a solution that meets the needs and the differences. It is the system of bilateral international </w:t>
            </w:r>
            <w:r w:rsidRPr="00D60F30">
              <w:t>Treaties for Avoidance of Double Taxation</w:t>
            </w:r>
            <w:r>
              <w:t xml:space="preserve"> on both – Income and Capital. The Czech Republic, for instance, has signed such a Treaty with 85 countries round the globe. These Treaties do not distinguish industries, they are applicable for all sectors of the national economies of signatories to the Treaty. </w:t>
            </w:r>
          </w:p>
          <w:p w:rsidR="001E04CB" w:rsidRDefault="001E04CB" w:rsidP="00C215FF">
            <w:pPr>
              <w:pStyle w:val="Default"/>
            </w:pPr>
          </w:p>
          <w:p w:rsidR="001E04CB" w:rsidRDefault="001E04CB" w:rsidP="00C215FF">
            <w:pPr>
              <w:pStyle w:val="Default"/>
            </w:pPr>
            <w:r>
              <w:t>The above information makes bases of the position that we do not support special provisions to cover only telecommunications or even only mobile communication. On the other hand we do support the aim of ITRs and taking them for incentive tool for Member Countries we propose to adjust the ITRs in the sence of CEPT proposal C20 but slightly adjusted to:</w:t>
            </w:r>
          </w:p>
          <w:p w:rsidR="001E04CB" w:rsidRPr="00F0517B" w:rsidRDefault="001E04CB" w:rsidP="00C215FF">
            <w:pPr>
              <w:pStyle w:val="Default"/>
              <w:rPr>
                <w:i/>
                <w:lang w:val="en-US"/>
              </w:rPr>
            </w:pPr>
            <w:r w:rsidRPr="00F0517B">
              <w:rPr>
                <w:i/>
                <w:lang w:val="en-US"/>
              </w:rPr>
              <w:t>“Member States to collect taxes only in respect of international services billed</w:t>
            </w:r>
            <w:r>
              <w:rPr>
                <w:i/>
                <w:lang w:val="en-US"/>
              </w:rPr>
              <w:t xml:space="preserve"> to customers in that country”.</w:t>
            </w:r>
          </w:p>
          <w:p w:rsidR="001E04CB" w:rsidRPr="00F0517B" w:rsidRDefault="001E04CB" w:rsidP="00C215FF">
            <w:pPr>
              <w:pStyle w:val="Default"/>
              <w:rPr>
                <w:i/>
                <w:lang w:val="en-US"/>
              </w:rPr>
            </w:pPr>
          </w:p>
          <w:p w:rsidR="001E04CB" w:rsidRPr="00594B5C" w:rsidRDefault="001E04CB" w:rsidP="00C215FF">
            <w:pPr>
              <w:pStyle w:val="Default"/>
            </w:pPr>
            <w:r w:rsidRPr="00F0517B">
              <w:rPr>
                <w:lang w:val="en-US"/>
              </w:rPr>
              <w:t>We also would like to point out that the wording</w:t>
            </w:r>
            <w:r w:rsidRPr="008664E4">
              <w:rPr>
                <w:lang w:val="en-US"/>
              </w:rPr>
              <w:t xml:space="preserve"> from UK proposal “</w:t>
            </w:r>
            <w:r w:rsidRPr="00F0517B">
              <w:rPr>
                <w:lang w:val="en-US"/>
              </w:rPr>
              <w:t>Countries shall not apply taxes to incoming international calls” could be understood not to tax at all that could be unacceptable for most fiscal bodies not only in CEPT countries.</w:t>
            </w:r>
          </w:p>
        </w:tc>
      </w:tr>
    </w:tbl>
    <w:p w:rsidR="001E04CB" w:rsidRPr="00945C3A" w:rsidRDefault="001E04CB" w:rsidP="001E04CB">
      <w:pPr>
        <w:pStyle w:val="Konec"/>
      </w:pPr>
    </w:p>
    <w:p w:rsidR="00F76298" w:rsidRPr="00387659" w:rsidRDefault="00F76298" w:rsidP="00387659"/>
    <w:sectPr w:rsidR="00F76298" w:rsidRPr="00387659" w:rsidSect="001E04CB">
      <w:pgSz w:w="11906" w:h="16838"/>
      <w:pgMar w:top="567" w:right="1134" w:bottom="567" w:left="1134" w:header="0" w:footer="709"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A0A352"/>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635C4F40"/>
    <w:lvl w:ilvl="0">
      <w:start w:val="1"/>
      <w:numFmt w:val="bullet"/>
      <w:pStyle w:val="Punktlista"/>
      <w:lvlText w:val=""/>
      <w:lvlJc w:val="left"/>
      <w:pPr>
        <w:tabs>
          <w:tab w:val="num" w:pos="360"/>
        </w:tabs>
        <w:ind w:left="360" w:hanging="360"/>
      </w:pPr>
      <w:rPr>
        <w:rFonts w:ascii="Symbol" w:hAnsi="Symbol" w:hint="default"/>
      </w:rPr>
    </w:lvl>
  </w:abstractNum>
  <w:abstractNum w:abstractNumId="2">
    <w:nsid w:val="68C93905"/>
    <w:multiLevelType w:val="multilevel"/>
    <w:tmpl w:val="C64850B0"/>
    <w:lvl w:ilvl="0">
      <w:start w:val="1"/>
      <w:numFmt w:val="decimal"/>
      <w:pStyle w:val="Numreradlista1"/>
      <w:lvlText w:val="%1."/>
      <w:lvlJc w:val="left"/>
      <w:pPr>
        <w:tabs>
          <w:tab w:val="num" w:pos="0"/>
        </w:tabs>
        <w:ind w:left="794" w:hanging="454"/>
      </w:pPr>
      <w:rPr>
        <w:rFonts w:hint="default"/>
      </w:rPr>
    </w:lvl>
    <w:lvl w:ilvl="1">
      <w:start w:val="1"/>
      <w:numFmt w:val="lowerLetter"/>
      <w:pStyle w:val="Numreradlistaniv2"/>
      <w:lvlText w:val="%2."/>
      <w:lvlJc w:val="left"/>
      <w:pPr>
        <w:tabs>
          <w:tab w:val="num" w:pos="0"/>
        </w:tabs>
        <w:ind w:left="1247" w:hanging="453"/>
      </w:pPr>
      <w:rPr>
        <w:rFonts w:hint="default"/>
      </w:rPr>
    </w:lvl>
    <w:lvl w:ilvl="2">
      <w:start w:val="1"/>
      <w:numFmt w:val="lowerRoman"/>
      <w:pStyle w:val="Numreradlistaniv3"/>
      <w:lvlText w:val="%3)"/>
      <w:lvlJc w:val="left"/>
      <w:pPr>
        <w:tabs>
          <w:tab w:val="num" w:pos="0"/>
        </w:tabs>
        <w:ind w:left="170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CB"/>
    <w:rsid w:val="001E04CB"/>
    <w:rsid w:val="00303D55"/>
    <w:rsid w:val="00387659"/>
    <w:rsid w:val="00412D3D"/>
    <w:rsid w:val="005430D5"/>
    <w:rsid w:val="00580BDE"/>
    <w:rsid w:val="005B19AC"/>
    <w:rsid w:val="0072451C"/>
    <w:rsid w:val="008F7DD3"/>
    <w:rsid w:val="00CB530C"/>
    <w:rsid w:val="00F76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List Bullet" w:uiPriority="5" w:qFormat="1"/>
    <w:lsdException w:name="List Number" w:uiPriority="4"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E04CB"/>
    <w:pPr>
      <w:spacing w:after="160" w:line="360" w:lineRule="auto"/>
    </w:pPr>
    <w:rPr>
      <w:rFonts w:ascii="Calibri" w:hAnsi="Calibri" w:cs="Times New Roman"/>
      <w:szCs w:val="24"/>
      <w:lang w:val="en-US"/>
    </w:rPr>
  </w:style>
  <w:style w:type="paragraph" w:styleId="Rubrik1">
    <w:name w:val="heading 1"/>
    <w:basedOn w:val="Normal"/>
    <w:next w:val="Normal"/>
    <w:link w:val="Rubrik1Char"/>
    <w:uiPriority w:val="1"/>
    <w:qFormat/>
    <w:rsid w:val="00303D55"/>
    <w:pPr>
      <w:keepNext/>
      <w:pageBreakBefore/>
      <w:spacing w:after="240" w:line="360" w:lineRule="exact"/>
      <w:outlineLvl w:val="0"/>
    </w:pPr>
    <w:rPr>
      <w:rFonts w:asciiTheme="majorHAnsi" w:hAnsiTheme="majorHAnsi" w:cs="Arial"/>
      <w:b/>
      <w:bCs/>
      <w:kern w:val="32"/>
      <w:szCs w:val="32"/>
      <w:lang w:val="sv-SE" w:eastAsia="sv-SE"/>
    </w:rPr>
  </w:style>
  <w:style w:type="paragraph" w:styleId="Rubrik2">
    <w:name w:val="heading 2"/>
    <w:basedOn w:val="Normal"/>
    <w:next w:val="Normal"/>
    <w:link w:val="Rubrik2Char"/>
    <w:uiPriority w:val="2"/>
    <w:qFormat/>
    <w:rsid w:val="00303D55"/>
    <w:pPr>
      <w:keepNext/>
      <w:spacing w:after="60" w:line="240" w:lineRule="auto"/>
      <w:outlineLvl w:val="1"/>
    </w:pPr>
    <w:rPr>
      <w:rFonts w:asciiTheme="majorHAnsi" w:hAnsiTheme="majorHAnsi" w:cs="Arial"/>
      <w:b/>
      <w:bCs/>
      <w:iCs/>
      <w:sz w:val="18"/>
      <w:szCs w:val="2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303D55"/>
    <w:rPr>
      <w:rFonts w:asciiTheme="majorHAnsi" w:eastAsia="Times New Roman" w:hAnsiTheme="majorHAnsi" w:cs="Arial"/>
      <w:b/>
      <w:bCs/>
      <w:kern w:val="32"/>
      <w:szCs w:val="32"/>
      <w:lang w:eastAsia="sv-SE"/>
    </w:rPr>
  </w:style>
  <w:style w:type="character" w:customStyle="1" w:styleId="Rubrik2Char">
    <w:name w:val="Rubrik 2 Char"/>
    <w:basedOn w:val="Standardstycketeckensnitt"/>
    <w:link w:val="Rubrik2"/>
    <w:uiPriority w:val="2"/>
    <w:rsid w:val="00303D55"/>
    <w:rPr>
      <w:rFonts w:asciiTheme="majorHAnsi" w:eastAsia="Times New Roman" w:hAnsiTheme="majorHAnsi" w:cs="Arial"/>
      <w:b/>
      <w:bCs/>
      <w:iCs/>
      <w:sz w:val="18"/>
      <w:szCs w:val="28"/>
      <w:lang w:eastAsia="sv-SE"/>
    </w:rPr>
  </w:style>
  <w:style w:type="paragraph" w:styleId="Punktlista">
    <w:name w:val="List Bullet"/>
    <w:basedOn w:val="Normal"/>
    <w:uiPriority w:val="5"/>
    <w:qFormat/>
    <w:rsid w:val="00387659"/>
    <w:pPr>
      <w:numPr>
        <w:numId w:val="6"/>
      </w:numPr>
      <w:spacing w:after="260" w:line="240" w:lineRule="auto"/>
      <w:contextualSpacing/>
    </w:pPr>
    <w:rPr>
      <w:rFonts w:asciiTheme="minorHAnsi" w:hAnsiTheme="minorHAnsi"/>
      <w:sz w:val="24"/>
      <w:lang w:val="sv-SE" w:eastAsia="sv-SE"/>
    </w:rPr>
  </w:style>
  <w:style w:type="paragraph" w:styleId="Numreradlista">
    <w:name w:val="List Number"/>
    <w:basedOn w:val="Normal"/>
    <w:uiPriority w:val="4"/>
    <w:qFormat/>
    <w:rsid w:val="00387659"/>
    <w:pPr>
      <w:numPr>
        <w:numId w:val="5"/>
      </w:numPr>
      <w:spacing w:after="260" w:line="240" w:lineRule="auto"/>
      <w:contextualSpacing/>
    </w:pPr>
    <w:rPr>
      <w:rFonts w:asciiTheme="minorHAnsi" w:hAnsiTheme="minorHAnsi"/>
      <w:sz w:val="24"/>
      <w:lang w:val="sv-SE" w:eastAsia="sv-SE"/>
    </w:rPr>
  </w:style>
  <w:style w:type="paragraph" w:styleId="Sidfot">
    <w:name w:val="footer"/>
    <w:basedOn w:val="Normal"/>
    <w:link w:val="SidfotChar"/>
    <w:rsid w:val="00387659"/>
    <w:pPr>
      <w:spacing w:after="0" w:line="200" w:lineRule="exact"/>
    </w:pPr>
    <w:rPr>
      <w:rFonts w:ascii="Verdana" w:hAnsi="Verdana"/>
      <w:sz w:val="14"/>
      <w:lang w:val="sv-SE" w:eastAsia="sv-SE"/>
    </w:rPr>
  </w:style>
  <w:style w:type="character" w:customStyle="1" w:styleId="SidfotChar">
    <w:name w:val="Sidfot Char"/>
    <w:basedOn w:val="Standardstycketeckensnitt"/>
    <w:link w:val="Sidfot"/>
    <w:rsid w:val="00387659"/>
    <w:rPr>
      <w:rFonts w:ascii="Verdana" w:eastAsia="Times New Roman" w:hAnsi="Verdana" w:cs="Times New Roman"/>
      <w:sz w:val="14"/>
      <w:szCs w:val="24"/>
      <w:lang w:eastAsia="sv-SE"/>
    </w:rPr>
  </w:style>
  <w:style w:type="paragraph" w:customStyle="1" w:styleId="Sidfotstor">
    <w:name w:val="Sidfot stor"/>
    <w:basedOn w:val="Normal"/>
    <w:rsid w:val="00387659"/>
    <w:pPr>
      <w:spacing w:after="0" w:line="200" w:lineRule="exact"/>
    </w:pPr>
    <w:rPr>
      <w:rFonts w:ascii="Verdana" w:hAnsi="Verdana"/>
      <w:sz w:val="16"/>
    </w:rPr>
  </w:style>
  <w:style w:type="table" w:styleId="Tabellrutnt">
    <w:name w:val="Table Grid"/>
    <w:basedOn w:val="Normaltabell"/>
    <w:rsid w:val="00387659"/>
    <w:pPr>
      <w:spacing w:after="260" w:line="260" w:lineRule="exact"/>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semiHidden/>
    <w:rsid w:val="00387659"/>
    <w:pPr>
      <w:numPr>
        <w:numId w:val="7"/>
      </w:numPr>
      <w:spacing w:after="0"/>
    </w:pPr>
  </w:style>
  <w:style w:type="paragraph" w:customStyle="1" w:styleId="Numreradlistaniv2">
    <w:name w:val="Numrerad lista nivå 2"/>
    <w:basedOn w:val="Normal"/>
    <w:semiHidden/>
    <w:rsid w:val="00387659"/>
    <w:pPr>
      <w:numPr>
        <w:ilvl w:val="1"/>
        <w:numId w:val="7"/>
      </w:numPr>
      <w:spacing w:after="0"/>
    </w:pPr>
  </w:style>
  <w:style w:type="paragraph" w:customStyle="1" w:styleId="Numreradlistaniv3">
    <w:name w:val="Numrerad lista nivå 3"/>
    <w:basedOn w:val="Normal"/>
    <w:semiHidden/>
    <w:rsid w:val="00387659"/>
    <w:pPr>
      <w:numPr>
        <w:ilvl w:val="2"/>
        <w:numId w:val="7"/>
      </w:numPr>
      <w:spacing w:after="0"/>
    </w:pPr>
  </w:style>
  <w:style w:type="paragraph" w:customStyle="1" w:styleId="Normalnitabulka">
    <w:name w:val="Normalni_tabulka"/>
    <w:basedOn w:val="Normal"/>
    <w:qFormat/>
    <w:rsid w:val="001E04CB"/>
    <w:pPr>
      <w:spacing w:after="0" w:line="240" w:lineRule="auto"/>
    </w:pPr>
  </w:style>
  <w:style w:type="paragraph" w:customStyle="1" w:styleId="Konec">
    <w:name w:val="Konec"/>
    <w:qFormat/>
    <w:rsid w:val="001E04CB"/>
    <w:pPr>
      <w:spacing w:after="0" w:line="240" w:lineRule="auto"/>
    </w:pPr>
    <w:rPr>
      <w:rFonts w:ascii="Calibri" w:hAnsi="Calibri" w:cs="Times New Roman"/>
      <w:sz w:val="2"/>
      <w:szCs w:val="24"/>
      <w:lang w:val="cs-CZ"/>
    </w:rPr>
  </w:style>
  <w:style w:type="paragraph" w:customStyle="1" w:styleId="Default">
    <w:name w:val="Default"/>
    <w:rsid w:val="001E04CB"/>
    <w:pPr>
      <w:autoSpaceDE w:val="0"/>
      <w:autoSpaceDN w:val="0"/>
      <w:adjustRightInd w:val="0"/>
      <w:spacing w:after="0" w:line="240" w:lineRule="auto"/>
    </w:pPr>
    <w:rPr>
      <w:rFonts w:ascii="Calibri" w:hAnsi="Calibri" w:cs="Calibri"/>
      <w:color w:val="000000"/>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List Bullet" w:uiPriority="5" w:qFormat="1"/>
    <w:lsdException w:name="List Number" w:uiPriority="4"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E04CB"/>
    <w:pPr>
      <w:spacing w:after="160" w:line="360" w:lineRule="auto"/>
    </w:pPr>
    <w:rPr>
      <w:rFonts w:ascii="Calibri" w:hAnsi="Calibri" w:cs="Times New Roman"/>
      <w:szCs w:val="24"/>
      <w:lang w:val="en-US"/>
    </w:rPr>
  </w:style>
  <w:style w:type="paragraph" w:styleId="Rubrik1">
    <w:name w:val="heading 1"/>
    <w:basedOn w:val="Normal"/>
    <w:next w:val="Normal"/>
    <w:link w:val="Rubrik1Char"/>
    <w:uiPriority w:val="1"/>
    <w:qFormat/>
    <w:rsid w:val="00303D55"/>
    <w:pPr>
      <w:keepNext/>
      <w:pageBreakBefore/>
      <w:spacing w:after="240" w:line="360" w:lineRule="exact"/>
      <w:outlineLvl w:val="0"/>
    </w:pPr>
    <w:rPr>
      <w:rFonts w:asciiTheme="majorHAnsi" w:hAnsiTheme="majorHAnsi" w:cs="Arial"/>
      <w:b/>
      <w:bCs/>
      <w:kern w:val="32"/>
      <w:szCs w:val="32"/>
      <w:lang w:val="sv-SE" w:eastAsia="sv-SE"/>
    </w:rPr>
  </w:style>
  <w:style w:type="paragraph" w:styleId="Rubrik2">
    <w:name w:val="heading 2"/>
    <w:basedOn w:val="Normal"/>
    <w:next w:val="Normal"/>
    <w:link w:val="Rubrik2Char"/>
    <w:uiPriority w:val="2"/>
    <w:qFormat/>
    <w:rsid w:val="00303D55"/>
    <w:pPr>
      <w:keepNext/>
      <w:spacing w:after="60" w:line="240" w:lineRule="auto"/>
      <w:outlineLvl w:val="1"/>
    </w:pPr>
    <w:rPr>
      <w:rFonts w:asciiTheme="majorHAnsi" w:hAnsiTheme="majorHAnsi" w:cs="Arial"/>
      <w:b/>
      <w:bCs/>
      <w:iCs/>
      <w:sz w:val="18"/>
      <w:szCs w:val="2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303D55"/>
    <w:rPr>
      <w:rFonts w:asciiTheme="majorHAnsi" w:eastAsia="Times New Roman" w:hAnsiTheme="majorHAnsi" w:cs="Arial"/>
      <w:b/>
      <w:bCs/>
      <w:kern w:val="32"/>
      <w:szCs w:val="32"/>
      <w:lang w:eastAsia="sv-SE"/>
    </w:rPr>
  </w:style>
  <w:style w:type="character" w:customStyle="1" w:styleId="Rubrik2Char">
    <w:name w:val="Rubrik 2 Char"/>
    <w:basedOn w:val="Standardstycketeckensnitt"/>
    <w:link w:val="Rubrik2"/>
    <w:uiPriority w:val="2"/>
    <w:rsid w:val="00303D55"/>
    <w:rPr>
      <w:rFonts w:asciiTheme="majorHAnsi" w:eastAsia="Times New Roman" w:hAnsiTheme="majorHAnsi" w:cs="Arial"/>
      <w:b/>
      <w:bCs/>
      <w:iCs/>
      <w:sz w:val="18"/>
      <w:szCs w:val="28"/>
      <w:lang w:eastAsia="sv-SE"/>
    </w:rPr>
  </w:style>
  <w:style w:type="paragraph" w:styleId="Punktlista">
    <w:name w:val="List Bullet"/>
    <w:basedOn w:val="Normal"/>
    <w:uiPriority w:val="5"/>
    <w:qFormat/>
    <w:rsid w:val="00387659"/>
    <w:pPr>
      <w:numPr>
        <w:numId w:val="6"/>
      </w:numPr>
      <w:spacing w:after="260" w:line="240" w:lineRule="auto"/>
      <w:contextualSpacing/>
    </w:pPr>
    <w:rPr>
      <w:rFonts w:asciiTheme="minorHAnsi" w:hAnsiTheme="minorHAnsi"/>
      <w:sz w:val="24"/>
      <w:lang w:val="sv-SE" w:eastAsia="sv-SE"/>
    </w:rPr>
  </w:style>
  <w:style w:type="paragraph" w:styleId="Numreradlista">
    <w:name w:val="List Number"/>
    <w:basedOn w:val="Normal"/>
    <w:uiPriority w:val="4"/>
    <w:qFormat/>
    <w:rsid w:val="00387659"/>
    <w:pPr>
      <w:numPr>
        <w:numId w:val="5"/>
      </w:numPr>
      <w:spacing w:after="260" w:line="240" w:lineRule="auto"/>
      <w:contextualSpacing/>
    </w:pPr>
    <w:rPr>
      <w:rFonts w:asciiTheme="minorHAnsi" w:hAnsiTheme="minorHAnsi"/>
      <w:sz w:val="24"/>
      <w:lang w:val="sv-SE" w:eastAsia="sv-SE"/>
    </w:rPr>
  </w:style>
  <w:style w:type="paragraph" w:styleId="Sidfot">
    <w:name w:val="footer"/>
    <w:basedOn w:val="Normal"/>
    <w:link w:val="SidfotChar"/>
    <w:rsid w:val="00387659"/>
    <w:pPr>
      <w:spacing w:after="0" w:line="200" w:lineRule="exact"/>
    </w:pPr>
    <w:rPr>
      <w:rFonts w:ascii="Verdana" w:hAnsi="Verdana"/>
      <w:sz w:val="14"/>
      <w:lang w:val="sv-SE" w:eastAsia="sv-SE"/>
    </w:rPr>
  </w:style>
  <w:style w:type="character" w:customStyle="1" w:styleId="SidfotChar">
    <w:name w:val="Sidfot Char"/>
    <w:basedOn w:val="Standardstycketeckensnitt"/>
    <w:link w:val="Sidfot"/>
    <w:rsid w:val="00387659"/>
    <w:rPr>
      <w:rFonts w:ascii="Verdana" w:eastAsia="Times New Roman" w:hAnsi="Verdana" w:cs="Times New Roman"/>
      <w:sz w:val="14"/>
      <w:szCs w:val="24"/>
      <w:lang w:eastAsia="sv-SE"/>
    </w:rPr>
  </w:style>
  <w:style w:type="paragraph" w:customStyle="1" w:styleId="Sidfotstor">
    <w:name w:val="Sidfot stor"/>
    <w:basedOn w:val="Normal"/>
    <w:rsid w:val="00387659"/>
    <w:pPr>
      <w:spacing w:after="0" w:line="200" w:lineRule="exact"/>
    </w:pPr>
    <w:rPr>
      <w:rFonts w:ascii="Verdana" w:hAnsi="Verdana"/>
      <w:sz w:val="16"/>
    </w:rPr>
  </w:style>
  <w:style w:type="table" w:styleId="Tabellrutnt">
    <w:name w:val="Table Grid"/>
    <w:basedOn w:val="Normaltabell"/>
    <w:rsid w:val="00387659"/>
    <w:pPr>
      <w:spacing w:after="260" w:line="260" w:lineRule="exact"/>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semiHidden/>
    <w:rsid w:val="00387659"/>
    <w:pPr>
      <w:numPr>
        <w:numId w:val="7"/>
      </w:numPr>
      <w:spacing w:after="0"/>
    </w:pPr>
  </w:style>
  <w:style w:type="paragraph" w:customStyle="1" w:styleId="Numreradlistaniv2">
    <w:name w:val="Numrerad lista nivå 2"/>
    <w:basedOn w:val="Normal"/>
    <w:semiHidden/>
    <w:rsid w:val="00387659"/>
    <w:pPr>
      <w:numPr>
        <w:ilvl w:val="1"/>
        <w:numId w:val="7"/>
      </w:numPr>
      <w:spacing w:after="0"/>
    </w:pPr>
  </w:style>
  <w:style w:type="paragraph" w:customStyle="1" w:styleId="Numreradlistaniv3">
    <w:name w:val="Numrerad lista nivå 3"/>
    <w:basedOn w:val="Normal"/>
    <w:semiHidden/>
    <w:rsid w:val="00387659"/>
    <w:pPr>
      <w:numPr>
        <w:ilvl w:val="2"/>
        <w:numId w:val="7"/>
      </w:numPr>
      <w:spacing w:after="0"/>
    </w:pPr>
  </w:style>
  <w:style w:type="paragraph" w:customStyle="1" w:styleId="Normalnitabulka">
    <w:name w:val="Normalni_tabulka"/>
    <w:basedOn w:val="Normal"/>
    <w:qFormat/>
    <w:rsid w:val="001E04CB"/>
    <w:pPr>
      <w:spacing w:after="0" w:line="240" w:lineRule="auto"/>
    </w:pPr>
  </w:style>
  <w:style w:type="paragraph" w:customStyle="1" w:styleId="Konec">
    <w:name w:val="Konec"/>
    <w:qFormat/>
    <w:rsid w:val="001E04CB"/>
    <w:pPr>
      <w:spacing w:after="0" w:line="240" w:lineRule="auto"/>
    </w:pPr>
    <w:rPr>
      <w:rFonts w:ascii="Calibri" w:hAnsi="Calibri" w:cs="Times New Roman"/>
      <w:sz w:val="2"/>
      <w:szCs w:val="24"/>
      <w:lang w:val="cs-CZ"/>
    </w:rPr>
  </w:style>
  <w:style w:type="paragraph" w:customStyle="1" w:styleId="Default">
    <w:name w:val="Default"/>
    <w:rsid w:val="001E04CB"/>
    <w:pPr>
      <w:autoSpaceDE w:val="0"/>
      <w:autoSpaceDN w:val="0"/>
      <w:adjustRightInd w:val="0"/>
      <w:spacing w:after="0" w:line="240" w:lineRule="auto"/>
    </w:pPr>
    <w:rPr>
      <w:rFonts w:ascii="Calibri"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PTS">
  <a:themeElements>
    <a:clrScheme name="PTS">
      <a:dk1>
        <a:sysClr val="windowText" lastClr="000000"/>
      </a:dk1>
      <a:lt1>
        <a:sysClr val="window" lastClr="FFFFFF"/>
      </a:lt1>
      <a:dk2>
        <a:srgbClr val="652D89"/>
      </a:dk2>
      <a:lt2>
        <a:srgbClr val="FFFFFF"/>
      </a:lt2>
      <a:accent1>
        <a:srgbClr val="652D89"/>
      </a:accent1>
      <a:accent2>
        <a:srgbClr val="D11939"/>
      </a:accent2>
      <a:accent3>
        <a:srgbClr val="8CC63F"/>
      </a:accent3>
      <a:accent4>
        <a:srgbClr val="13B5EA"/>
      </a:accent4>
      <a:accent5>
        <a:srgbClr val="004B8D"/>
      </a:accent5>
      <a:accent6>
        <a:srgbClr val="000000"/>
      </a:accent6>
      <a:hlink>
        <a:srgbClr val="0000FF"/>
      </a:hlink>
      <a:folHlink>
        <a:srgbClr val="800080"/>
      </a:folHlink>
    </a:clrScheme>
    <a:fontScheme name="PTS">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1938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PTS</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 A1</dc:creator>
  <cp:lastModifiedBy>PT A1</cp:lastModifiedBy>
  <cp:revision>1</cp:revision>
  <dcterms:created xsi:type="dcterms:W3CDTF">2011-11-25T13:50:00Z</dcterms:created>
  <dcterms:modified xsi:type="dcterms:W3CDTF">2011-11-25T13:50:00Z</dcterms:modified>
</cp:coreProperties>
</file>