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10031"/>
      </w:tblGrid>
      <w:tr w:rsidR="00EF61D2" w:rsidRPr="0016430C" w:rsidTr="00A54D89">
        <w:trPr>
          <w:cantSplit/>
        </w:trPr>
        <w:tc>
          <w:tcPr>
            <w:tcW w:w="10031" w:type="dxa"/>
          </w:tcPr>
          <w:p w:rsidR="00EF61D2" w:rsidRDefault="00EF61D2" w:rsidP="00A54D89">
            <w:pPr>
              <w:pStyle w:val="Part"/>
              <w:rPr>
                <w:b/>
                <w:bCs/>
              </w:rPr>
            </w:pPr>
          </w:p>
          <w:p w:rsidR="00EF61D2" w:rsidRPr="0016430C" w:rsidRDefault="00EF61D2" w:rsidP="009053DC">
            <w:pPr>
              <w:pStyle w:val="Part"/>
            </w:pPr>
          </w:p>
        </w:tc>
      </w:tr>
      <w:tr w:rsidR="00EF61D2" w:rsidRPr="0016430C" w:rsidTr="00A54D89">
        <w:trPr>
          <w:cantSplit/>
        </w:trPr>
        <w:tc>
          <w:tcPr>
            <w:tcW w:w="10031" w:type="dxa"/>
          </w:tcPr>
          <w:p w:rsidR="00EF61D2" w:rsidRPr="0016430C" w:rsidRDefault="00EF61D2" w:rsidP="008D159A">
            <w:pPr>
              <w:pStyle w:val="Title3"/>
              <w:jc w:val="left"/>
            </w:pPr>
          </w:p>
        </w:tc>
      </w:tr>
    </w:tbl>
    <w:tbl>
      <w:tblPr>
        <w:tblW w:w="9645" w:type="dxa"/>
        <w:tblInd w:w="-72" w:type="dxa"/>
        <w:tblLayout w:type="fixed"/>
        <w:tblCellMar>
          <w:left w:w="70" w:type="dxa"/>
          <w:right w:w="70" w:type="dxa"/>
        </w:tblCellMar>
        <w:tblLook w:val="04A0" w:firstRow="1" w:lastRow="0" w:firstColumn="1" w:lastColumn="0" w:noHBand="0" w:noVBand="1"/>
      </w:tblPr>
      <w:tblGrid>
        <w:gridCol w:w="1844"/>
        <w:gridCol w:w="2498"/>
        <w:gridCol w:w="1732"/>
        <w:gridCol w:w="3571"/>
      </w:tblGrid>
      <w:tr w:rsidR="008D159A" w:rsidTr="00F004C9">
        <w:trPr>
          <w:cantSplit/>
        </w:trPr>
        <w:tc>
          <w:tcPr>
            <w:tcW w:w="6074" w:type="dxa"/>
            <w:gridSpan w:val="3"/>
          </w:tcPr>
          <w:p w:rsidR="008D159A" w:rsidRDefault="008D159A" w:rsidP="00F004C9">
            <w:pPr>
              <w:tabs>
                <w:tab w:val="center" w:pos="4536"/>
                <w:tab w:val="right" w:pos="9072"/>
              </w:tabs>
              <w:rPr>
                <w:rFonts w:ascii="Arial" w:hAnsi="Arial"/>
                <w:b/>
                <w:sz w:val="22"/>
                <w:lang w:val="nb-NO" w:eastAsia="de-DE"/>
              </w:rPr>
            </w:pPr>
          </w:p>
          <w:p w:rsidR="008D159A" w:rsidRDefault="008D159A" w:rsidP="00F004C9">
            <w:pPr>
              <w:tabs>
                <w:tab w:val="center" w:pos="4536"/>
                <w:tab w:val="right" w:pos="9072"/>
              </w:tabs>
              <w:rPr>
                <w:rFonts w:ascii="Arial" w:hAnsi="Arial"/>
                <w:b/>
                <w:sz w:val="22"/>
                <w:lang w:val="nb-NO" w:eastAsia="de-DE"/>
              </w:rPr>
            </w:pPr>
            <w:r>
              <w:rPr>
                <w:rFonts w:ascii="Arial" w:hAnsi="Arial"/>
                <w:b/>
                <w:noProof/>
                <w:sz w:val="22"/>
                <w:lang w:val="sv-SE" w:eastAsia="sv-SE"/>
              </w:rPr>
              <w:drawing>
                <wp:inline distT="0" distB="0" distL="0" distR="0" wp14:anchorId="669ED6E7" wp14:editId="76A744E4">
                  <wp:extent cx="1943100" cy="533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8D159A" w:rsidRDefault="008D159A" w:rsidP="00F004C9">
            <w:pPr>
              <w:tabs>
                <w:tab w:val="center" w:pos="4536"/>
                <w:tab w:val="right" w:pos="9072"/>
              </w:tabs>
              <w:rPr>
                <w:rFonts w:ascii="Arial" w:hAnsi="Arial" w:cs="Arial"/>
                <w:b/>
                <w:color w:val="000000"/>
                <w:sz w:val="22"/>
                <w:lang w:eastAsia="de-DE"/>
              </w:rPr>
            </w:pPr>
          </w:p>
        </w:tc>
        <w:tc>
          <w:tcPr>
            <w:tcW w:w="3571" w:type="dxa"/>
            <w:hideMark/>
          </w:tcPr>
          <w:p w:rsidR="008D159A" w:rsidRDefault="008D159A" w:rsidP="00F004C9">
            <w:pPr>
              <w:tabs>
                <w:tab w:val="right" w:pos="3357"/>
                <w:tab w:val="right" w:pos="9072"/>
              </w:tabs>
              <w:rPr>
                <w:rFonts w:ascii="Arial" w:hAnsi="Arial"/>
                <w:b/>
                <w:sz w:val="22"/>
                <w:lang w:val="nb-NO" w:eastAsia="de-DE"/>
              </w:rPr>
            </w:pPr>
            <w:r>
              <w:rPr>
                <w:rFonts w:ascii="Arial" w:hAnsi="Arial"/>
                <w:b/>
                <w:sz w:val="22"/>
                <w:lang w:val="nb-NO" w:eastAsia="de-DE"/>
              </w:rPr>
              <w:tab/>
              <w:t>Doc. Com-ITU(11) 062</w:t>
            </w:r>
          </w:p>
        </w:tc>
      </w:tr>
      <w:tr w:rsidR="008D159A" w:rsidTr="00F004C9">
        <w:trPr>
          <w:cantSplit/>
          <w:trHeight w:val="405"/>
        </w:trPr>
        <w:tc>
          <w:tcPr>
            <w:tcW w:w="4342" w:type="dxa"/>
            <w:gridSpan w:val="2"/>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val="nb-NO" w:eastAsia="de-DE"/>
              </w:rPr>
            </w:pPr>
            <w:r>
              <w:rPr>
                <w:rFonts w:ascii="Arial" w:hAnsi="Arial"/>
                <w:b/>
                <w:sz w:val="22"/>
                <w:lang w:val="nb-NO" w:eastAsia="de-DE"/>
              </w:rPr>
              <w:t xml:space="preserve">Copenhagen, </w:t>
            </w:r>
          </w:p>
          <w:p w:rsidR="008D159A" w:rsidRDefault="008D159A" w:rsidP="00F004C9">
            <w:pPr>
              <w:tabs>
                <w:tab w:val="center" w:pos="4536"/>
                <w:tab w:val="right" w:pos="9072"/>
              </w:tabs>
              <w:rPr>
                <w:rFonts w:ascii="Arial" w:hAnsi="Arial"/>
                <w:b/>
                <w:sz w:val="22"/>
                <w:lang w:val="nb-NO" w:eastAsia="de-DE"/>
              </w:rPr>
            </w:pPr>
            <w:r>
              <w:rPr>
                <w:rFonts w:ascii="Arial" w:hAnsi="Arial"/>
                <w:b/>
                <w:sz w:val="22"/>
                <w:lang w:val="nb-NO" w:eastAsia="de-DE"/>
              </w:rPr>
              <w:t>30 November – 2 December 2011</w:t>
            </w:r>
          </w:p>
        </w:tc>
        <w:tc>
          <w:tcPr>
            <w:tcW w:w="5303" w:type="dxa"/>
            <w:gridSpan w:val="2"/>
            <w:tcMar>
              <w:top w:w="0" w:type="dxa"/>
              <w:left w:w="108" w:type="dxa"/>
              <w:bottom w:w="0" w:type="dxa"/>
              <w:right w:w="108" w:type="dxa"/>
            </w:tcMar>
            <w:vAlign w:val="center"/>
          </w:tcPr>
          <w:p w:rsidR="008D159A" w:rsidRDefault="008D159A" w:rsidP="00F004C9">
            <w:pPr>
              <w:tabs>
                <w:tab w:val="center" w:pos="4536"/>
                <w:tab w:val="right" w:pos="9072"/>
              </w:tabs>
              <w:rPr>
                <w:rFonts w:ascii="Arial" w:hAnsi="Arial"/>
                <w:b/>
                <w:sz w:val="22"/>
                <w:lang w:eastAsia="de-DE"/>
              </w:rPr>
            </w:pPr>
          </w:p>
        </w:tc>
      </w:tr>
      <w:tr w:rsidR="008D159A" w:rsidTr="00F004C9">
        <w:trPr>
          <w:cantSplit/>
          <w:trHeight w:val="80"/>
        </w:trPr>
        <w:tc>
          <w:tcPr>
            <w:tcW w:w="4342" w:type="dxa"/>
            <w:gridSpan w:val="2"/>
            <w:tcMar>
              <w:top w:w="0" w:type="dxa"/>
              <w:left w:w="108" w:type="dxa"/>
              <w:bottom w:w="0" w:type="dxa"/>
              <w:right w:w="108" w:type="dxa"/>
            </w:tcMar>
            <w:vAlign w:val="center"/>
          </w:tcPr>
          <w:p w:rsidR="008D159A" w:rsidRDefault="008D159A" w:rsidP="00F004C9">
            <w:pPr>
              <w:tabs>
                <w:tab w:val="center" w:pos="4536"/>
                <w:tab w:val="right" w:pos="9072"/>
              </w:tabs>
              <w:rPr>
                <w:rFonts w:ascii="Arial" w:hAnsi="Arial"/>
                <w:b/>
                <w:sz w:val="8"/>
                <w:lang w:val="nb-NO" w:eastAsia="de-DE"/>
              </w:rPr>
            </w:pPr>
          </w:p>
        </w:tc>
        <w:tc>
          <w:tcPr>
            <w:tcW w:w="5303" w:type="dxa"/>
            <w:gridSpan w:val="2"/>
            <w:tcMar>
              <w:top w:w="0" w:type="dxa"/>
              <w:left w:w="108" w:type="dxa"/>
              <w:bottom w:w="0" w:type="dxa"/>
              <w:right w:w="108" w:type="dxa"/>
            </w:tcMar>
            <w:vAlign w:val="center"/>
          </w:tcPr>
          <w:p w:rsidR="008D159A" w:rsidRDefault="008D159A" w:rsidP="00F004C9">
            <w:pPr>
              <w:tabs>
                <w:tab w:val="center" w:pos="4536"/>
                <w:tab w:val="right" w:pos="9072"/>
              </w:tabs>
              <w:rPr>
                <w:rFonts w:ascii="Arial" w:hAnsi="Arial"/>
                <w:b/>
                <w:sz w:val="8"/>
                <w:lang w:eastAsia="de-DE"/>
              </w:rPr>
            </w:pPr>
          </w:p>
        </w:tc>
      </w:tr>
      <w:tr w:rsidR="008D159A" w:rsidTr="00F004C9">
        <w:trPr>
          <w:cantSplit/>
          <w:trHeight w:val="405"/>
        </w:trPr>
        <w:tc>
          <w:tcPr>
            <w:tcW w:w="1844" w:type="dxa"/>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val="nb-NO" w:eastAsia="de-DE"/>
              </w:rPr>
            </w:pPr>
          </w:p>
          <w:p w:rsidR="008D159A" w:rsidRDefault="008D159A" w:rsidP="00F004C9">
            <w:pPr>
              <w:tabs>
                <w:tab w:val="center" w:pos="4536"/>
                <w:tab w:val="right" w:pos="9072"/>
              </w:tabs>
              <w:rPr>
                <w:rFonts w:ascii="Arial" w:hAnsi="Arial"/>
                <w:b/>
                <w:sz w:val="22"/>
                <w:lang w:val="nb-NO" w:eastAsia="de-DE"/>
              </w:rPr>
            </w:pPr>
            <w:r>
              <w:rPr>
                <w:rFonts w:ascii="Arial" w:hAnsi="Arial"/>
                <w:b/>
                <w:sz w:val="22"/>
                <w:lang w:val="nb-NO" w:eastAsia="de-DE"/>
              </w:rPr>
              <w:t>Date issued:</w:t>
            </w:r>
          </w:p>
        </w:tc>
        <w:tc>
          <w:tcPr>
            <w:tcW w:w="7801" w:type="dxa"/>
            <w:gridSpan w:val="3"/>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eastAsia="de-DE"/>
              </w:rPr>
            </w:pPr>
            <w:r>
              <w:rPr>
                <w:rFonts w:ascii="Arial" w:hAnsi="Arial"/>
                <w:b/>
                <w:sz w:val="22"/>
                <w:lang w:eastAsia="de-DE"/>
              </w:rPr>
              <w:t>17 November 2011</w:t>
            </w:r>
          </w:p>
        </w:tc>
      </w:tr>
      <w:tr w:rsidR="008D159A" w:rsidTr="00F004C9">
        <w:trPr>
          <w:cantSplit/>
          <w:trHeight w:val="405"/>
        </w:trPr>
        <w:tc>
          <w:tcPr>
            <w:tcW w:w="1844" w:type="dxa"/>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val="nb-NO" w:eastAsia="de-DE"/>
              </w:rPr>
            </w:pPr>
            <w:r>
              <w:rPr>
                <w:rFonts w:ascii="Arial" w:hAnsi="Arial"/>
                <w:b/>
                <w:sz w:val="22"/>
                <w:lang w:val="nb-NO" w:eastAsia="de-DE"/>
              </w:rPr>
              <w:t>Source:</w:t>
            </w:r>
          </w:p>
        </w:tc>
        <w:tc>
          <w:tcPr>
            <w:tcW w:w="7801" w:type="dxa"/>
            <w:gridSpan w:val="3"/>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eastAsia="de-DE"/>
              </w:rPr>
            </w:pPr>
            <w:r>
              <w:rPr>
                <w:rFonts w:ascii="Arial" w:hAnsi="Arial"/>
                <w:b/>
                <w:sz w:val="22"/>
                <w:lang w:eastAsia="de-DE"/>
              </w:rPr>
              <w:t>United Kingdom</w:t>
            </w:r>
          </w:p>
        </w:tc>
      </w:tr>
      <w:tr w:rsidR="008D159A" w:rsidTr="00F004C9">
        <w:trPr>
          <w:cantSplit/>
          <w:trHeight w:val="405"/>
        </w:trPr>
        <w:tc>
          <w:tcPr>
            <w:tcW w:w="1844" w:type="dxa"/>
            <w:tcMar>
              <w:top w:w="0" w:type="dxa"/>
              <w:left w:w="108" w:type="dxa"/>
              <w:bottom w:w="0" w:type="dxa"/>
              <w:right w:w="108" w:type="dxa"/>
            </w:tcMar>
            <w:vAlign w:val="center"/>
            <w:hideMark/>
          </w:tcPr>
          <w:p w:rsidR="008D159A" w:rsidRDefault="008D159A" w:rsidP="00F004C9">
            <w:pPr>
              <w:tabs>
                <w:tab w:val="center" w:pos="4536"/>
                <w:tab w:val="right" w:pos="9072"/>
              </w:tabs>
              <w:rPr>
                <w:rFonts w:ascii="Arial" w:hAnsi="Arial"/>
                <w:b/>
                <w:sz w:val="22"/>
                <w:lang w:eastAsia="de-DE"/>
              </w:rPr>
            </w:pPr>
            <w:r>
              <w:rPr>
                <w:rFonts w:ascii="Arial" w:hAnsi="Arial"/>
                <w:b/>
                <w:sz w:val="22"/>
                <w:lang w:eastAsia="de-DE"/>
              </w:rPr>
              <w:t>Subject:</w:t>
            </w:r>
          </w:p>
        </w:tc>
        <w:tc>
          <w:tcPr>
            <w:tcW w:w="7801" w:type="dxa"/>
            <w:gridSpan w:val="3"/>
            <w:tcMar>
              <w:top w:w="0" w:type="dxa"/>
              <w:left w:w="108" w:type="dxa"/>
              <w:bottom w:w="0" w:type="dxa"/>
              <w:right w:w="108" w:type="dxa"/>
            </w:tcMar>
            <w:vAlign w:val="center"/>
            <w:hideMark/>
          </w:tcPr>
          <w:p w:rsidR="008D159A" w:rsidRDefault="008D159A" w:rsidP="008D159A">
            <w:pPr>
              <w:tabs>
                <w:tab w:val="center" w:pos="4536"/>
                <w:tab w:val="right" w:pos="9072"/>
              </w:tabs>
              <w:rPr>
                <w:rFonts w:ascii="Arial" w:hAnsi="Arial"/>
                <w:b/>
                <w:sz w:val="22"/>
                <w:lang w:eastAsia="de-DE"/>
              </w:rPr>
            </w:pPr>
            <w:r>
              <w:rPr>
                <w:rFonts w:ascii="Arial" w:hAnsi="Arial"/>
                <w:b/>
                <w:sz w:val="22"/>
                <w:lang w:eastAsia="de-DE"/>
              </w:rPr>
              <w:t xml:space="preserve">ITR </w:t>
            </w:r>
            <w:r>
              <w:rPr>
                <w:rFonts w:ascii="Arial" w:hAnsi="Arial"/>
                <w:b/>
                <w:sz w:val="22"/>
                <w:lang w:eastAsia="de-DE"/>
              </w:rPr>
              <w:t>Double taxation</w:t>
            </w:r>
          </w:p>
        </w:tc>
      </w:tr>
    </w:tbl>
    <w:p w:rsidR="008D159A" w:rsidRDefault="008D159A" w:rsidP="008D159A">
      <w:pPr>
        <w:rPr>
          <w:rFonts w:ascii="Arial" w:hAnsi="Arial"/>
          <w:sz w:val="22"/>
          <w:lang w:val="en-US" w:eastAsia="de-DE"/>
        </w:rPr>
      </w:pPr>
      <w:bookmarkStart w:id="0" w:name="_GoBack"/>
      <w:bookmarkEnd w:id="0"/>
      <w:r>
        <w:rPr>
          <w:rFonts w:ascii="Verdana" w:hAnsi="Verdana"/>
          <w:noProof/>
          <w:sz w:val="18"/>
          <w:lang w:val="sv-SE" w:eastAsia="sv-SE"/>
        </w:rPr>
        <mc:AlternateContent>
          <mc:Choice Requires="wps">
            <w:drawing>
              <wp:anchor distT="0" distB="0" distL="114300" distR="114300" simplePos="0" relativeHeight="251659264" behindDoc="1" locked="0" layoutInCell="1" allowOverlap="1" wp14:anchorId="7080DD9D" wp14:editId="1AC2D5DC">
                <wp:simplePos x="0" y="0"/>
                <wp:positionH relativeFrom="column">
                  <wp:posOffset>2600325</wp:posOffset>
                </wp:positionH>
                <wp:positionV relativeFrom="paragraph">
                  <wp:posOffset>187960</wp:posOffset>
                </wp:positionV>
                <wp:extent cx="457200" cy="271145"/>
                <wp:effectExtent l="9525" t="10160" r="9525" b="13970"/>
                <wp:wrapTight wrapText="bothSides">
                  <wp:wrapPolygon edited="0">
                    <wp:start x="-450" y="-759"/>
                    <wp:lineTo x="-450" y="21600"/>
                    <wp:lineTo x="22050" y="21600"/>
                    <wp:lineTo x="22050" y="-759"/>
                    <wp:lineTo x="-450" y="-759"/>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8D159A" w:rsidRDefault="008D159A" w:rsidP="008D159A">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vPxUdicCAABPBAAADgAAAAAAAAAAAAAAAAAuAgAAZHJzL2Uy&#10;b0RvYy54bWxQSwECLQAUAAYACAAAACEAp9xGBeAAAAAJAQAADwAAAAAAAAAAAAAAAACBBAAAZHJz&#10;L2Rvd25yZXYueG1sUEsFBgAAAAAEAAQA8wAAAI4FAAAAAA==&#10;">
                <v:textbox>
                  <w:txbxContent>
                    <w:p w:rsidR="008D159A" w:rsidRDefault="008D159A" w:rsidP="008D159A">
                      <w:pPr>
                        <w:jc w:val="center"/>
                        <w:rPr>
                          <w:rFonts w:cs="Arial"/>
                          <w:lang w:val="de-DE"/>
                        </w:rPr>
                      </w:pPr>
                      <w:r>
                        <w:rPr>
                          <w:rFonts w:cs="Arial"/>
                          <w:lang w:val="de-DE"/>
                        </w:rPr>
                        <w:t>N</w:t>
                      </w:r>
                    </w:p>
                  </w:txbxContent>
                </v:textbox>
                <w10:wrap type="tight"/>
              </v:shape>
            </w:pict>
          </mc:Fallback>
        </mc:AlternateContent>
      </w:r>
    </w:p>
    <w:p w:rsidR="008D159A" w:rsidRDefault="008D159A" w:rsidP="008D159A">
      <w:pPr>
        <w:rPr>
          <w:rFonts w:ascii="Times New Roman" w:hAnsi="Times New Roman"/>
          <w:sz w:val="20"/>
          <w:szCs w:val="24"/>
        </w:rPr>
      </w:pPr>
      <w:r>
        <w:rPr>
          <w:rFonts w:ascii="Times New Roman" w:hAnsi="Times New Roman"/>
          <w:sz w:val="20"/>
        </w:rPr>
        <w:t xml:space="preserve">Password protection required? (Y/N) </w:t>
      </w:r>
    </w:p>
    <w:p w:rsidR="008D159A" w:rsidRDefault="008D159A" w:rsidP="008D159A">
      <w:pPr>
        <w:spacing w:after="120"/>
        <w:jc w:val="center"/>
        <w:rPr>
          <w:rFonts w:ascii="Arial" w:hAnsi="Arial"/>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8D159A" w:rsidTr="00F004C9">
        <w:trPr>
          <w:cantSplit/>
          <w:trHeight w:val="446"/>
        </w:trPr>
        <w:tc>
          <w:tcPr>
            <w:tcW w:w="9640" w:type="dxa"/>
            <w:tcBorders>
              <w:top w:val="single" w:sz="4" w:space="0" w:color="auto"/>
              <w:left w:val="single" w:sz="4" w:space="0" w:color="auto"/>
              <w:bottom w:val="nil"/>
              <w:right w:val="single" w:sz="4" w:space="0" w:color="auto"/>
            </w:tcBorders>
            <w:hideMark/>
          </w:tcPr>
          <w:p w:rsidR="008D159A" w:rsidRDefault="008D159A" w:rsidP="00F004C9">
            <w:pPr>
              <w:tabs>
                <w:tab w:val="center" w:pos="4536"/>
                <w:tab w:val="right" w:pos="9072"/>
              </w:tabs>
              <w:rPr>
                <w:rFonts w:ascii="Arial" w:hAnsi="Arial"/>
                <w:b/>
                <w:sz w:val="22"/>
                <w:lang w:val="en-US" w:eastAsia="de-DE"/>
              </w:rPr>
            </w:pPr>
            <w:r>
              <w:rPr>
                <w:rFonts w:ascii="Arial" w:hAnsi="Arial"/>
                <w:b/>
                <w:sz w:val="22"/>
                <w:lang w:val="en-US" w:eastAsia="de-DE"/>
              </w:rPr>
              <w:t xml:space="preserve">Summary: </w:t>
            </w:r>
          </w:p>
        </w:tc>
      </w:tr>
      <w:tr w:rsidR="008D159A" w:rsidTr="00F004C9">
        <w:trPr>
          <w:cantSplit/>
          <w:trHeight w:val="1112"/>
        </w:trPr>
        <w:tc>
          <w:tcPr>
            <w:tcW w:w="9640" w:type="dxa"/>
            <w:tcBorders>
              <w:top w:val="nil"/>
              <w:left w:val="single" w:sz="4" w:space="0" w:color="auto"/>
              <w:bottom w:val="single" w:sz="4" w:space="0" w:color="auto"/>
              <w:right w:val="single" w:sz="4" w:space="0" w:color="auto"/>
            </w:tcBorders>
          </w:tcPr>
          <w:p w:rsidR="008D159A" w:rsidRDefault="008D159A" w:rsidP="00F004C9">
            <w:pPr>
              <w:rPr>
                <w:rFonts w:ascii="Arial" w:hAnsi="Arial"/>
                <w:sz w:val="22"/>
                <w:szCs w:val="24"/>
                <w:lang w:val="nb-NO" w:eastAsia="de-DE"/>
              </w:rPr>
            </w:pPr>
          </w:p>
        </w:tc>
      </w:tr>
      <w:tr w:rsidR="008D159A" w:rsidTr="00F004C9">
        <w:trPr>
          <w:cantSplit/>
          <w:trHeight w:val="443"/>
        </w:trPr>
        <w:tc>
          <w:tcPr>
            <w:tcW w:w="9640" w:type="dxa"/>
            <w:tcBorders>
              <w:top w:val="single" w:sz="4" w:space="0" w:color="auto"/>
              <w:left w:val="single" w:sz="4" w:space="0" w:color="auto"/>
              <w:bottom w:val="nil"/>
              <w:right w:val="single" w:sz="4" w:space="0" w:color="auto"/>
            </w:tcBorders>
            <w:hideMark/>
          </w:tcPr>
          <w:p w:rsidR="008D159A" w:rsidRDefault="008D159A" w:rsidP="00F004C9">
            <w:pPr>
              <w:tabs>
                <w:tab w:val="center" w:pos="4536"/>
                <w:tab w:val="right" w:pos="9072"/>
              </w:tabs>
              <w:rPr>
                <w:rFonts w:ascii="Arial" w:hAnsi="Arial"/>
                <w:b/>
                <w:sz w:val="22"/>
                <w:lang w:val="en-US" w:eastAsia="de-DE"/>
              </w:rPr>
            </w:pPr>
            <w:r>
              <w:rPr>
                <w:rFonts w:ascii="Arial" w:hAnsi="Arial"/>
                <w:b/>
                <w:sz w:val="22"/>
                <w:lang w:val="en-US" w:eastAsia="de-DE"/>
              </w:rPr>
              <w:t xml:space="preserve">Proposal: </w:t>
            </w:r>
          </w:p>
        </w:tc>
      </w:tr>
      <w:tr w:rsidR="008D159A" w:rsidTr="00F004C9">
        <w:trPr>
          <w:cantSplit/>
          <w:trHeight w:val="945"/>
        </w:trPr>
        <w:tc>
          <w:tcPr>
            <w:tcW w:w="9640" w:type="dxa"/>
            <w:tcBorders>
              <w:top w:val="nil"/>
              <w:left w:val="single" w:sz="4" w:space="0" w:color="auto"/>
              <w:bottom w:val="single" w:sz="4" w:space="0" w:color="auto"/>
              <w:right w:val="single" w:sz="4" w:space="0" w:color="auto"/>
            </w:tcBorders>
          </w:tcPr>
          <w:p w:rsidR="008D159A" w:rsidRDefault="008D159A" w:rsidP="00F004C9">
            <w:pPr>
              <w:rPr>
                <w:rFonts w:ascii="Arial" w:hAnsi="Arial"/>
                <w:sz w:val="22"/>
                <w:szCs w:val="24"/>
                <w:lang w:val="en-US" w:eastAsia="de-DE"/>
              </w:rPr>
            </w:pPr>
            <w:r>
              <w:rPr>
                <w:rFonts w:ascii="Times New Roman" w:hAnsi="Times New Roman"/>
                <w:sz w:val="20"/>
                <w:lang w:val="en-US"/>
              </w:rPr>
              <w:t>For consideration.</w:t>
            </w:r>
          </w:p>
          <w:p w:rsidR="008D159A" w:rsidRDefault="008D159A" w:rsidP="00F004C9">
            <w:pPr>
              <w:spacing w:after="120"/>
              <w:jc w:val="both"/>
              <w:rPr>
                <w:rFonts w:ascii="Arial" w:hAnsi="Arial"/>
                <w:sz w:val="22"/>
                <w:szCs w:val="24"/>
                <w:lang w:val="en-US" w:eastAsia="de-DE"/>
              </w:rPr>
            </w:pPr>
          </w:p>
        </w:tc>
      </w:tr>
      <w:tr w:rsidR="008D159A" w:rsidTr="00F004C9">
        <w:trPr>
          <w:cantSplit/>
          <w:trHeight w:val="431"/>
        </w:trPr>
        <w:tc>
          <w:tcPr>
            <w:tcW w:w="9640" w:type="dxa"/>
            <w:tcBorders>
              <w:top w:val="single" w:sz="4" w:space="0" w:color="auto"/>
              <w:left w:val="single" w:sz="4" w:space="0" w:color="auto"/>
              <w:bottom w:val="nil"/>
              <w:right w:val="single" w:sz="4" w:space="0" w:color="auto"/>
            </w:tcBorders>
            <w:hideMark/>
          </w:tcPr>
          <w:p w:rsidR="008D159A" w:rsidRDefault="008D159A" w:rsidP="00F004C9">
            <w:pPr>
              <w:tabs>
                <w:tab w:val="center" w:pos="4536"/>
                <w:tab w:val="right" w:pos="9072"/>
              </w:tabs>
              <w:rPr>
                <w:rFonts w:ascii="Arial" w:hAnsi="Arial"/>
                <w:b/>
                <w:sz w:val="22"/>
                <w:lang w:val="en-US" w:eastAsia="de-DE"/>
              </w:rPr>
            </w:pPr>
            <w:r>
              <w:rPr>
                <w:rFonts w:ascii="Arial" w:hAnsi="Arial"/>
                <w:b/>
                <w:sz w:val="22"/>
                <w:lang w:val="en-US" w:eastAsia="de-DE"/>
              </w:rPr>
              <w:t xml:space="preserve">Background: </w:t>
            </w:r>
          </w:p>
        </w:tc>
      </w:tr>
      <w:tr w:rsidR="008D159A" w:rsidTr="00F004C9">
        <w:trPr>
          <w:cantSplit/>
          <w:trHeight w:val="784"/>
        </w:trPr>
        <w:tc>
          <w:tcPr>
            <w:tcW w:w="9640" w:type="dxa"/>
            <w:tcBorders>
              <w:top w:val="nil"/>
              <w:left w:val="single" w:sz="4" w:space="0" w:color="auto"/>
              <w:bottom w:val="single" w:sz="4" w:space="0" w:color="auto"/>
              <w:right w:val="single" w:sz="4" w:space="0" w:color="auto"/>
            </w:tcBorders>
          </w:tcPr>
          <w:p w:rsidR="008D159A" w:rsidRDefault="008D159A" w:rsidP="00F004C9">
            <w:pPr>
              <w:spacing w:after="120"/>
              <w:jc w:val="both"/>
              <w:rPr>
                <w:rFonts w:ascii="Arial" w:hAnsi="Arial"/>
                <w:bCs/>
                <w:sz w:val="22"/>
                <w:szCs w:val="24"/>
                <w:lang w:eastAsia="de-DE"/>
              </w:rPr>
            </w:pPr>
          </w:p>
        </w:tc>
      </w:tr>
    </w:tbl>
    <w:p w:rsidR="008D159A" w:rsidRDefault="008D159A" w:rsidP="008D159A">
      <w:pPr>
        <w:rPr>
          <w:rFonts w:ascii="Verdana" w:hAnsi="Verdana"/>
          <w:sz w:val="18"/>
          <w:szCs w:val="24"/>
          <w:lang w:val="en-US" w:eastAsia="nl-NL"/>
        </w:rPr>
      </w:pPr>
    </w:p>
    <w:p w:rsidR="008D159A" w:rsidRDefault="008D159A" w:rsidP="008D159A">
      <w:pPr>
        <w:tabs>
          <w:tab w:val="center" w:pos="4536"/>
          <w:tab w:val="right" w:pos="9072"/>
        </w:tabs>
        <w:jc w:val="center"/>
        <w:rPr>
          <w:rFonts w:ascii="Arial" w:hAnsi="Arial"/>
          <w:b/>
          <w:sz w:val="22"/>
          <w:szCs w:val="22"/>
          <w:lang w:val="nb-NO" w:eastAsia="de-DE"/>
        </w:rPr>
      </w:pPr>
      <w:r>
        <w:rPr>
          <w:lang w:val="en-US"/>
        </w:rPr>
        <w:br w:type="page"/>
      </w:r>
    </w:p>
    <w:p w:rsidR="008D159A" w:rsidRDefault="008D159A" w:rsidP="008D159A">
      <w:pPr>
        <w:jc w:val="center"/>
        <w:rPr>
          <w:b/>
          <w:bCs/>
        </w:rPr>
      </w:pPr>
      <w:r w:rsidRPr="0016430C">
        <w:rPr>
          <w:b/>
          <w:bCs/>
        </w:rPr>
        <w:lastRenderedPageBreak/>
        <w:t xml:space="preserve">European Common </w:t>
      </w:r>
      <w:commentRangeStart w:id="1"/>
      <w:r w:rsidRPr="0016430C">
        <w:rPr>
          <w:b/>
          <w:bCs/>
        </w:rPr>
        <w:t>Proposal</w:t>
      </w:r>
      <w:r>
        <w:rPr>
          <w:b/>
          <w:bCs/>
        </w:rPr>
        <w:t>/Position</w:t>
      </w:r>
      <w:r w:rsidRPr="0016430C">
        <w:t xml:space="preserve"> </w:t>
      </w:r>
      <w:commentRangeEnd w:id="1"/>
      <w:r>
        <w:rPr>
          <w:rStyle w:val="Kommentarsreferens"/>
        </w:rPr>
        <w:commentReference w:id="1"/>
      </w:r>
      <w:r>
        <w:t>&lt;</w:t>
      </w:r>
      <w:r>
        <w:rPr>
          <w:b/>
          <w:bCs/>
        </w:rPr>
        <w:t>xx&gt;</w:t>
      </w:r>
    </w:p>
    <w:p w:rsidR="008D159A" w:rsidRDefault="008D159A" w:rsidP="008D159A">
      <w:pPr>
        <w:jc w:val="center"/>
        <w:rPr>
          <w:b/>
          <w:szCs w:val="28"/>
        </w:rPr>
      </w:pPr>
      <w:r>
        <w:rPr>
          <w:b/>
          <w:szCs w:val="28"/>
        </w:rPr>
        <w:t xml:space="preserve">Double Taxation of </w:t>
      </w:r>
      <w:proofErr w:type="gramStart"/>
      <w:r>
        <w:rPr>
          <w:b/>
          <w:szCs w:val="28"/>
        </w:rPr>
        <w:t>International  Telecommunication</w:t>
      </w:r>
      <w:proofErr w:type="gramEnd"/>
      <w:r>
        <w:rPr>
          <w:b/>
          <w:szCs w:val="28"/>
        </w:rPr>
        <w:t xml:space="preserve"> Services</w:t>
      </w:r>
    </w:p>
    <w:p w:rsidR="00EF61D2" w:rsidRDefault="00EF61D2" w:rsidP="008D159A">
      <w:pPr>
        <w:rPr>
          <w:b/>
        </w:rPr>
      </w:pPr>
      <w:r>
        <w:rPr>
          <w:b/>
        </w:rPr>
        <w:t>Background</w:t>
      </w:r>
    </w:p>
    <w:p w:rsidR="009053DC" w:rsidRDefault="009053DC" w:rsidP="00EF61D2">
      <w:r>
        <w:t xml:space="preserve">Cross border business activity will involve tax rules of more than one national jurisdiction. When multiple jurisdictions impose separate and sometimes conflicting tax rules, cross border activities can be subject to double taxation (taxation by two or more countries of </w:t>
      </w:r>
      <w:r w:rsidR="00772082">
        <w:t>the same income, asset or transac</w:t>
      </w:r>
      <w:r>
        <w:t>tion).</w:t>
      </w:r>
    </w:p>
    <w:p w:rsidR="009053DC" w:rsidRDefault="009053DC" w:rsidP="00EF61D2">
      <w:r>
        <w:t>There are two basic types of double taxation. The first type is often called “economic double taxation”. Economic double taxation occurs where two different persons are</w:t>
      </w:r>
      <w:r w:rsidR="00F53B2D">
        <w:t xml:space="preserve"> </w:t>
      </w:r>
      <w:r>
        <w:t>subject to tax on the same income or capital. Economic double taxation is permitted to occur in many instances in domestic and international tax systems</w:t>
      </w:r>
      <w:r w:rsidR="007523EB">
        <w:t>. For example, economic double taxation is allowed to take place when a corporation is taxed on corporate income and the same profits are taxed a second time to the shareholder of the corporation when corporation distributes the profits as a dividend. The second type of double taxation is “juridical double taxation”. Juridical double taxation occurs where one person is subject to tax on the same income or capital by more than one tax authority.</w:t>
      </w:r>
    </w:p>
    <w:p w:rsidR="009053DC" w:rsidRPr="009053DC" w:rsidRDefault="009053DC" w:rsidP="00EF61D2">
      <w:r>
        <w:t>The principal mechanisms for avoiding double taxation are (i) to exempt the income from taxation in one or more jurisdictions (the “exemption method”) or (ii) to allow double taxation but permit the taxpayer to claim a credit or deduction for taxes paid in one jurisdiction against his or her tax liability in another jurisdiction (“the credit method”).</w:t>
      </w:r>
    </w:p>
    <w:p w:rsidR="00EF61D2" w:rsidRDefault="00EF61D2" w:rsidP="00EF61D2">
      <w:pPr>
        <w:rPr>
          <w:b/>
          <w:lang w:val="en-US"/>
        </w:rPr>
      </w:pPr>
      <w:r>
        <w:rPr>
          <w:b/>
          <w:lang w:val="en-US"/>
        </w:rPr>
        <w:t>Analysis</w:t>
      </w:r>
    </w:p>
    <w:p w:rsidR="00A84892" w:rsidRDefault="00A84892" w:rsidP="00EF61D2">
      <w:pPr>
        <w:rPr>
          <w:b/>
          <w:lang w:val="en-US"/>
        </w:rPr>
      </w:pPr>
      <w:r>
        <w:rPr>
          <w:b/>
          <w:lang w:val="en-US"/>
        </w:rPr>
        <w:t>International Telecommunications Regulations</w:t>
      </w:r>
      <w:r w:rsidR="00BF5F13">
        <w:rPr>
          <w:b/>
          <w:lang w:val="en-US"/>
        </w:rPr>
        <w:t xml:space="preserve"> (ITRs)</w:t>
      </w:r>
    </w:p>
    <w:p w:rsidR="00A84892" w:rsidRDefault="00A84892" w:rsidP="00EF61D2">
      <w:pPr>
        <w:rPr>
          <w:lang w:val="en-US"/>
        </w:rPr>
      </w:pPr>
      <w:r>
        <w:rPr>
          <w:lang w:val="en-US"/>
        </w:rPr>
        <w:t>One of the principal purposes of the ITRs is to promote efficient operation and harmonious development of telecommunication services across jurisdictions. Double taxation generally reduces tax efficiency and ‘capital export neutrality’. Broadly speaking capital export neutrality is the principle that taxpayers should be subject to tax rates on domestic investment that are equal to the tax rates of foreign investment. Double taxation can therefore impede the goals of promoting efficient operation and harmon</w:t>
      </w:r>
      <w:r w:rsidR="00772082">
        <w:rPr>
          <w:lang w:val="en-US"/>
        </w:rPr>
        <w:t>ious development of telecommunications and impede capital export neutrality.</w:t>
      </w:r>
    </w:p>
    <w:p w:rsidR="00D26A21" w:rsidRDefault="00D26A21" w:rsidP="00D26A21">
      <w:pPr>
        <w:rPr>
          <w:lang w:val="en-US"/>
        </w:rPr>
      </w:pPr>
      <w:r>
        <w:rPr>
          <w:lang w:val="en-US"/>
        </w:rPr>
        <w:t>In order to mitigate the potential consequences of double taxation and to insure that tax rules are applied consistently and fairly, a mechanism for avoiding double taxation should (i) protect against the risk of double taxation in instances where the same income is taxable in two countries; (ii) define which taxes are covered by the agreement; (iii) provide a procedural framework for enforcement and dispute resolution; (iv) protect each government’s taxing rights; and (v) protect against attempts to avoid or evade tax liability.</w:t>
      </w:r>
    </w:p>
    <w:p w:rsidR="00D26A21" w:rsidRDefault="00D26A21" w:rsidP="00D26A21">
      <w:pPr>
        <w:rPr>
          <w:lang w:val="en-US"/>
        </w:rPr>
      </w:pPr>
      <w:r>
        <w:rPr>
          <w:lang w:val="en-US"/>
        </w:rPr>
        <w:t>Therefore, in essence cross border activities and non-conformity among tax laws create discontinuities that in turn create the potential for double taxation. National governments may mitigate, although not in every case eliminate, these risks through entering ‘Double Taxation Agreements’, which provide greater convergence of tax laws.</w:t>
      </w:r>
    </w:p>
    <w:p w:rsidR="00D0095B" w:rsidRDefault="00D0095B" w:rsidP="00D26A21">
      <w:pPr>
        <w:rPr>
          <w:lang w:val="en-US"/>
        </w:rPr>
      </w:pPr>
      <w:r>
        <w:rPr>
          <w:lang w:val="en-US"/>
        </w:rPr>
        <w:t xml:space="preserve">It should also be noted that </w:t>
      </w:r>
      <w:r w:rsidR="00344E26">
        <w:rPr>
          <w:lang w:val="en-US"/>
        </w:rPr>
        <w:t>four</w:t>
      </w:r>
      <w:r>
        <w:rPr>
          <w:lang w:val="en-US"/>
        </w:rPr>
        <w:t xml:space="preserve"> countries in Africa (Senegal; Ghana; Gabon and Congo Brazzaville) </w:t>
      </w:r>
      <w:r w:rsidR="00344E26">
        <w:rPr>
          <w:lang w:val="en-US"/>
        </w:rPr>
        <w:t xml:space="preserve">are imposing a new additional telecommunication specific tax, in the form of </w:t>
      </w:r>
      <w:proofErr w:type="gramStart"/>
      <w:r w:rsidR="00344E26">
        <w:rPr>
          <w:lang w:val="en-US"/>
        </w:rPr>
        <w:t>a Surtax</w:t>
      </w:r>
      <w:proofErr w:type="gramEnd"/>
      <w:r w:rsidR="00344E26">
        <w:rPr>
          <w:lang w:val="en-US"/>
        </w:rPr>
        <w:t xml:space="preserve"> on International Inbound Call Termination (“SIIT”).</w:t>
      </w:r>
    </w:p>
    <w:p w:rsidR="00344E26" w:rsidRDefault="00344E26" w:rsidP="00D26A21">
      <w:pPr>
        <w:rPr>
          <w:lang w:val="en-US"/>
        </w:rPr>
      </w:pPr>
      <w:r>
        <w:rPr>
          <w:lang w:val="en-US"/>
        </w:rPr>
        <w:lastRenderedPageBreak/>
        <w:t xml:space="preserve">The SIIT takes the form of imposed fixed price that operators must charge for international inbound termination, of which the government takes a set amount. The government will often use a private party to measure the number of international inbound minutes terminated by each operator and bill the operator accordingly. The </w:t>
      </w:r>
      <w:proofErr w:type="gramStart"/>
      <w:r>
        <w:rPr>
          <w:lang w:val="en-US"/>
        </w:rPr>
        <w:t>tax</w:t>
      </w:r>
      <w:proofErr w:type="gramEnd"/>
      <w:r>
        <w:rPr>
          <w:lang w:val="en-US"/>
        </w:rPr>
        <w:t xml:space="preserve"> charges are collected in this way are then shared with the private party that carries out the measuring function. SIIT prices are different from the competitive market termination which applied before the tax was introduced. In its basic form SIIT sets compulsory prices for international termination which does not sit comfortably with the general recent move towards liberalization of telecommunications in Africa, as well </w:t>
      </w:r>
      <w:r w:rsidR="003A52E3">
        <w:rPr>
          <w:lang w:val="en-US"/>
        </w:rPr>
        <w:t xml:space="preserve">as </w:t>
      </w:r>
      <w:r>
        <w:rPr>
          <w:lang w:val="en-US"/>
        </w:rPr>
        <w:t>in the general global context.</w:t>
      </w:r>
    </w:p>
    <w:p w:rsidR="00D26A21" w:rsidRPr="00D26A21" w:rsidRDefault="00D26A21" w:rsidP="00EF61D2">
      <w:pPr>
        <w:rPr>
          <w:b/>
          <w:lang w:val="en-US"/>
        </w:rPr>
      </w:pPr>
      <w:r w:rsidRPr="00D26A21">
        <w:rPr>
          <w:b/>
          <w:lang w:val="en-US"/>
        </w:rPr>
        <w:t>ITR Article 6.1.3</w:t>
      </w:r>
    </w:p>
    <w:p w:rsidR="00BF5F13" w:rsidRDefault="00BF5F13" w:rsidP="00EF61D2">
      <w:pPr>
        <w:rPr>
          <w:lang w:val="en-US"/>
        </w:rPr>
      </w:pPr>
      <w:r>
        <w:rPr>
          <w:lang w:val="en-US"/>
        </w:rPr>
        <w:t>Article 6.1.3 of the current ITRs provides that:</w:t>
      </w:r>
    </w:p>
    <w:p w:rsidR="00BF5F13" w:rsidRDefault="00BF5F13" w:rsidP="00EF61D2">
      <w:pPr>
        <w:rPr>
          <w:i/>
          <w:lang w:val="en-US"/>
        </w:rPr>
      </w:pPr>
      <w:r>
        <w:rPr>
          <w:lang w:val="en-US"/>
        </w:rPr>
        <w:t>“</w:t>
      </w:r>
      <w:proofErr w:type="gramStart"/>
      <w:r>
        <w:rPr>
          <w:i/>
          <w:lang w:val="en-US"/>
        </w:rPr>
        <w:t>where</w:t>
      </w:r>
      <w:proofErr w:type="gramEnd"/>
      <w:r>
        <w:rPr>
          <w:i/>
          <w:lang w:val="en-US"/>
        </w:rPr>
        <w:t>,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p w:rsidR="00BF5F13" w:rsidRDefault="00BF5F13" w:rsidP="00EF61D2">
      <w:pPr>
        <w:rPr>
          <w:lang w:val="en-US"/>
        </w:rPr>
      </w:pPr>
      <w:r>
        <w:rPr>
          <w:lang w:val="en-US"/>
        </w:rPr>
        <w:t xml:space="preserve">The meaning and application of Article 6.1.3 is not entirely clear. Double Taxation Agreements (DTAs) for example, generally define in precise detail the taxes covered. The lack of a precise definition of “fiscal tax” for purposes of the ITRs results in a lack of clarity and creates uncertainty. </w:t>
      </w:r>
    </w:p>
    <w:p w:rsidR="00BF5F13" w:rsidRDefault="00BF5F13" w:rsidP="00EF61D2">
      <w:pPr>
        <w:rPr>
          <w:lang w:val="en-US"/>
        </w:rPr>
      </w:pPr>
      <w:r>
        <w:rPr>
          <w:lang w:val="en-US"/>
        </w:rPr>
        <w:t>Therefore, the ITU</w:t>
      </w:r>
      <w:r w:rsidR="00DF1C67">
        <w:rPr>
          <w:lang w:val="en-US"/>
        </w:rPr>
        <w:t xml:space="preserve"> WCIT-12 Council Working Group</w:t>
      </w:r>
      <w:r>
        <w:rPr>
          <w:lang w:val="en-US"/>
        </w:rPr>
        <w:t xml:space="preserve"> is co</w:t>
      </w:r>
      <w:r w:rsidR="00DF1C67">
        <w:rPr>
          <w:lang w:val="en-US"/>
        </w:rPr>
        <w:t xml:space="preserve">nsidering proposals to revise Article 6.1.3.  </w:t>
      </w:r>
      <w:r w:rsidR="009F0CD7">
        <w:rPr>
          <w:lang w:val="en-US"/>
        </w:rPr>
        <w:t>There have been up to [xx November 2011] four suggested revisions to Article 6.1.3</w:t>
      </w:r>
      <w:r w:rsidR="00DF1C67">
        <w:rPr>
          <w:lang w:val="en-US"/>
        </w:rPr>
        <w:t>:</w:t>
      </w:r>
    </w:p>
    <w:p w:rsidR="009F0CD7" w:rsidRPr="009F0CD7" w:rsidRDefault="009F0CD7" w:rsidP="00802F09">
      <w:pPr>
        <w:rPr>
          <w:i/>
          <w:lang w:val="en-US"/>
        </w:rPr>
      </w:pPr>
      <w:r w:rsidRPr="00D26A21">
        <w:rPr>
          <w:b/>
          <w:i/>
          <w:lang w:val="en-US"/>
        </w:rPr>
        <w:t>MOD1</w:t>
      </w:r>
      <w:r>
        <w:rPr>
          <w:i/>
          <w:lang w:val="en-US"/>
        </w:rPr>
        <w:t xml:space="preserve"> </w:t>
      </w:r>
      <w:r w:rsidR="00DF1C67" w:rsidRPr="009F0CD7">
        <w:rPr>
          <w:i/>
          <w:lang w:val="en-US"/>
        </w:rPr>
        <w:t>“Countries are free to levy fiscal taxes on international telecommunications services in accordance with their national laws, but international double taxation must be avoided”.</w:t>
      </w:r>
      <w:r w:rsidRPr="009F0CD7">
        <w:rPr>
          <w:i/>
          <w:lang w:val="en-US"/>
        </w:rPr>
        <w:t xml:space="preserve"> Source: C18 (SG3R-AFR; C24 (SG3RG-LAC); C27 (SG3RG-AO); and C32 (Brazil).</w:t>
      </w:r>
    </w:p>
    <w:p w:rsidR="009F0CD7" w:rsidRDefault="009F0CD7" w:rsidP="009F0CD7">
      <w:pPr>
        <w:pStyle w:val="Liststycke"/>
        <w:rPr>
          <w:i/>
          <w:lang w:val="en-US"/>
        </w:rPr>
      </w:pPr>
    </w:p>
    <w:p w:rsidR="009F0CD7" w:rsidRDefault="009F0CD7" w:rsidP="009F0CD7">
      <w:pPr>
        <w:rPr>
          <w:i/>
          <w:lang w:val="en-US"/>
        </w:rPr>
      </w:pPr>
      <w:r w:rsidRPr="00D26A21">
        <w:rPr>
          <w:b/>
          <w:i/>
          <w:lang w:val="en-US"/>
        </w:rPr>
        <w:t>MOD2</w:t>
      </w:r>
      <w:r>
        <w:rPr>
          <w:i/>
          <w:lang w:val="en-US"/>
        </w:rPr>
        <w:t xml:space="preserve"> “Article 6.1.3 of the International Telecommunications Regulations should be clarified and should </w:t>
      </w:r>
      <w:r w:rsidR="00802F09">
        <w:rPr>
          <w:i/>
          <w:lang w:val="en-US"/>
        </w:rPr>
        <w:t xml:space="preserve">stipulate that administrations shall not apply taxes to incoming international calls, so as to avoid double taxation”. </w:t>
      </w:r>
      <w:proofErr w:type="gramStart"/>
      <w:r w:rsidR="00802F09">
        <w:rPr>
          <w:i/>
          <w:lang w:val="en-US"/>
        </w:rPr>
        <w:t>Source C26 Rev.1 (GSMA).</w:t>
      </w:r>
      <w:proofErr w:type="gramEnd"/>
    </w:p>
    <w:p w:rsidR="00802F09" w:rsidRDefault="00802F09" w:rsidP="009F0CD7">
      <w:pPr>
        <w:rPr>
          <w:i/>
          <w:lang w:val="en-US"/>
        </w:rPr>
      </w:pPr>
    </w:p>
    <w:p w:rsidR="00802F09" w:rsidRDefault="00802F09" w:rsidP="009F0CD7">
      <w:pPr>
        <w:rPr>
          <w:i/>
          <w:lang w:val="en-US"/>
        </w:rPr>
      </w:pPr>
      <w:r w:rsidRPr="00D26A21">
        <w:rPr>
          <w:b/>
          <w:i/>
          <w:lang w:val="en-US"/>
        </w:rPr>
        <w:t>MOD3</w:t>
      </w:r>
      <w:r>
        <w:rPr>
          <w:i/>
          <w:lang w:val="en-US"/>
        </w:rPr>
        <w:t xml:space="preserve"> “Member States to only collect fiscal taxes in respect of international services billed to customers in that country”. Source C20 (CEPT).</w:t>
      </w:r>
    </w:p>
    <w:p w:rsidR="00802F09" w:rsidRDefault="00802F09" w:rsidP="009F0CD7">
      <w:pPr>
        <w:rPr>
          <w:i/>
          <w:lang w:val="en-US"/>
        </w:rPr>
      </w:pPr>
    </w:p>
    <w:p w:rsidR="00802F09" w:rsidRDefault="00802F09" w:rsidP="009F0CD7">
      <w:pPr>
        <w:rPr>
          <w:i/>
          <w:lang w:val="en-US"/>
        </w:rPr>
      </w:pPr>
      <w:r w:rsidRPr="00D26A21">
        <w:rPr>
          <w:b/>
          <w:i/>
          <w:lang w:val="en-US"/>
        </w:rPr>
        <w:t>MOD4</w:t>
      </w:r>
      <w:r>
        <w:rPr>
          <w:i/>
          <w:lang w:val="en-US"/>
        </w:rPr>
        <w:t xml:space="preserve"> “Where,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p w:rsidR="00802F09" w:rsidRDefault="00802F09" w:rsidP="009F0CD7">
      <w:pPr>
        <w:rPr>
          <w:i/>
          <w:lang w:val="en-US"/>
        </w:rPr>
      </w:pPr>
      <w:r w:rsidRPr="00D26A21">
        <w:rPr>
          <w:b/>
          <w:i/>
          <w:lang w:val="en-US"/>
        </w:rPr>
        <w:t>ADD: 6.2.1</w:t>
      </w:r>
      <w:r>
        <w:rPr>
          <w:i/>
          <w:lang w:val="en-US"/>
        </w:rPr>
        <w:t xml:space="preserve"> “Where an ROA has a duty or fiscal tax levied on its share of charges for providing international telecommunication services or other remunerations it shall not in turn impose any such duty or fiscal tax on other ROA”.</w:t>
      </w:r>
    </w:p>
    <w:p w:rsidR="008137D0" w:rsidRDefault="00802F09" w:rsidP="00D26A21">
      <w:pPr>
        <w:rPr>
          <w:i/>
          <w:lang w:val="en-US"/>
        </w:rPr>
      </w:pPr>
      <w:r w:rsidRPr="00D26A21">
        <w:rPr>
          <w:b/>
          <w:i/>
          <w:lang w:val="en-US"/>
        </w:rPr>
        <w:t>ADD: 6.2.2</w:t>
      </w:r>
      <w:r>
        <w:rPr>
          <w:i/>
          <w:lang w:val="en-US"/>
        </w:rPr>
        <w:t xml:space="preserve"> “The payment charges imposed in the debtor country (taxes, clearing charges, commissions </w:t>
      </w:r>
      <w:proofErr w:type="spellStart"/>
      <w:r>
        <w:rPr>
          <w:i/>
          <w:lang w:val="en-US"/>
        </w:rPr>
        <w:t>etc</w:t>
      </w:r>
      <w:proofErr w:type="spellEnd"/>
      <w:r>
        <w:rPr>
          <w:i/>
          <w:lang w:val="en-US"/>
        </w:rPr>
        <w:t xml:space="preserve">) shall be borne by the debtor. Any such charges imposed in the creditor </w:t>
      </w:r>
      <w:r>
        <w:rPr>
          <w:i/>
          <w:lang w:val="en-US"/>
        </w:rPr>
        <w:lastRenderedPageBreak/>
        <w:t>country, including payment charges imposed by intermediate banks in third countries, shall be borne by the creditor”. Source C28 (USA).</w:t>
      </w:r>
    </w:p>
    <w:p w:rsidR="009A1D3F" w:rsidRPr="00DF1C67" w:rsidRDefault="009A1D3F" w:rsidP="00DF1C67">
      <w:pPr>
        <w:rPr>
          <w:lang w:val="en-US"/>
        </w:rPr>
      </w:pPr>
    </w:p>
    <w:p w:rsidR="00EF61D2" w:rsidRDefault="00EF61D2" w:rsidP="00EF61D2">
      <w:pPr>
        <w:rPr>
          <w:b/>
          <w:lang w:val="en-US"/>
        </w:rPr>
      </w:pPr>
      <w:r w:rsidRPr="0016430C">
        <w:rPr>
          <w:b/>
          <w:lang w:val="en-US"/>
        </w:rPr>
        <w:t>Proposal</w:t>
      </w:r>
    </w:p>
    <w:p w:rsidR="00F53B2D" w:rsidRDefault="00D26A21" w:rsidP="00EF61D2">
      <w:pPr>
        <w:rPr>
          <w:lang w:val="en-US"/>
        </w:rPr>
      </w:pPr>
      <w:r>
        <w:rPr>
          <w:lang w:val="en-US"/>
        </w:rPr>
        <w:t>The CEPT proposal contained in C20 (MOD3 above) should be amended to:</w:t>
      </w:r>
    </w:p>
    <w:p w:rsidR="00D26A21" w:rsidRPr="00D26A21" w:rsidRDefault="00D26A21" w:rsidP="00EF61D2">
      <w:pPr>
        <w:rPr>
          <w:b/>
          <w:lang w:val="en-US"/>
        </w:rPr>
      </w:pPr>
      <w:r w:rsidRPr="00D26A21">
        <w:rPr>
          <w:b/>
          <w:lang w:val="en-US"/>
        </w:rPr>
        <w:t>“Countries shall not apply taxes to incoming international calls, to avoid double taxation”.</w:t>
      </w:r>
    </w:p>
    <w:p w:rsidR="00F53B2D" w:rsidRPr="0016430C" w:rsidRDefault="00F53B2D" w:rsidP="00EF61D2">
      <w:pPr>
        <w:rPr>
          <w:b/>
          <w:lang w:val="en-US"/>
        </w:rPr>
      </w:pPr>
    </w:p>
    <w:p w:rsidR="00EF61D2" w:rsidRPr="0016430C" w:rsidRDefault="00EF61D2" w:rsidP="00EF61D2">
      <w:pPr>
        <w:pStyle w:val="NormalS2"/>
      </w:pPr>
      <w:r>
        <w:t>EUR/</w:t>
      </w:r>
      <w:commentRangeStart w:id="2"/>
      <w:r>
        <w:t>xx</w:t>
      </w:r>
      <w:commentRangeEnd w:id="2"/>
      <w:r>
        <w:rPr>
          <w:rStyle w:val="Kommentarsreferens"/>
          <w:b w:val="0"/>
        </w:rPr>
        <w:commentReference w:id="2"/>
      </w:r>
      <w:r>
        <w:t>/n</w:t>
      </w:r>
    </w:p>
    <w:p w:rsidR="00EF61D2" w:rsidRPr="0016430C" w:rsidRDefault="00EF61D2" w:rsidP="00EF61D2">
      <w:pPr>
        <w:pStyle w:val="NormalendS2"/>
        <w:rPr>
          <w:lang w:val="en-US"/>
        </w:rPr>
      </w:pPr>
    </w:p>
    <w:sectPr w:rsidR="00EF61D2" w:rsidRPr="0016430C" w:rsidSect="008361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ushton" w:date="2011-11-17T13:58:00Z" w:initials="PM">
    <w:p w:rsidR="008D159A" w:rsidRDefault="008D159A" w:rsidP="008D159A">
      <w:pPr>
        <w:pStyle w:val="Kommentarer"/>
      </w:pPr>
      <w:r>
        <w:rPr>
          <w:rStyle w:val="Kommentarsreferens"/>
        </w:rPr>
        <w:annotationRef/>
      </w:r>
      <w:r>
        <w:t xml:space="preserve">Delete </w:t>
      </w:r>
      <w:proofErr w:type="spellStart"/>
      <w:r>
        <w:t>which ever</w:t>
      </w:r>
      <w:proofErr w:type="spellEnd"/>
      <w:r>
        <w:t xml:space="preserve"> is not required</w:t>
      </w:r>
    </w:p>
  </w:comment>
  <w:comment w:id="2" w:author="Rushton" w:date="2011-10-06T15:53:00Z" w:initials="PM">
    <w:p w:rsidR="00EF61D2" w:rsidRDefault="00EF61D2">
      <w:pPr>
        <w:pStyle w:val="Kommentarer"/>
      </w:pPr>
      <w:r>
        <w:rPr>
          <w:rStyle w:val="Kommentarsreferens"/>
        </w:rPr>
        <w:annotationRef/>
      </w:r>
      <w:r>
        <w:t xml:space="preserve">This will be </w:t>
      </w:r>
      <w:proofErr w:type="gramStart"/>
      <w:r>
        <w:t>the  number</w:t>
      </w:r>
      <w:proofErr w:type="gramEnd"/>
      <w:r>
        <w:t xml:space="preserve"> of the document in the conference containing the </w:t>
      </w:r>
      <w:proofErr w:type="spellStart"/>
      <w:r>
        <w:t>ECp’s</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FE" w:rsidRDefault="002F41FE" w:rsidP="00EF61D2">
      <w:pPr>
        <w:spacing w:before="0"/>
      </w:pPr>
      <w:r>
        <w:separator/>
      </w:r>
    </w:p>
  </w:endnote>
  <w:endnote w:type="continuationSeparator" w:id="0">
    <w:p w:rsidR="002F41FE" w:rsidRDefault="002F41FE" w:rsidP="00EF61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FE" w:rsidRDefault="002F41FE" w:rsidP="00EF61D2">
      <w:pPr>
        <w:spacing w:before="0"/>
      </w:pPr>
      <w:r>
        <w:separator/>
      </w:r>
    </w:p>
  </w:footnote>
  <w:footnote w:type="continuationSeparator" w:id="0">
    <w:p w:rsidR="002F41FE" w:rsidRDefault="002F41FE" w:rsidP="00EF61D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77F"/>
    <w:multiLevelType w:val="hybridMultilevel"/>
    <w:tmpl w:val="67A6D8EA"/>
    <w:lvl w:ilvl="0" w:tplc="8D661DFE">
      <w:start w:val="1"/>
      <w:numFmt w:val="decimal"/>
      <w:pStyle w:val="Rubrik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6600A"/>
    <w:multiLevelType w:val="hybridMultilevel"/>
    <w:tmpl w:val="D5920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8A7D99"/>
    <w:multiLevelType w:val="hybridMultilevel"/>
    <w:tmpl w:val="6E44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08"/>
    <w:rsid w:val="000C59A0"/>
    <w:rsid w:val="002F41FE"/>
    <w:rsid w:val="00325F3B"/>
    <w:rsid w:val="00344E26"/>
    <w:rsid w:val="003A52E3"/>
    <w:rsid w:val="00414AC2"/>
    <w:rsid w:val="0060026D"/>
    <w:rsid w:val="006D49A3"/>
    <w:rsid w:val="007523EB"/>
    <w:rsid w:val="00772082"/>
    <w:rsid w:val="007833C0"/>
    <w:rsid w:val="00802F09"/>
    <w:rsid w:val="008137D0"/>
    <w:rsid w:val="008361C6"/>
    <w:rsid w:val="00864745"/>
    <w:rsid w:val="008769E2"/>
    <w:rsid w:val="008814AB"/>
    <w:rsid w:val="008D159A"/>
    <w:rsid w:val="009053DC"/>
    <w:rsid w:val="009A1D3F"/>
    <w:rsid w:val="009B7A04"/>
    <w:rsid w:val="009E489D"/>
    <w:rsid w:val="009F0CD7"/>
    <w:rsid w:val="00A0249F"/>
    <w:rsid w:val="00A54D89"/>
    <w:rsid w:val="00A84892"/>
    <w:rsid w:val="00AB79AC"/>
    <w:rsid w:val="00BF5F13"/>
    <w:rsid w:val="00D0095B"/>
    <w:rsid w:val="00D26A21"/>
    <w:rsid w:val="00D87283"/>
    <w:rsid w:val="00DF1C67"/>
    <w:rsid w:val="00DF37FE"/>
    <w:rsid w:val="00E64808"/>
    <w:rsid w:val="00EF61D2"/>
    <w:rsid w:val="00F53B2D"/>
    <w:rsid w:val="00F7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Rubrik1Char"/>
    <w:autoRedefine/>
    <w:uiPriority w:val="9"/>
    <w:qFormat/>
    <w:rsid w:val="00864745"/>
    <w:pPr>
      <w:keepNext/>
      <w:keepLines/>
      <w:numPr>
        <w:numId w:val="3"/>
      </w:numPr>
      <w:spacing w:before="480"/>
      <w:outlineLvl w:val="0"/>
    </w:pPr>
    <w:rPr>
      <w:b/>
      <w:bCs/>
      <w:color w:val="000000"/>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uiPriority w:val="10"/>
    <w:qFormat/>
    <w:rsid w:val="009E489D"/>
    <w:pPr>
      <w:spacing w:after="120"/>
      <w:contextualSpacing/>
      <w:jc w:val="center"/>
    </w:pPr>
    <w:rPr>
      <w:color w:val="000000"/>
      <w:spacing w:val="5"/>
      <w:kern w:val="28"/>
      <w:sz w:val="36"/>
      <w:szCs w:val="52"/>
    </w:rPr>
  </w:style>
  <w:style w:type="character" w:customStyle="1" w:styleId="RubrikChar">
    <w:name w:val="Rubrik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Rubrik1Char">
    <w:name w:val="Rubrik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tnotstextChar"/>
    <w:rsid w:val="00EF61D2"/>
    <w:pPr>
      <w:keepLines/>
      <w:tabs>
        <w:tab w:val="left" w:pos="256"/>
      </w:tabs>
      <w:ind w:left="256" w:hanging="256"/>
    </w:pPr>
  </w:style>
  <w:style w:type="character" w:customStyle="1" w:styleId="FotnotstextChar">
    <w:name w:val="Fotnots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Kommentarer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KommentarerChar">
    <w:name w:val="Kommentarer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ngtextChar"/>
    <w:uiPriority w:val="99"/>
    <w:semiHidden/>
    <w:unhideWhenUsed/>
    <w:rsid w:val="00EF61D2"/>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KommentarsmneChar">
    <w:name w:val="Kommentarsämne Char"/>
    <w:basedOn w:val="KommentarerChar"/>
    <w:link w:val="Kommentarsmne"/>
    <w:uiPriority w:val="99"/>
    <w:semiHidden/>
    <w:rsid w:val="00EF61D2"/>
    <w:rPr>
      <w:rFonts w:ascii="Calibri" w:eastAsia="Times New Roman" w:hAnsi="Calibri" w:cs="Times New Roman"/>
      <w:b/>
      <w:bCs/>
      <w:sz w:val="20"/>
      <w:szCs w:val="20"/>
    </w:rPr>
  </w:style>
  <w:style w:type="paragraph" w:styleId="Liststycke">
    <w:name w:val="List Paragraph"/>
    <w:basedOn w:val="Normal"/>
    <w:uiPriority w:val="34"/>
    <w:qFormat/>
    <w:rsid w:val="00DF1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Rubrik1Char"/>
    <w:autoRedefine/>
    <w:uiPriority w:val="9"/>
    <w:qFormat/>
    <w:rsid w:val="00864745"/>
    <w:pPr>
      <w:keepNext/>
      <w:keepLines/>
      <w:numPr>
        <w:numId w:val="3"/>
      </w:numPr>
      <w:spacing w:before="480"/>
      <w:outlineLvl w:val="0"/>
    </w:pPr>
    <w:rPr>
      <w:b/>
      <w:bCs/>
      <w:color w:val="000000"/>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uiPriority w:val="10"/>
    <w:qFormat/>
    <w:rsid w:val="009E489D"/>
    <w:pPr>
      <w:spacing w:after="120"/>
      <w:contextualSpacing/>
      <w:jc w:val="center"/>
    </w:pPr>
    <w:rPr>
      <w:color w:val="000000"/>
      <w:spacing w:val="5"/>
      <w:kern w:val="28"/>
      <w:sz w:val="36"/>
      <w:szCs w:val="52"/>
    </w:rPr>
  </w:style>
  <w:style w:type="character" w:customStyle="1" w:styleId="RubrikChar">
    <w:name w:val="Rubrik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Rubrik1Char">
    <w:name w:val="Rubrik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tnotstextChar"/>
    <w:rsid w:val="00EF61D2"/>
    <w:pPr>
      <w:keepLines/>
      <w:tabs>
        <w:tab w:val="left" w:pos="256"/>
      </w:tabs>
      <w:ind w:left="256" w:hanging="256"/>
    </w:pPr>
  </w:style>
  <w:style w:type="character" w:customStyle="1" w:styleId="FotnotstextChar">
    <w:name w:val="Fotnots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Kommentarer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KommentarerChar">
    <w:name w:val="Kommentarer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ngtextChar"/>
    <w:uiPriority w:val="99"/>
    <w:semiHidden/>
    <w:unhideWhenUsed/>
    <w:rsid w:val="00EF61D2"/>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KommentarsmneChar">
    <w:name w:val="Kommentarsämne Char"/>
    <w:basedOn w:val="KommentarerChar"/>
    <w:link w:val="Kommentarsmne"/>
    <w:uiPriority w:val="99"/>
    <w:semiHidden/>
    <w:rsid w:val="00EF61D2"/>
    <w:rPr>
      <w:rFonts w:ascii="Calibri" w:eastAsia="Times New Roman" w:hAnsi="Calibri" w:cs="Times New Roman"/>
      <w:b/>
      <w:bCs/>
      <w:sz w:val="20"/>
      <w:szCs w:val="20"/>
    </w:rPr>
  </w:style>
  <w:style w:type="paragraph" w:styleId="Liststycke">
    <w:name w:val="List Paragraph"/>
    <w:basedOn w:val="Normal"/>
    <w:uiPriority w:val="34"/>
    <w:qFormat/>
    <w:rsid w:val="00DF1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19300">
      <w:bodyDiv w:val="1"/>
      <w:marLeft w:val="0"/>
      <w:marRight w:val="0"/>
      <w:marTop w:val="0"/>
      <w:marBottom w:val="0"/>
      <w:divBdr>
        <w:top w:val="none" w:sz="0" w:space="0" w:color="auto"/>
        <w:left w:val="none" w:sz="0" w:space="0" w:color="auto"/>
        <w:bottom w:val="none" w:sz="0" w:space="0" w:color="auto"/>
        <w:right w:val="none" w:sz="0" w:space="0" w:color="auto"/>
      </w:divBdr>
    </w:div>
    <w:div w:id="14606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0094\AppData\Local\Microsoft\Windows\Temporary%20Internet%20Files\Content.Outlook\5331ZW4Q\European%20Common%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835B-D166-492E-8888-2AD13417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European Common Proposal.dot</Template>
  <TotalTime>1</TotalTime>
  <Pages>4</Pages>
  <Words>1104</Words>
  <Characters>5856</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BT</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REDWIN, Paul</dc:creator>
  <cp:lastModifiedBy>PT A1</cp:lastModifiedBy>
  <cp:revision>2</cp:revision>
  <cp:lastPrinted>2011-10-20T15:19:00Z</cp:lastPrinted>
  <dcterms:created xsi:type="dcterms:W3CDTF">2011-11-17T13:00:00Z</dcterms:created>
  <dcterms:modified xsi:type="dcterms:W3CDTF">2011-11-17T13:00:00Z</dcterms:modified>
</cp:coreProperties>
</file>