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B4" w:rsidRDefault="005945B4" w:rsidP="005945B4">
      <w:pPr>
        <w:jc w:val="right"/>
        <w:rPr>
          <w:b/>
          <w:sz w:val="28"/>
          <w:szCs w:val="28"/>
        </w:rPr>
      </w:pPr>
      <w:r w:rsidRPr="005945B4">
        <w:rPr>
          <w:b/>
          <w:sz w:val="28"/>
          <w:szCs w:val="28"/>
        </w:rPr>
        <w:t>TEMP 3</w:t>
      </w:r>
    </w:p>
    <w:p w:rsidR="005945B4" w:rsidRPr="005945B4" w:rsidRDefault="005945B4" w:rsidP="005945B4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9B5617" w:rsidRDefault="00CA276E">
      <w:pPr>
        <w:rPr>
          <w:rFonts w:cs="TimesNewRoman"/>
          <w:sz w:val="28"/>
          <w:szCs w:val="28"/>
        </w:rPr>
      </w:pPr>
      <w:r w:rsidRPr="00A20A47">
        <w:rPr>
          <w:sz w:val="28"/>
          <w:szCs w:val="28"/>
        </w:rPr>
        <w:t xml:space="preserve">ECP on </w:t>
      </w:r>
      <w:r w:rsidR="005B0B8C">
        <w:rPr>
          <w:sz w:val="28"/>
          <w:szCs w:val="28"/>
        </w:rPr>
        <w:t xml:space="preserve">tariff </w:t>
      </w:r>
      <w:r w:rsidRPr="00A20A47">
        <w:rPr>
          <w:sz w:val="28"/>
          <w:szCs w:val="28"/>
        </w:rPr>
        <w:t>transparen</w:t>
      </w:r>
      <w:r w:rsidR="003D1C92">
        <w:rPr>
          <w:sz w:val="28"/>
          <w:szCs w:val="28"/>
        </w:rPr>
        <w:t>cy of</w:t>
      </w:r>
      <w:r w:rsidRPr="00A20A47">
        <w:rPr>
          <w:sz w:val="28"/>
          <w:szCs w:val="28"/>
        </w:rPr>
        <w:t xml:space="preserve"> </w:t>
      </w:r>
      <w:r w:rsidR="005B0B8C">
        <w:rPr>
          <w:sz w:val="28"/>
          <w:szCs w:val="28"/>
        </w:rPr>
        <w:t xml:space="preserve">international </w:t>
      </w:r>
      <w:r w:rsidRPr="00A20A47">
        <w:rPr>
          <w:rFonts w:cs="TimesNewRoman"/>
          <w:sz w:val="28"/>
          <w:szCs w:val="28"/>
        </w:rPr>
        <w:t>telecommunication</w:t>
      </w:r>
      <w:r w:rsidR="005B0B8C">
        <w:rPr>
          <w:rFonts w:cs="TimesNewRoman"/>
          <w:sz w:val="28"/>
          <w:szCs w:val="28"/>
        </w:rPr>
        <w:t xml:space="preserve"> services (including roaming)</w:t>
      </w:r>
      <w:r w:rsidR="00DB7F73" w:rsidRPr="00A20A47">
        <w:rPr>
          <w:rFonts w:cs="TimesNewRoman"/>
          <w:sz w:val="28"/>
          <w:szCs w:val="28"/>
        </w:rPr>
        <w:t xml:space="preserve"> and </w:t>
      </w:r>
      <w:r w:rsidR="005B0B8C">
        <w:rPr>
          <w:rFonts w:cs="TimesNewRoman"/>
          <w:sz w:val="28"/>
          <w:szCs w:val="28"/>
        </w:rPr>
        <w:t xml:space="preserve">international </w:t>
      </w:r>
      <w:r w:rsidR="0000671B" w:rsidRPr="00A20A47">
        <w:rPr>
          <w:rFonts w:cs="TimesNewRoman"/>
          <w:sz w:val="28"/>
          <w:szCs w:val="28"/>
        </w:rPr>
        <w:t xml:space="preserve">roaming </w:t>
      </w:r>
      <w:r w:rsidR="00DB7F73" w:rsidRPr="00A20A47">
        <w:rPr>
          <w:rFonts w:cs="TimesNewRoman"/>
          <w:sz w:val="28"/>
          <w:szCs w:val="28"/>
        </w:rPr>
        <w:t>charges</w:t>
      </w:r>
    </w:p>
    <w:p w:rsidR="00F71684" w:rsidRPr="00A20A47" w:rsidRDefault="00F71684">
      <w:pPr>
        <w:rPr>
          <w:sz w:val="28"/>
          <w:szCs w:val="28"/>
        </w:rPr>
      </w:pPr>
    </w:p>
    <w:p w:rsidR="00333029" w:rsidRPr="00DA2F6D" w:rsidRDefault="00333029" w:rsidP="00DA2F6D">
      <w:pPr>
        <w:spacing w:before="0"/>
        <w:rPr>
          <w:rFonts w:asciiTheme="minorHAnsi" w:hAnsiTheme="minorHAnsi"/>
          <w:b/>
          <w:sz w:val="28"/>
          <w:szCs w:val="28"/>
        </w:rPr>
      </w:pPr>
      <w:r w:rsidRPr="00DA2F6D">
        <w:rPr>
          <w:rFonts w:asciiTheme="minorHAnsi" w:hAnsiTheme="minorHAnsi"/>
          <w:b/>
          <w:sz w:val="28"/>
          <w:szCs w:val="28"/>
        </w:rPr>
        <w:t>Definition in article 2: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DB7F73" w:rsidRPr="00333029" w:rsidTr="00F71684">
        <w:tc>
          <w:tcPr>
            <w:tcW w:w="14142" w:type="dxa"/>
          </w:tcPr>
          <w:p w:rsidR="00F71684" w:rsidRDefault="00F71684">
            <w:pPr>
              <w:rPr>
                <w:rFonts w:cs="TimesNewRoman"/>
                <w:i/>
                <w:sz w:val="28"/>
                <w:szCs w:val="28"/>
              </w:rPr>
            </w:pPr>
            <w:r>
              <w:rPr>
                <w:rFonts w:cs="TimesNewRoman"/>
                <w:i/>
                <w:sz w:val="28"/>
                <w:szCs w:val="28"/>
              </w:rPr>
              <w:t>ADD:</w:t>
            </w:r>
          </w:p>
          <w:p w:rsidR="00DB7F73" w:rsidRPr="00A20A47" w:rsidRDefault="00DB7F73">
            <w:pPr>
              <w:rPr>
                <w:rFonts w:cs="TimesNewRoman"/>
                <w:i/>
                <w:sz w:val="28"/>
                <w:szCs w:val="28"/>
              </w:rPr>
            </w:pPr>
            <w:r w:rsidRPr="00333029">
              <w:rPr>
                <w:rFonts w:cs="TimesNewRoman"/>
                <w:i/>
                <w:sz w:val="28"/>
                <w:szCs w:val="28"/>
              </w:rPr>
              <w:t xml:space="preserve">International mobile roaming services are mobile communication services provided to a customer travelling abroad, by means of arrangements between the customer’s home </w:t>
            </w:r>
            <w:r w:rsidRPr="00CE5B6D">
              <w:rPr>
                <w:rFonts w:cs="TimesNewRoman"/>
                <w:i/>
                <w:sz w:val="28"/>
                <w:szCs w:val="28"/>
              </w:rPr>
              <w:t>operator</w:t>
            </w:r>
            <w:r w:rsidRPr="00333029">
              <w:rPr>
                <w:rFonts w:cs="TimesNewRoman"/>
                <w:i/>
                <w:sz w:val="28"/>
                <w:szCs w:val="28"/>
              </w:rPr>
              <w:t xml:space="preserve">, and an operator in the visited country. </w:t>
            </w:r>
          </w:p>
        </w:tc>
      </w:tr>
    </w:tbl>
    <w:p w:rsidR="00333029" w:rsidRDefault="00333029"/>
    <w:p w:rsidR="009B5617" w:rsidRPr="00B9418A" w:rsidRDefault="009B5617" w:rsidP="009B5617">
      <w:pPr>
        <w:pStyle w:val="Oformateradtext"/>
        <w:rPr>
          <w:rFonts w:ascii="Arial" w:hAnsi="Arial" w:cs="Arial"/>
          <w:b/>
          <w:sz w:val="24"/>
          <w:szCs w:val="24"/>
        </w:rPr>
      </w:pPr>
      <w:r w:rsidRPr="00B9418A">
        <w:rPr>
          <w:rFonts w:ascii="Arial" w:hAnsi="Arial" w:cs="Arial"/>
          <w:b/>
          <w:sz w:val="24"/>
          <w:szCs w:val="24"/>
        </w:rPr>
        <w:t>Addition to Article 6 in the ITRs: Transparency of international roaming charges: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42"/>
      </w:tblGrid>
      <w:tr w:rsidR="00DB7F73" w:rsidRPr="00A510B7" w:rsidTr="00F71684">
        <w:tc>
          <w:tcPr>
            <w:tcW w:w="14142" w:type="dxa"/>
            <w:vAlign w:val="center"/>
          </w:tcPr>
          <w:p w:rsidR="00A20A47" w:rsidRDefault="00A20A47" w:rsidP="00D60A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ADD:</w:t>
            </w:r>
          </w:p>
          <w:p w:rsidR="00DB7F73" w:rsidRPr="00D60AA2" w:rsidRDefault="00DB7F73" w:rsidP="00D60AA2">
            <w:pPr>
              <w:jc w:val="both"/>
              <w:rPr>
                <w:rFonts w:cs="Courier New"/>
                <w:i/>
                <w:sz w:val="28"/>
                <w:szCs w:val="28"/>
              </w:rPr>
            </w:pPr>
            <w:r w:rsidRPr="00D60AA2">
              <w:rPr>
                <w:i/>
                <w:sz w:val="28"/>
                <w:szCs w:val="28"/>
              </w:rPr>
              <w:t xml:space="preserve">Member States shall ensure that operators providing </w:t>
            </w:r>
            <w:r w:rsidRPr="00D60AA2">
              <w:rPr>
                <w:rFonts w:cs="TimesNewRoman"/>
                <w:i/>
                <w:sz w:val="28"/>
                <w:szCs w:val="28"/>
              </w:rPr>
              <w:t xml:space="preserve">international telecommunication services, in particular </w:t>
            </w:r>
            <w:r w:rsidR="00F71684">
              <w:rPr>
                <w:rFonts w:cs="TimesNewRoman"/>
                <w:i/>
                <w:sz w:val="28"/>
                <w:szCs w:val="28"/>
              </w:rPr>
              <w:t xml:space="preserve">international </w:t>
            </w:r>
            <w:r w:rsidRPr="00D60AA2">
              <w:rPr>
                <w:rFonts w:cs="TimesNewRoman"/>
                <w:i/>
                <w:sz w:val="28"/>
                <w:szCs w:val="28"/>
              </w:rPr>
              <w:t>roaming</w:t>
            </w:r>
            <w:r w:rsidR="00F71684">
              <w:rPr>
                <w:rFonts w:cs="TimesNewRoman"/>
                <w:i/>
                <w:sz w:val="28"/>
                <w:szCs w:val="28"/>
              </w:rPr>
              <w:t>,</w:t>
            </w:r>
            <w:r w:rsidRPr="00D60AA2">
              <w:rPr>
                <w:rFonts w:cs="TimesNewRoman"/>
                <w:i/>
                <w:sz w:val="28"/>
                <w:szCs w:val="28"/>
              </w:rPr>
              <w:t xml:space="preserve"> </w:t>
            </w:r>
            <w:r w:rsidRPr="00D60AA2">
              <w:rPr>
                <w:i/>
                <w:sz w:val="28"/>
                <w:szCs w:val="28"/>
              </w:rPr>
              <w:t xml:space="preserve">provide transparent and up-to-date information on retail charges, including roaming charges. </w:t>
            </w:r>
            <w:r w:rsidRPr="00D60AA2">
              <w:rPr>
                <w:rFonts w:cs="TimesNewRoman"/>
                <w:i/>
                <w:sz w:val="28"/>
                <w:szCs w:val="28"/>
              </w:rPr>
              <w:t>In particular, each customer should also be able to easily have access to, and receive appropriate and timely pricing (including taxes) information free of charge when abroad on the relevant price plan,</w:t>
            </w:r>
            <w:r w:rsidR="00D60AA2" w:rsidRPr="00D60AA2" w:rsidDel="00D74BBB">
              <w:rPr>
                <w:rFonts w:cs="TimesNewRoman"/>
                <w:i/>
                <w:sz w:val="28"/>
                <w:szCs w:val="28"/>
              </w:rPr>
              <w:t xml:space="preserve"> </w:t>
            </w:r>
            <w:r w:rsidRPr="00D60AA2">
              <w:rPr>
                <w:rFonts w:cs="TimesNewRoman"/>
                <w:i/>
                <w:sz w:val="28"/>
                <w:szCs w:val="28"/>
              </w:rPr>
              <w:t>except when the customer has notified his home operator that he does not require this service.</w:t>
            </w:r>
          </w:p>
        </w:tc>
      </w:tr>
    </w:tbl>
    <w:p w:rsidR="009B5617" w:rsidRDefault="009B5617"/>
    <w:p w:rsidR="00570F39" w:rsidRPr="00570F39" w:rsidRDefault="00570F39" w:rsidP="00570F39">
      <w:pPr>
        <w:pStyle w:val="Oformateradtext"/>
        <w:rPr>
          <w:rFonts w:ascii="Arial" w:eastAsia="Calibri" w:hAnsi="Arial" w:cs="Arial"/>
          <w:b/>
          <w:sz w:val="24"/>
          <w:szCs w:val="24"/>
        </w:rPr>
      </w:pPr>
      <w:r w:rsidRPr="00570F39">
        <w:rPr>
          <w:rFonts w:ascii="Arial" w:eastAsia="Calibri" w:hAnsi="Arial" w:cs="Arial"/>
          <w:b/>
          <w:sz w:val="24"/>
          <w:szCs w:val="24"/>
        </w:rPr>
        <w:t xml:space="preserve">Further addition to Article </w:t>
      </w:r>
      <w:smartTag w:uri="urn:schemas-microsoft-com:office:smarttags" w:element="metricconverter">
        <w:smartTagPr>
          <w:attr w:name="ProductID" w:val="6 in"/>
        </w:smartTagPr>
        <w:r w:rsidRPr="00570F39">
          <w:rPr>
            <w:rFonts w:ascii="Arial" w:eastAsia="Calibri" w:hAnsi="Arial" w:cs="Arial"/>
            <w:b/>
            <w:sz w:val="24"/>
            <w:szCs w:val="24"/>
          </w:rPr>
          <w:t>6 in</w:t>
        </w:r>
      </w:smartTag>
      <w:r w:rsidRPr="00570F39">
        <w:rPr>
          <w:rFonts w:ascii="Arial" w:eastAsia="Calibri" w:hAnsi="Arial" w:cs="Arial"/>
          <w:b/>
          <w:sz w:val="24"/>
          <w:szCs w:val="24"/>
        </w:rPr>
        <w:t xml:space="preserve"> the ITR’s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A20A47" w:rsidTr="00A20A47">
        <w:tc>
          <w:tcPr>
            <w:tcW w:w="14142" w:type="dxa"/>
          </w:tcPr>
          <w:p w:rsidR="00A20A47" w:rsidRDefault="00A20A47" w:rsidP="00A20A47">
            <w:pPr>
              <w:jc w:val="both"/>
              <w:rPr>
                <w:rFonts w:asciiTheme="minorHAnsi" w:hAnsiTheme="minorHAnsi" w:cs="TimesNewRoman"/>
                <w:i/>
                <w:sz w:val="28"/>
                <w:szCs w:val="28"/>
              </w:rPr>
            </w:pPr>
            <w:r>
              <w:rPr>
                <w:rFonts w:asciiTheme="minorHAnsi" w:hAnsiTheme="minorHAnsi" w:cs="TimesNewRoman"/>
                <w:i/>
                <w:sz w:val="28"/>
                <w:szCs w:val="28"/>
              </w:rPr>
              <w:t xml:space="preserve">ADD: </w:t>
            </w:r>
          </w:p>
          <w:p w:rsidR="00A20A47" w:rsidRPr="00570F39" w:rsidRDefault="00A20A47" w:rsidP="00A20A47">
            <w:pPr>
              <w:jc w:val="both"/>
              <w:rPr>
                <w:rFonts w:cs="TimesNewRoman"/>
                <w:i/>
                <w:sz w:val="28"/>
                <w:szCs w:val="28"/>
              </w:rPr>
            </w:pPr>
            <w:r>
              <w:rPr>
                <w:rFonts w:cs="TimesNewRoman"/>
                <w:i/>
                <w:sz w:val="28"/>
                <w:szCs w:val="28"/>
              </w:rPr>
              <w:t>C</w:t>
            </w:r>
            <w:r w:rsidRPr="00570F39">
              <w:rPr>
                <w:rFonts w:cs="TimesNewRoman"/>
                <w:i/>
                <w:sz w:val="28"/>
                <w:szCs w:val="28"/>
              </w:rPr>
              <w:t>osts of international roaming services</w:t>
            </w:r>
          </w:p>
          <w:p w:rsidR="00A20A47" w:rsidRPr="00570F39" w:rsidRDefault="00A20A47" w:rsidP="00A20A47">
            <w:pPr>
              <w:jc w:val="both"/>
              <w:rPr>
                <w:rFonts w:cs="TimesNewRoman"/>
                <w:i/>
                <w:sz w:val="28"/>
                <w:szCs w:val="28"/>
              </w:rPr>
            </w:pPr>
            <w:r w:rsidRPr="00570F39">
              <w:rPr>
                <w:rFonts w:cs="TimesNewRoman"/>
                <w:i/>
                <w:sz w:val="28"/>
                <w:szCs w:val="28"/>
              </w:rPr>
              <w:t>- Member States shall ensure effective cooperation within their region to develop a policy for reducing charging which is appropriate for their own region</w:t>
            </w:r>
            <w:r>
              <w:rPr>
                <w:rFonts w:cs="TimesNewRoman"/>
                <w:i/>
                <w:sz w:val="28"/>
                <w:szCs w:val="28"/>
              </w:rPr>
              <w:t xml:space="preserve">                           . </w:t>
            </w:r>
          </w:p>
          <w:p w:rsidR="00A20A47" w:rsidRDefault="00A20A47" w:rsidP="00570F39">
            <w:pPr>
              <w:jc w:val="both"/>
              <w:rPr>
                <w:rFonts w:cs="TimesNewRoman"/>
                <w:i/>
                <w:sz w:val="28"/>
                <w:szCs w:val="28"/>
              </w:rPr>
            </w:pPr>
            <w:r>
              <w:rPr>
                <w:rFonts w:cs="TimesNewRoman"/>
                <w:i/>
                <w:sz w:val="28"/>
                <w:szCs w:val="28"/>
              </w:rPr>
              <w:lastRenderedPageBreak/>
              <w:t xml:space="preserve">- </w:t>
            </w:r>
            <w:r w:rsidRPr="00570F39">
              <w:rPr>
                <w:rFonts w:cs="TimesNewRoman"/>
                <w:i/>
                <w:sz w:val="28"/>
                <w:szCs w:val="28"/>
              </w:rPr>
              <w:t>Member States shall promote economic efficiency and encourage competition in the international roaming market.</w:t>
            </w:r>
          </w:p>
        </w:tc>
      </w:tr>
    </w:tbl>
    <w:p w:rsidR="008E078D" w:rsidRPr="00D60AA2" w:rsidRDefault="008E078D" w:rsidP="005B0B8C"/>
    <w:sectPr w:rsidR="008E078D" w:rsidRPr="00D60AA2" w:rsidSect="0033302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452"/>
    <w:multiLevelType w:val="hybridMultilevel"/>
    <w:tmpl w:val="0A746044"/>
    <w:lvl w:ilvl="0" w:tplc="3C2832AA">
      <w:start w:val="1"/>
      <w:numFmt w:val="lowerLetter"/>
      <w:pStyle w:val="Rubrik2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D3D87"/>
    <w:multiLevelType w:val="hybridMultilevel"/>
    <w:tmpl w:val="629C68E6"/>
    <w:lvl w:ilvl="0" w:tplc="8312E2E8">
      <w:start w:val="1"/>
      <w:numFmt w:val="lowerLetter"/>
      <w:pStyle w:val="Rubrik3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A26"/>
    <w:multiLevelType w:val="hybridMultilevel"/>
    <w:tmpl w:val="089CA2DC"/>
    <w:lvl w:ilvl="0" w:tplc="55F888A4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09C2"/>
    <w:multiLevelType w:val="hybridMultilevel"/>
    <w:tmpl w:val="0E82DA64"/>
    <w:lvl w:ilvl="0" w:tplc="C04A823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17"/>
    <w:rsid w:val="0000671B"/>
    <w:rsid w:val="001B4AD6"/>
    <w:rsid w:val="00326FCF"/>
    <w:rsid w:val="00333029"/>
    <w:rsid w:val="00334304"/>
    <w:rsid w:val="003B4EF8"/>
    <w:rsid w:val="003D1C92"/>
    <w:rsid w:val="004D195F"/>
    <w:rsid w:val="00570F39"/>
    <w:rsid w:val="005945B4"/>
    <w:rsid w:val="005B0B8C"/>
    <w:rsid w:val="0069021E"/>
    <w:rsid w:val="00856A2D"/>
    <w:rsid w:val="008E078D"/>
    <w:rsid w:val="009218C5"/>
    <w:rsid w:val="00950DB6"/>
    <w:rsid w:val="00953554"/>
    <w:rsid w:val="009B5617"/>
    <w:rsid w:val="00A20A47"/>
    <w:rsid w:val="00A510B7"/>
    <w:rsid w:val="00A54975"/>
    <w:rsid w:val="00A73399"/>
    <w:rsid w:val="00A84F45"/>
    <w:rsid w:val="00B224BA"/>
    <w:rsid w:val="00B36C03"/>
    <w:rsid w:val="00B37A51"/>
    <w:rsid w:val="00B44C84"/>
    <w:rsid w:val="00C047DD"/>
    <w:rsid w:val="00C25DE1"/>
    <w:rsid w:val="00C33B91"/>
    <w:rsid w:val="00C47135"/>
    <w:rsid w:val="00C503CE"/>
    <w:rsid w:val="00CA276E"/>
    <w:rsid w:val="00CE5B6D"/>
    <w:rsid w:val="00CE7053"/>
    <w:rsid w:val="00D60AA2"/>
    <w:rsid w:val="00D74BBB"/>
    <w:rsid w:val="00DA2F6D"/>
    <w:rsid w:val="00DB7F73"/>
    <w:rsid w:val="00DD405B"/>
    <w:rsid w:val="00EE288D"/>
    <w:rsid w:val="00EF68D6"/>
    <w:rsid w:val="00F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1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856A2D"/>
    <w:pPr>
      <w:keepNext/>
      <w:keepLines/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0"/>
      <w:textAlignment w:val="auto"/>
      <w:outlineLvl w:val="1"/>
    </w:pPr>
    <w:rPr>
      <w:rFonts w:ascii="Arial" w:eastAsiaTheme="majorEastAsia" w:hAnsi="Arial" w:cstheme="majorBidi"/>
      <w:bCs/>
      <w:sz w:val="26"/>
      <w:szCs w:val="26"/>
      <w:lang w:val="pt-PT" w:eastAsia="zh-CN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953554"/>
    <w:pPr>
      <w:keepNext/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eastAsiaTheme="majorEastAsia" w:hAnsi="Arial" w:cstheme="majorBidi"/>
      <w:b/>
      <w:bCs/>
      <w:sz w:val="22"/>
      <w:szCs w:val="26"/>
      <w:lang w:val="pt-PT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56A2D"/>
    <w:rPr>
      <w:rFonts w:ascii="Arial" w:eastAsiaTheme="majorEastAsia" w:hAnsi="Arial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53554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B561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Theme="minorHAns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B5617"/>
    <w:rPr>
      <w:rFonts w:ascii="Calibri" w:eastAsiaTheme="minorHAnsi" w:hAnsi="Calibri" w:cs="Consolas"/>
      <w:szCs w:val="21"/>
      <w:lang w:val="en-GB" w:eastAsia="en-US"/>
    </w:rPr>
  </w:style>
  <w:style w:type="table" w:styleId="Tabellrutnt">
    <w:name w:val="Table Grid"/>
    <w:basedOn w:val="Normaltabell"/>
    <w:uiPriority w:val="59"/>
    <w:rsid w:val="0033302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503C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03CE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1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856A2D"/>
    <w:pPr>
      <w:keepNext/>
      <w:keepLines/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0"/>
      <w:textAlignment w:val="auto"/>
      <w:outlineLvl w:val="1"/>
    </w:pPr>
    <w:rPr>
      <w:rFonts w:ascii="Arial" w:eastAsiaTheme="majorEastAsia" w:hAnsi="Arial" w:cstheme="majorBidi"/>
      <w:bCs/>
      <w:sz w:val="26"/>
      <w:szCs w:val="26"/>
      <w:lang w:val="pt-PT" w:eastAsia="zh-CN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953554"/>
    <w:pPr>
      <w:keepNext/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eastAsiaTheme="majorEastAsia" w:hAnsi="Arial" w:cstheme="majorBidi"/>
      <w:b/>
      <w:bCs/>
      <w:sz w:val="22"/>
      <w:szCs w:val="26"/>
      <w:lang w:val="pt-PT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56A2D"/>
    <w:rPr>
      <w:rFonts w:ascii="Arial" w:eastAsiaTheme="majorEastAsia" w:hAnsi="Arial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53554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B561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Theme="minorHAns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B5617"/>
    <w:rPr>
      <w:rFonts w:ascii="Calibri" w:eastAsiaTheme="minorHAnsi" w:hAnsi="Calibri" w:cs="Consolas"/>
      <w:szCs w:val="21"/>
      <w:lang w:val="en-GB" w:eastAsia="en-US"/>
    </w:rPr>
  </w:style>
  <w:style w:type="table" w:styleId="Tabellrutnt">
    <w:name w:val="Table Grid"/>
    <w:basedOn w:val="Normaltabell"/>
    <w:uiPriority w:val="59"/>
    <w:rsid w:val="0033302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503C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03CE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PTS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ICP0599</dc:creator>
  <cp:lastModifiedBy>PT A1</cp:lastModifiedBy>
  <cp:revision>2</cp:revision>
  <dcterms:created xsi:type="dcterms:W3CDTF">2011-12-01T08:15:00Z</dcterms:created>
  <dcterms:modified xsi:type="dcterms:W3CDTF">2011-12-01T08:15:00Z</dcterms:modified>
</cp:coreProperties>
</file>