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B3" w:rsidRPr="00046821" w:rsidRDefault="00EB35B3" w:rsidP="00EB35B3">
      <w:pPr>
        <w:spacing w:line="240" w:lineRule="auto"/>
        <w:rPr>
          <w:sz w:val="22"/>
          <w:szCs w:val="22"/>
          <w:lang w:val="en-GB" w:eastAsia="en-US"/>
        </w:rPr>
      </w:pPr>
    </w:p>
    <w:tbl>
      <w:tblPr>
        <w:tblW w:w="964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498"/>
        <w:gridCol w:w="1732"/>
        <w:gridCol w:w="3571"/>
      </w:tblGrid>
      <w:tr w:rsidR="00EB35B3" w:rsidRPr="00046821" w:rsidTr="00195AF5">
        <w:trPr>
          <w:cantSplit/>
        </w:trPr>
        <w:tc>
          <w:tcPr>
            <w:tcW w:w="6071" w:type="dxa"/>
            <w:gridSpan w:val="3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  <w:p w:rsidR="00EB35B3" w:rsidRPr="00046821" w:rsidRDefault="008E3985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noProof/>
                <w:sz w:val="22"/>
                <w:szCs w:val="22"/>
                <w:lang w:val="sv-SE" w:eastAsia="sv-SE"/>
              </w:rPr>
              <w:drawing>
                <wp:inline distT="0" distB="0" distL="0" distR="0">
                  <wp:extent cx="1943100" cy="533400"/>
                  <wp:effectExtent l="19050" t="0" r="0" b="0"/>
                  <wp:docPr id="1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de-DE"/>
              </w:rPr>
            </w:pPr>
          </w:p>
        </w:tc>
        <w:tc>
          <w:tcPr>
            <w:tcW w:w="3569" w:type="dxa"/>
            <w:hideMark/>
          </w:tcPr>
          <w:p w:rsidR="00EB35B3" w:rsidRPr="00046821" w:rsidRDefault="00B141A3" w:rsidP="00C918C1">
            <w:pPr>
              <w:tabs>
                <w:tab w:val="right" w:pos="3357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ab/>
              <w:t>Doc. Com-ITU(</w:t>
            </w:r>
            <w:r w:rsidR="00C918C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12</w:t>
            </w:r>
            <w:r w:rsidR="00EB35B3"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) </w:t>
            </w:r>
            <w:r w:rsidR="00C918C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039</w:t>
            </w:r>
          </w:p>
        </w:tc>
      </w:tr>
      <w:tr w:rsidR="00EB35B3" w:rsidRPr="00046821" w:rsidTr="00195AF5">
        <w:trPr>
          <w:cantSplit/>
          <w:trHeight w:val="405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</w:tc>
      </w:tr>
      <w:tr w:rsidR="00EB35B3" w:rsidRPr="00046821" w:rsidTr="00195AF5">
        <w:trPr>
          <w:cantSplit/>
          <w:trHeight w:val="405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Copenhagen, </w:t>
            </w:r>
          </w:p>
          <w:p w:rsidR="00EB35B3" w:rsidRPr="00046821" w:rsidRDefault="0046014E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highlight w:val="yellow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2-4 April</w:t>
            </w:r>
            <w:r w:rsidR="00EB35B3"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 201</w:t>
            </w: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2</w:t>
            </w: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</w:tc>
      </w:tr>
      <w:tr w:rsidR="00EB35B3" w:rsidRPr="00046821" w:rsidTr="00195AF5">
        <w:trPr>
          <w:cantSplit/>
          <w:trHeight w:val="80"/>
        </w:trPr>
        <w:tc>
          <w:tcPr>
            <w:tcW w:w="4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</w:tc>
        <w:tc>
          <w:tcPr>
            <w:tcW w:w="5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</w:p>
        </w:tc>
      </w:tr>
      <w:tr w:rsidR="00EB35B3" w:rsidRPr="00046821" w:rsidTr="00195AF5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Date issued: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C918C1" w:rsidP="004601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26 March</w:t>
            </w:r>
            <w:r w:rsidR="00EB35B3"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 201</w:t>
            </w:r>
            <w:r w:rsidR="0046014E"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2</w:t>
            </w:r>
          </w:p>
        </w:tc>
      </w:tr>
      <w:tr w:rsidR="00EB35B3" w:rsidRPr="00046821" w:rsidTr="00195AF5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Source: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B141A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Turkey</w:t>
            </w:r>
          </w:p>
        </w:tc>
      </w:tr>
      <w:tr w:rsidR="00EB35B3" w:rsidRPr="00046821" w:rsidTr="00195AF5">
        <w:trPr>
          <w:cantSplit/>
          <w:trHeight w:val="40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Subject:</w:t>
            </w:r>
          </w:p>
        </w:tc>
        <w:tc>
          <w:tcPr>
            <w:tcW w:w="77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B3" w:rsidRPr="00046821" w:rsidRDefault="00B141A3" w:rsidP="003A186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Comparison of </w:t>
            </w:r>
            <w:r w:rsidR="003A1860"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>Founding Texts</w:t>
            </w:r>
          </w:p>
        </w:tc>
      </w:tr>
    </w:tbl>
    <w:p w:rsidR="00EB35B3" w:rsidRPr="00046821" w:rsidRDefault="00C918C1" w:rsidP="00EB35B3">
      <w:pPr>
        <w:spacing w:line="240" w:lineRule="auto"/>
        <w:rPr>
          <w:rFonts w:ascii="Arial" w:hAnsi="Arial"/>
          <w:sz w:val="22"/>
          <w:szCs w:val="22"/>
          <w:lang w:val="en-GB" w:eastAsia="de-DE"/>
        </w:rPr>
      </w:pPr>
      <w:r>
        <w:rPr>
          <w:rFonts w:ascii="Arial" w:hAnsi="Arial"/>
          <w:noProof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9525" t="6985" r="9525" b="7620"/>
                <wp:wrapTight wrapText="bothSides">
                  <wp:wrapPolygon edited="0">
                    <wp:start x="-450" y="-759"/>
                    <wp:lineTo x="-450" y="21600"/>
                    <wp:lineTo x="22050" y="21600"/>
                    <wp:lineTo x="22050" y="-759"/>
                    <wp:lineTo x="-450" y="-759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12F" w:rsidRDefault="0073512F" w:rsidP="00EB35B3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75pt;margin-top:14.8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73512F" w:rsidRDefault="0073512F" w:rsidP="00EB35B3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35B3" w:rsidRPr="00046821" w:rsidRDefault="00EB35B3" w:rsidP="00EB35B3">
      <w:pPr>
        <w:spacing w:line="240" w:lineRule="auto"/>
        <w:rPr>
          <w:rFonts w:ascii="Times New Roman" w:hAnsi="Times New Roman"/>
          <w:sz w:val="22"/>
          <w:szCs w:val="22"/>
          <w:lang w:val="en-GB" w:eastAsia="en-US"/>
        </w:rPr>
      </w:pPr>
      <w:r w:rsidRPr="00046821">
        <w:rPr>
          <w:rFonts w:ascii="Times New Roman" w:hAnsi="Times New Roman"/>
          <w:sz w:val="22"/>
          <w:szCs w:val="22"/>
          <w:lang w:val="en-GB" w:eastAsia="en-US"/>
        </w:rPr>
        <w:t xml:space="preserve">Password protection required? (Y/N) </w:t>
      </w:r>
    </w:p>
    <w:p w:rsidR="00EB35B3" w:rsidRPr="00046821" w:rsidRDefault="00EB35B3" w:rsidP="00EB35B3">
      <w:pPr>
        <w:spacing w:after="120" w:line="240" w:lineRule="auto"/>
        <w:jc w:val="center"/>
        <w:rPr>
          <w:rFonts w:ascii="Arial" w:hAnsi="Arial"/>
          <w:b/>
          <w:sz w:val="22"/>
          <w:szCs w:val="22"/>
          <w:lang w:val="en-GB"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B35B3" w:rsidRPr="00046821" w:rsidTr="00195AF5">
        <w:trPr>
          <w:cantSplit/>
          <w:trHeight w:val="44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Summary: </w:t>
            </w:r>
          </w:p>
        </w:tc>
      </w:tr>
      <w:tr w:rsidR="00EB35B3" w:rsidRPr="00046821" w:rsidTr="00195AF5">
        <w:trPr>
          <w:cantSplit/>
          <w:trHeight w:val="111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B3" w:rsidRPr="00046821" w:rsidRDefault="00B141A3" w:rsidP="00C30F7D">
            <w:pPr>
              <w:spacing w:after="120" w:line="240" w:lineRule="auto"/>
              <w:jc w:val="both"/>
              <w:rPr>
                <w:rFonts w:ascii="Arial" w:hAnsi="Arial"/>
                <w:sz w:val="22"/>
                <w:szCs w:val="22"/>
                <w:lang w:val="en-GB" w:eastAsia="de-DE"/>
              </w:rPr>
            </w:pPr>
            <w:r w:rsidRPr="00046821">
              <w:rPr>
                <w:sz w:val="22"/>
                <w:szCs w:val="22"/>
                <w:lang w:val="en-GB"/>
              </w:rPr>
              <w:t>A review o</w:t>
            </w:r>
            <w:r w:rsidR="003A1860" w:rsidRPr="00046821">
              <w:rPr>
                <w:sz w:val="22"/>
                <w:szCs w:val="22"/>
                <w:lang w:val="en-GB"/>
              </w:rPr>
              <w:t>f UN</w:t>
            </w:r>
            <w:r w:rsidR="002B4B85">
              <w:rPr>
                <w:sz w:val="22"/>
                <w:szCs w:val="22"/>
                <w:lang w:val="en-GB"/>
              </w:rPr>
              <w:t xml:space="preserve"> </w:t>
            </w:r>
            <w:r w:rsidR="003A1860" w:rsidRPr="00046821">
              <w:rPr>
                <w:sz w:val="22"/>
                <w:szCs w:val="22"/>
                <w:lang w:val="en-GB"/>
              </w:rPr>
              <w:t>specialized organizations’ founding texts</w:t>
            </w:r>
            <w:r w:rsidRPr="00046821">
              <w:rPr>
                <w:sz w:val="22"/>
                <w:szCs w:val="22"/>
                <w:lang w:val="en-GB"/>
              </w:rPr>
              <w:t xml:space="preserve"> with a comparative approach to ITU Constitution. </w:t>
            </w:r>
          </w:p>
        </w:tc>
      </w:tr>
      <w:tr w:rsidR="00EB35B3" w:rsidRPr="00046821" w:rsidTr="00195AF5">
        <w:trPr>
          <w:cantSplit/>
          <w:trHeight w:val="44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Proposal: </w:t>
            </w:r>
          </w:p>
        </w:tc>
      </w:tr>
      <w:tr w:rsidR="00EB35B3" w:rsidRPr="00046821" w:rsidTr="00195AF5">
        <w:trPr>
          <w:cantSplit/>
          <w:trHeight w:val="9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B3" w:rsidRPr="00046821" w:rsidRDefault="00DF263F" w:rsidP="00DF263F">
            <w:pPr>
              <w:spacing w:line="240" w:lineRule="auto"/>
              <w:rPr>
                <w:sz w:val="22"/>
                <w:szCs w:val="22"/>
                <w:lang w:val="en-GB" w:eastAsia="de-DE"/>
              </w:rPr>
            </w:pPr>
            <w:r w:rsidRPr="00046821">
              <w:rPr>
                <w:sz w:val="22"/>
                <w:szCs w:val="22"/>
                <w:lang w:val="en-GB" w:eastAsia="en-US"/>
              </w:rPr>
              <w:t>For consideration</w:t>
            </w:r>
          </w:p>
        </w:tc>
      </w:tr>
      <w:tr w:rsidR="00EB35B3" w:rsidRPr="00046821" w:rsidTr="00195AF5">
        <w:trPr>
          <w:cantSplit/>
          <w:trHeight w:val="43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35B3" w:rsidRPr="00046821" w:rsidRDefault="00EB35B3" w:rsidP="00EB35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/>
                <w:b/>
                <w:sz w:val="22"/>
                <w:szCs w:val="22"/>
                <w:lang w:val="en-GB" w:eastAsia="de-DE"/>
              </w:rPr>
            </w:pPr>
            <w:r w:rsidRPr="00046821">
              <w:rPr>
                <w:rFonts w:ascii="Arial" w:hAnsi="Arial"/>
                <w:b/>
                <w:sz w:val="22"/>
                <w:szCs w:val="22"/>
                <w:lang w:val="en-GB" w:eastAsia="de-DE"/>
              </w:rPr>
              <w:t xml:space="preserve">Background: </w:t>
            </w:r>
          </w:p>
        </w:tc>
      </w:tr>
      <w:tr w:rsidR="00EB35B3" w:rsidRPr="00046821" w:rsidTr="00195AF5">
        <w:trPr>
          <w:cantSplit/>
          <w:trHeight w:val="784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B3" w:rsidRPr="00046821" w:rsidRDefault="00DF263F" w:rsidP="006F4932">
            <w:pPr>
              <w:spacing w:after="120" w:line="240" w:lineRule="auto"/>
              <w:jc w:val="both"/>
              <w:rPr>
                <w:bCs/>
                <w:sz w:val="22"/>
                <w:szCs w:val="22"/>
                <w:lang w:val="en-GB" w:eastAsia="de-DE"/>
              </w:rPr>
            </w:pPr>
            <w:r w:rsidRPr="00046821">
              <w:rPr>
                <w:bCs/>
                <w:sz w:val="22"/>
                <w:szCs w:val="22"/>
                <w:lang w:val="en-GB" w:eastAsia="de-DE"/>
              </w:rPr>
              <w:t xml:space="preserve">In Copenhagen Com-ITU </w:t>
            </w:r>
            <w:r w:rsidR="00046821" w:rsidRPr="00046821">
              <w:rPr>
                <w:bCs/>
                <w:sz w:val="22"/>
                <w:szCs w:val="22"/>
                <w:lang w:val="en-GB" w:eastAsia="de-DE"/>
              </w:rPr>
              <w:t xml:space="preserve">meeting held </w:t>
            </w:r>
            <w:r w:rsidRPr="00046821">
              <w:rPr>
                <w:bCs/>
                <w:sz w:val="22"/>
                <w:szCs w:val="22"/>
                <w:lang w:val="en-GB" w:eastAsia="de-DE"/>
              </w:rPr>
              <w:t xml:space="preserve">between </w:t>
            </w:r>
            <w:r w:rsidR="00DA2AD5" w:rsidRPr="00046821">
              <w:rPr>
                <w:bCs/>
                <w:sz w:val="22"/>
                <w:szCs w:val="22"/>
                <w:lang w:val="en-GB" w:eastAsia="de-DE"/>
              </w:rPr>
              <w:t xml:space="preserve">30 November and 2 December 2011, </w:t>
            </w:r>
            <w:r w:rsidR="006F4932" w:rsidRPr="00046821">
              <w:rPr>
                <w:bCs/>
                <w:sz w:val="22"/>
                <w:szCs w:val="22"/>
                <w:lang w:val="en-GB" w:eastAsia="de-DE"/>
              </w:rPr>
              <w:t>i</w:t>
            </w:r>
            <w:r w:rsidR="00DA2AD5" w:rsidRPr="00046821">
              <w:rPr>
                <w:bCs/>
                <w:sz w:val="22"/>
                <w:szCs w:val="22"/>
                <w:lang w:val="en-GB" w:eastAsia="de-DE"/>
              </w:rPr>
              <w:t>t was</w:t>
            </w:r>
            <w:r w:rsidR="00242C8E" w:rsidRPr="00046821">
              <w:rPr>
                <w:bCs/>
                <w:sz w:val="22"/>
                <w:szCs w:val="22"/>
                <w:lang w:val="en-GB" w:eastAsia="de-DE"/>
              </w:rPr>
              <w:t xml:space="preserve"> decided</w:t>
            </w:r>
            <w:r w:rsidR="006F4932" w:rsidRPr="00046821">
              <w:rPr>
                <w:bCs/>
                <w:sz w:val="22"/>
                <w:szCs w:val="22"/>
                <w:lang w:val="en-GB" w:eastAsia="de-DE"/>
              </w:rPr>
              <w:t xml:space="preserve"> to submit a c</w:t>
            </w:r>
            <w:r w:rsidR="009155EA">
              <w:rPr>
                <w:bCs/>
                <w:sz w:val="22"/>
                <w:szCs w:val="22"/>
                <w:lang w:val="en-GB" w:eastAsia="de-DE"/>
              </w:rPr>
              <w:t>omparative study of founding text</w:t>
            </w:r>
            <w:r w:rsidR="006F4932" w:rsidRPr="00046821">
              <w:rPr>
                <w:bCs/>
                <w:sz w:val="22"/>
                <w:szCs w:val="22"/>
                <w:lang w:val="en-GB" w:eastAsia="de-DE"/>
              </w:rPr>
              <w:t>s of other international organizations</w:t>
            </w:r>
            <w:r w:rsidR="00DA2AD5" w:rsidRPr="00046821">
              <w:rPr>
                <w:bCs/>
                <w:sz w:val="22"/>
                <w:szCs w:val="22"/>
                <w:lang w:val="en-GB" w:eastAsia="de-DE"/>
              </w:rPr>
              <w:t xml:space="preserve"> </w:t>
            </w:r>
            <w:r w:rsidR="0046014E" w:rsidRPr="00046821">
              <w:rPr>
                <w:bCs/>
                <w:sz w:val="22"/>
                <w:szCs w:val="22"/>
                <w:lang w:val="en-GB" w:eastAsia="de-DE"/>
              </w:rPr>
              <w:t>to the next Com-ITU</w:t>
            </w:r>
            <w:r w:rsidR="006F4932" w:rsidRPr="00046821">
              <w:rPr>
                <w:bCs/>
                <w:sz w:val="22"/>
                <w:szCs w:val="22"/>
                <w:lang w:val="en-GB" w:eastAsia="de-DE"/>
              </w:rPr>
              <w:t xml:space="preserve"> meeting</w:t>
            </w:r>
            <w:r w:rsidR="004A3B95">
              <w:rPr>
                <w:bCs/>
                <w:sz w:val="22"/>
                <w:szCs w:val="22"/>
                <w:lang w:val="en-GB" w:eastAsia="de-DE"/>
              </w:rPr>
              <w:t>.</w:t>
            </w:r>
          </w:p>
        </w:tc>
      </w:tr>
    </w:tbl>
    <w:p w:rsidR="00B141A3" w:rsidRPr="00046821" w:rsidRDefault="00EB35B3" w:rsidP="00B141A3">
      <w:pPr>
        <w:spacing w:after="120" w:line="240" w:lineRule="auto"/>
        <w:jc w:val="center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br w:type="page"/>
      </w:r>
    </w:p>
    <w:p w:rsidR="00B365C8" w:rsidRPr="00046821" w:rsidRDefault="00B141A3" w:rsidP="00B365C8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lastRenderedPageBreak/>
        <w:t>This document aims to compare ITU Constitution with founding texts</w:t>
      </w:r>
      <w:r w:rsidR="00F70B8A" w:rsidRPr="00046821">
        <w:rPr>
          <w:sz w:val="22"/>
          <w:szCs w:val="22"/>
          <w:lang w:val="en-GB"/>
        </w:rPr>
        <w:t xml:space="preserve"> of international organizations that operate under</w:t>
      </w:r>
      <w:r w:rsidRPr="00046821">
        <w:rPr>
          <w:sz w:val="22"/>
          <w:szCs w:val="22"/>
          <w:lang w:val="en-GB"/>
        </w:rPr>
        <w:t xml:space="preserve"> UN system</w:t>
      </w:r>
      <w:r w:rsidR="00F70B8A" w:rsidRPr="00046821">
        <w:rPr>
          <w:sz w:val="22"/>
          <w:szCs w:val="22"/>
          <w:lang w:val="en-GB"/>
        </w:rPr>
        <w:t xml:space="preserve">. </w:t>
      </w:r>
      <w:r w:rsidR="00B365C8" w:rsidRPr="002B4B85">
        <w:rPr>
          <w:sz w:val="22"/>
          <w:szCs w:val="22"/>
          <w:lang w:val="en-GB"/>
        </w:rPr>
        <w:t>The term founding text has been used as a general title for primary legal documents</w:t>
      </w:r>
      <w:r w:rsidR="00D56ABB" w:rsidRPr="002B4B85">
        <w:rPr>
          <w:sz w:val="22"/>
          <w:szCs w:val="22"/>
          <w:lang w:val="en-GB"/>
        </w:rPr>
        <w:t xml:space="preserve"> of the compared international organizations</w:t>
      </w:r>
      <w:r w:rsidR="00B365C8" w:rsidRPr="002B4B85">
        <w:rPr>
          <w:sz w:val="22"/>
          <w:szCs w:val="22"/>
          <w:lang w:val="en-GB"/>
        </w:rPr>
        <w:t xml:space="preserve"> equivalent to ITU Constitution</w:t>
      </w:r>
      <w:r w:rsidR="00190919" w:rsidRPr="002B4B85">
        <w:rPr>
          <w:sz w:val="22"/>
          <w:szCs w:val="22"/>
          <w:lang w:val="en-GB"/>
        </w:rPr>
        <w:t>.</w:t>
      </w:r>
    </w:p>
    <w:p w:rsidR="00242C8E" w:rsidRPr="00046821" w:rsidRDefault="00F70B8A" w:rsidP="00B141A3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The document</w:t>
      </w:r>
      <w:r w:rsidR="00B141A3" w:rsidRPr="00046821">
        <w:rPr>
          <w:sz w:val="22"/>
          <w:szCs w:val="22"/>
          <w:lang w:val="en-GB"/>
        </w:rPr>
        <w:t xml:space="preserve"> disregards the spec</w:t>
      </w:r>
      <w:r w:rsidRPr="00046821">
        <w:rPr>
          <w:sz w:val="22"/>
          <w:szCs w:val="22"/>
          <w:lang w:val="en-GB"/>
        </w:rPr>
        <w:t>ific organs and structures of compared</w:t>
      </w:r>
      <w:r w:rsidR="00B141A3" w:rsidRPr="00046821">
        <w:rPr>
          <w:sz w:val="22"/>
          <w:szCs w:val="22"/>
          <w:lang w:val="en-GB"/>
        </w:rPr>
        <w:t xml:space="preserve"> international organi</w:t>
      </w:r>
      <w:r w:rsidRPr="00046821">
        <w:rPr>
          <w:sz w:val="22"/>
          <w:szCs w:val="22"/>
          <w:lang w:val="en-GB"/>
        </w:rPr>
        <w:t>zations and focuses only</w:t>
      </w:r>
      <w:r w:rsidR="00B141A3" w:rsidRPr="00046821">
        <w:rPr>
          <w:sz w:val="22"/>
          <w:szCs w:val="22"/>
          <w:lang w:val="en-GB"/>
        </w:rPr>
        <w:t xml:space="preserve"> </w:t>
      </w:r>
      <w:r w:rsidR="00046821" w:rsidRPr="00046821">
        <w:rPr>
          <w:sz w:val="22"/>
          <w:szCs w:val="22"/>
          <w:lang w:val="en-GB"/>
        </w:rPr>
        <w:t>on</w:t>
      </w:r>
      <w:r w:rsidR="00B141A3" w:rsidRPr="00046821">
        <w:rPr>
          <w:sz w:val="22"/>
          <w:szCs w:val="22"/>
          <w:lang w:val="en-GB"/>
        </w:rPr>
        <w:t xml:space="preserve"> comparable cases. For instance,</w:t>
      </w:r>
      <w:r w:rsidR="00B7786E" w:rsidRPr="00046821">
        <w:rPr>
          <w:sz w:val="22"/>
          <w:szCs w:val="22"/>
          <w:lang w:val="en-GB"/>
        </w:rPr>
        <w:t xml:space="preserve"> while</w:t>
      </w:r>
      <w:r w:rsidR="002B4B85">
        <w:rPr>
          <w:sz w:val="22"/>
          <w:szCs w:val="22"/>
          <w:lang w:val="en-GB"/>
        </w:rPr>
        <w:t xml:space="preserve"> all other UN </w:t>
      </w:r>
      <w:r w:rsidR="00B141A3" w:rsidRPr="00046821">
        <w:rPr>
          <w:sz w:val="22"/>
          <w:szCs w:val="22"/>
          <w:lang w:val="en-GB"/>
        </w:rPr>
        <w:t>spe</w:t>
      </w:r>
      <w:r w:rsidR="00B7786E" w:rsidRPr="00046821">
        <w:rPr>
          <w:sz w:val="22"/>
          <w:szCs w:val="22"/>
          <w:lang w:val="en-GB"/>
        </w:rPr>
        <w:t>cialized organizations have a</w:t>
      </w:r>
      <w:r w:rsidR="00B141A3" w:rsidRPr="00046821">
        <w:rPr>
          <w:sz w:val="22"/>
          <w:szCs w:val="22"/>
          <w:lang w:val="en-GB"/>
        </w:rPr>
        <w:t xml:space="preserve"> structure eq</w:t>
      </w:r>
      <w:r w:rsidR="00B7786E" w:rsidRPr="00046821">
        <w:rPr>
          <w:sz w:val="22"/>
          <w:szCs w:val="22"/>
          <w:lang w:val="en-GB"/>
        </w:rPr>
        <w:t>uivalent to</w:t>
      </w:r>
      <w:r w:rsidR="00B141A3" w:rsidRPr="00046821">
        <w:rPr>
          <w:sz w:val="22"/>
          <w:szCs w:val="22"/>
          <w:lang w:val="en-GB"/>
        </w:rPr>
        <w:t xml:space="preserve"> ITU</w:t>
      </w:r>
      <w:r w:rsidR="00B7786E" w:rsidRPr="00046821">
        <w:rPr>
          <w:sz w:val="22"/>
          <w:szCs w:val="22"/>
          <w:lang w:val="en-GB"/>
        </w:rPr>
        <w:t xml:space="preserve"> Council,</w:t>
      </w:r>
      <w:r w:rsidR="00B141A3" w:rsidRPr="00046821">
        <w:rPr>
          <w:sz w:val="22"/>
          <w:szCs w:val="22"/>
          <w:lang w:val="en-GB"/>
        </w:rPr>
        <w:t xml:space="preserve"> only a few have an equivalent of Radio Regulations Board.</w:t>
      </w:r>
      <w:r w:rsidR="00242C8E" w:rsidRPr="00046821">
        <w:rPr>
          <w:sz w:val="22"/>
          <w:szCs w:val="22"/>
          <w:lang w:val="en-GB"/>
        </w:rPr>
        <w:t xml:space="preserve"> </w:t>
      </w:r>
    </w:p>
    <w:p w:rsidR="00B141A3" w:rsidRPr="00046821" w:rsidRDefault="00B141A3" w:rsidP="00B141A3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Moreover</w:t>
      </w:r>
      <w:r w:rsidR="00B7786E" w:rsidRPr="00046821">
        <w:rPr>
          <w:sz w:val="22"/>
          <w:szCs w:val="22"/>
          <w:lang w:val="en-GB"/>
        </w:rPr>
        <w:t xml:space="preserve"> </w:t>
      </w:r>
      <w:r w:rsidRPr="00046821">
        <w:rPr>
          <w:sz w:val="22"/>
          <w:szCs w:val="22"/>
          <w:lang w:val="en-GB"/>
        </w:rPr>
        <w:t xml:space="preserve">the tripartite structure of ITU is </w:t>
      </w:r>
      <w:r w:rsidR="00046821" w:rsidRPr="00046821">
        <w:rPr>
          <w:sz w:val="22"/>
          <w:szCs w:val="22"/>
          <w:lang w:val="en-GB"/>
        </w:rPr>
        <w:t>in</w:t>
      </w:r>
      <w:r w:rsidRPr="00046821">
        <w:rPr>
          <w:sz w:val="22"/>
          <w:szCs w:val="22"/>
          <w:lang w:val="en-GB"/>
        </w:rPr>
        <w:t xml:space="preserve">comparable to any of other international </w:t>
      </w:r>
      <w:r w:rsidR="00385CB7" w:rsidRPr="00046821">
        <w:rPr>
          <w:sz w:val="22"/>
          <w:szCs w:val="22"/>
          <w:lang w:val="en-GB"/>
        </w:rPr>
        <w:t>organizations;</w:t>
      </w:r>
      <w:r w:rsidRPr="00046821">
        <w:rPr>
          <w:sz w:val="22"/>
          <w:szCs w:val="22"/>
          <w:lang w:val="en-GB"/>
        </w:rPr>
        <w:t xml:space="preserve"> therefore the study does not include provisions related to three sectors of ITU. </w:t>
      </w:r>
    </w:p>
    <w:p w:rsidR="00B141A3" w:rsidRPr="00046821" w:rsidRDefault="00B141A3" w:rsidP="00B141A3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The tables</w:t>
      </w:r>
      <w:r w:rsidR="00B7786E" w:rsidRPr="00046821">
        <w:rPr>
          <w:sz w:val="22"/>
          <w:szCs w:val="22"/>
          <w:lang w:val="en-GB"/>
        </w:rPr>
        <w:t xml:space="preserve"> below</w:t>
      </w:r>
      <w:r w:rsidRPr="00046821">
        <w:rPr>
          <w:sz w:val="22"/>
          <w:szCs w:val="22"/>
          <w:lang w:val="en-GB"/>
        </w:rPr>
        <w:t xml:space="preserve"> include the subject of the provision</w:t>
      </w:r>
      <w:r w:rsidR="008801DC">
        <w:rPr>
          <w:sz w:val="22"/>
          <w:szCs w:val="22"/>
          <w:lang w:val="en-GB"/>
        </w:rPr>
        <w:t>s</w:t>
      </w:r>
      <w:r w:rsidRPr="00046821">
        <w:rPr>
          <w:sz w:val="22"/>
          <w:szCs w:val="22"/>
          <w:lang w:val="en-GB"/>
        </w:rPr>
        <w:t xml:space="preserve"> and related article</w:t>
      </w:r>
      <w:r w:rsidR="00B7786E" w:rsidRPr="00046821">
        <w:rPr>
          <w:sz w:val="22"/>
          <w:szCs w:val="22"/>
          <w:lang w:val="en-GB"/>
        </w:rPr>
        <w:t xml:space="preserve"> number</w:t>
      </w:r>
      <w:r w:rsidRPr="00046821">
        <w:rPr>
          <w:sz w:val="22"/>
          <w:szCs w:val="22"/>
          <w:lang w:val="en-GB"/>
        </w:rPr>
        <w:t>s in</w:t>
      </w:r>
      <w:r w:rsidR="0073512F">
        <w:rPr>
          <w:sz w:val="22"/>
          <w:szCs w:val="22"/>
          <w:lang w:val="en-GB"/>
        </w:rPr>
        <w:t xml:space="preserve"> ITU</w:t>
      </w:r>
      <w:r w:rsidRPr="00046821">
        <w:rPr>
          <w:sz w:val="22"/>
          <w:szCs w:val="22"/>
          <w:lang w:val="en-GB"/>
        </w:rPr>
        <w:t xml:space="preserve"> </w:t>
      </w:r>
      <w:r w:rsidR="0073512F">
        <w:rPr>
          <w:sz w:val="22"/>
          <w:szCs w:val="22"/>
          <w:lang w:val="en-GB"/>
        </w:rPr>
        <w:t xml:space="preserve">Constitution or in a few cases in </w:t>
      </w:r>
      <w:r w:rsidR="008801DC">
        <w:rPr>
          <w:sz w:val="22"/>
          <w:szCs w:val="22"/>
          <w:lang w:val="en-GB"/>
        </w:rPr>
        <w:t>Convention. YES and NO</w:t>
      </w:r>
      <w:r w:rsidRPr="00046821">
        <w:rPr>
          <w:sz w:val="22"/>
          <w:szCs w:val="22"/>
          <w:lang w:val="en-GB"/>
        </w:rPr>
        <w:t xml:space="preserve"> are used </w:t>
      </w:r>
      <w:r w:rsidR="00E22AB9">
        <w:rPr>
          <w:sz w:val="22"/>
          <w:szCs w:val="22"/>
          <w:lang w:val="en-GB"/>
        </w:rPr>
        <w:t>in the same</w:t>
      </w:r>
      <w:r w:rsidRPr="00046821">
        <w:rPr>
          <w:sz w:val="22"/>
          <w:szCs w:val="22"/>
          <w:lang w:val="en-GB"/>
        </w:rPr>
        <w:t xml:space="preserve"> way </w:t>
      </w:r>
      <w:r w:rsidR="00046821" w:rsidRPr="00046821">
        <w:rPr>
          <w:sz w:val="22"/>
          <w:szCs w:val="22"/>
          <w:lang w:val="en-GB"/>
        </w:rPr>
        <w:t xml:space="preserve">as </w:t>
      </w:r>
      <w:r w:rsidRPr="00046821">
        <w:rPr>
          <w:sz w:val="22"/>
          <w:szCs w:val="22"/>
          <w:lang w:val="en-GB"/>
        </w:rPr>
        <w:t xml:space="preserve">they are used in Constitution templates. </w:t>
      </w:r>
    </w:p>
    <w:p w:rsidR="00F70B8A" w:rsidRPr="00046821" w:rsidRDefault="00242C8E" w:rsidP="00B141A3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The international</w:t>
      </w:r>
      <w:r w:rsidR="00B7786E" w:rsidRPr="00046821">
        <w:rPr>
          <w:sz w:val="22"/>
          <w:szCs w:val="22"/>
          <w:lang w:val="en-GB"/>
        </w:rPr>
        <w:t xml:space="preserve"> organizations</w:t>
      </w:r>
      <w:r w:rsidRPr="00046821">
        <w:rPr>
          <w:sz w:val="22"/>
          <w:szCs w:val="22"/>
          <w:lang w:val="en-GB"/>
        </w:rPr>
        <w:t xml:space="preserve"> covered in this study</w:t>
      </w:r>
      <w:r w:rsidR="00B7786E" w:rsidRPr="00046821">
        <w:rPr>
          <w:sz w:val="22"/>
          <w:szCs w:val="22"/>
          <w:lang w:val="en-GB"/>
        </w:rPr>
        <w:t xml:space="preserve"> are:</w:t>
      </w:r>
    </w:p>
    <w:p w:rsidR="00B141A3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Universal Postal Union (UPU)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International Labour Organization (ILO)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Food and Agriculture Organization (FAO)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United Nations Educational Scientific and Cultural Organization (UNESCO) 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World Health Organization (WHO)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International Civil Aviation Organization (ICAO)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International Maritime Organization (IMO) </w:t>
      </w:r>
    </w:p>
    <w:p w:rsidR="00242C8E" w:rsidRPr="00046821" w:rsidRDefault="00242C8E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World Intellectual Property Organization (WIPO)</w:t>
      </w: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4A3B95">
      <w:pPr>
        <w:spacing w:after="120" w:line="240" w:lineRule="auto"/>
        <w:jc w:val="both"/>
        <w:rPr>
          <w:b/>
          <w:sz w:val="22"/>
          <w:szCs w:val="22"/>
          <w:lang w:val="en-GB"/>
        </w:rPr>
      </w:pPr>
      <w:r w:rsidRPr="00046821">
        <w:rPr>
          <w:b/>
          <w:sz w:val="22"/>
          <w:szCs w:val="22"/>
          <w:lang w:val="en-GB"/>
        </w:rPr>
        <w:lastRenderedPageBreak/>
        <w:t xml:space="preserve">Fundamental Features </w:t>
      </w:r>
    </w:p>
    <w:p w:rsidR="004A3B95" w:rsidRDefault="004A3B95" w:rsidP="004A3B95">
      <w:pPr>
        <w:spacing w:line="240" w:lineRule="auto"/>
        <w:jc w:val="both"/>
        <w:rPr>
          <w:sz w:val="22"/>
          <w:szCs w:val="22"/>
          <w:lang w:val="en-GB"/>
        </w:rPr>
      </w:pPr>
    </w:p>
    <w:p w:rsidR="00B141A3" w:rsidRDefault="00B141A3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It seems that there is not discrepancy on having a preamble, objectives section and ‘composition of the </w:t>
      </w:r>
      <w:r w:rsidR="00046821">
        <w:rPr>
          <w:sz w:val="22"/>
          <w:szCs w:val="22"/>
          <w:lang w:val="en-GB"/>
        </w:rPr>
        <w:t>organization</w:t>
      </w:r>
      <w:r w:rsidR="00046821" w:rsidRPr="00046821">
        <w:rPr>
          <w:sz w:val="22"/>
          <w:szCs w:val="22"/>
          <w:lang w:val="en-GB"/>
        </w:rPr>
        <w:t>’</w:t>
      </w:r>
      <w:r w:rsidRPr="00046821">
        <w:rPr>
          <w:sz w:val="22"/>
          <w:szCs w:val="22"/>
          <w:lang w:val="en-GB"/>
        </w:rPr>
        <w:t>. However</w:t>
      </w:r>
      <w:r w:rsidR="00046821">
        <w:rPr>
          <w:sz w:val="22"/>
          <w:szCs w:val="22"/>
          <w:lang w:val="en-GB"/>
        </w:rPr>
        <w:t>,</w:t>
      </w:r>
      <w:r w:rsidRPr="00046821">
        <w:rPr>
          <w:sz w:val="22"/>
          <w:szCs w:val="22"/>
          <w:lang w:val="en-GB"/>
        </w:rPr>
        <w:t xml:space="preserve"> </w:t>
      </w:r>
      <w:r w:rsidR="00FD2E5B" w:rsidRPr="00046821">
        <w:rPr>
          <w:sz w:val="22"/>
          <w:szCs w:val="22"/>
          <w:lang w:val="en-GB"/>
        </w:rPr>
        <w:t xml:space="preserve">this </w:t>
      </w:r>
      <w:r w:rsidR="00046821">
        <w:rPr>
          <w:sz w:val="22"/>
          <w:szCs w:val="22"/>
          <w:lang w:val="en-GB"/>
        </w:rPr>
        <w:t>common trait of texts does not apply to other issues</w:t>
      </w:r>
      <w:r w:rsidR="00FD2E5B" w:rsidRPr="00046821">
        <w:rPr>
          <w:sz w:val="22"/>
          <w:szCs w:val="22"/>
          <w:lang w:val="en-GB"/>
        </w:rPr>
        <w:t xml:space="preserve">. </w:t>
      </w:r>
      <w:r w:rsidRPr="00046821">
        <w:rPr>
          <w:sz w:val="22"/>
          <w:szCs w:val="22"/>
          <w:lang w:val="en-GB"/>
        </w:rPr>
        <w:t xml:space="preserve">Only three </w:t>
      </w:r>
      <w:r w:rsidR="009D65A8">
        <w:rPr>
          <w:sz w:val="22"/>
          <w:szCs w:val="22"/>
          <w:lang w:val="en-GB"/>
        </w:rPr>
        <w:t>texts</w:t>
      </w:r>
      <w:r w:rsidR="009D65A8" w:rsidRPr="00046821">
        <w:rPr>
          <w:sz w:val="22"/>
          <w:szCs w:val="22"/>
          <w:lang w:val="en-GB"/>
        </w:rPr>
        <w:t xml:space="preserve"> </w:t>
      </w:r>
      <w:r w:rsidR="009E670F">
        <w:rPr>
          <w:sz w:val="22"/>
          <w:szCs w:val="22"/>
          <w:lang w:val="en-GB"/>
        </w:rPr>
        <w:t>embody</w:t>
      </w:r>
      <w:r w:rsidRPr="00046821">
        <w:rPr>
          <w:sz w:val="22"/>
          <w:szCs w:val="22"/>
          <w:lang w:val="en-GB"/>
        </w:rPr>
        <w:t xml:space="preserve"> ‘rights and obligations of member states’</w:t>
      </w:r>
      <w:r w:rsidR="001C1ED5" w:rsidRPr="00046821">
        <w:rPr>
          <w:sz w:val="22"/>
          <w:szCs w:val="22"/>
          <w:lang w:val="en-GB"/>
        </w:rPr>
        <w:t xml:space="preserve"> section while</w:t>
      </w:r>
      <w:r w:rsidRPr="00046821">
        <w:rPr>
          <w:sz w:val="22"/>
          <w:szCs w:val="22"/>
          <w:lang w:val="en-GB"/>
        </w:rPr>
        <w:t xml:space="preserve"> two</w:t>
      </w:r>
      <w:r w:rsidR="00D94823">
        <w:rPr>
          <w:sz w:val="22"/>
          <w:szCs w:val="22"/>
          <w:lang w:val="en-GB"/>
        </w:rPr>
        <w:t xml:space="preserve"> texts</w:t>
      </w:r>
      <w:r w:rsidRPr="00046821">
        <w:rPr>
          <w:sz w:val="22"/>
          <w:szCs w:val="22"/>
          <w:lang w:val="en-GB"/>
        </w:rPr>
        <w:t xml:space="preserve"> </w:t>
      </w:r>
      <w:r w:rsidR="009E670F">
        <w:rPr>
          <w:sz w:val="22"/>
          <w:szCs w:val="22"/>
          <w:lang w:val="en-GB"/>
        </w:rPr>
        <w:t>comprise</w:t>
      </w:r>
      <w:r w:rsidR="009E670F" w:rsidRPr="00046821">
        <w:rPr>
          <w:sz w:val="22"/>
          <w:szCs w:val="22"/>
          <w:lang w:val="en-GB"/>
        </w:rPr>
        <w:t xml:space="preserve"> </w:t>
      </w:r>
      <w:r w:rsidRPr="00046821">
        <w:rPr>
          <w:sz w:val="22"/>
          <w:szCs w:val="22"/>
          <w:lang w:val="en-GB"/>
        </w:rPr>
        <w:t xml:space="preserve">an article on </w:t>
      </w:r>
      <w:r w:rsidR="00D94823">
        <w:rPr>
          <w:sz w:val="22"/>
          <w:szCs w:val="22"/>
          <w:lang w:val="en-GB"/>
        </w:rPr>
        <w:t>‘</w:t>
      </w:r>
      <w:r w:rsidRPr="00046821">
        <w:rPr>
          <w:sz w:val="22"/>
          <w:szCs w:val="22"/>
          <w:lang w:val="en-GB"/>
        </w:rPr>
        <w:t>instruments</w:t>
      </w:r>
      <w:r w:rsidR="00D94823">
        <w:rPr>
          <w:sz w:val="22"/>
          <w:szCs w:val="22"/>
          <w:lang w:val="en-GB"/>
        </w:rPr>
        <w:t>’</w:t>
      </w:r>
      <w:r w:rsidRPr="00046821">
        <w:rPr>
          <w:sz w:val="22"/>
          <w:szCs w:val="22"/>
          <w:lang w:val="en-GB"/>
        </w:rPr>
        <w:t xml:space="preserve"> or </w:t>
      </w:r>
      <w:r w:rsidR="00D94823">
        <w:rPr>
          <w:sz w:val="22"/>
          <w:szCs w:val="22"/>
          <w:lang w:val="en-GB"/>
        </w:rPr>
        <w:t>‘</w:t>
      </w:r>
      <w:r w:rsidRPr="00046821">
        <w:rPr>
          <w:sz w:val="22"/>
          <w:szCs w:val="22"/>
          <w:lang w:val="en-GB"/>
        </w:rPr>
        <w:t>execution of the instruments</w:t>
      </w:r>
      <w:r w:rsidR="00D94823">
        <w:rPr>
          <w:sz w:val="22"/>
          <w:szCs w:val="22"/>
          <w:lang w:val="en-GB"/>
        </w:rPr>
        <w:t>’</w:t>
      </w:r>
      <w:r w:rsidRPr="00046821">
        <w:rPr>
          <w:sz w:val="22"/>
          <w:szCs w:val="22"/>
          <w:lang w:val="en-GB"/>
        </w:rPr>
        <w:t xml:space="preserve">. Furthermore many of the </w:t>
      </w:r>
      <w:r w:rsidR="00385CB7" w:rsidRPr="00046821">
        <w:rPr>
          <w:sz w:val="22"/>
          <w:szCs w:val="22"/>
          <w:lang w:val="en-GB"/>
        </w:rPr>
        <w:t>founding texts</w:t>
      </w:r>
      <w:r w:rsidRPr="00046821">
        <w:rPr>
          <w:sz w:val="22"/>
          <w:szCs w:val="22"/>
          <w:lang w:val="en-GB"/>
        </w:rPr>
        <w:t xml:space="preserve"> do not have a definitions section. </w:t>
      </w:r>
    </w:p>
    <w:p w:rsidR="009E670F" w:rsidRPr="00046821" w:rsidRDefault="009E670F" w:rsidP="00B141A3">
      <w:pPr>
        <w:spacing w:line="240" w:lineRule="auto"/>
        <w:jc w:val="both"/>
        <w:rPr>
          <w:sz w:val="22"/>
          <w:szCs w:val="22"/>
          <w:lang w:val="en-GB"/>
        </w:rPr>
      </w:pPr>
    </w:p>
    <w:p w:rsidR="001D69DE" w:rsidRDefault="00B141A3" w:rsidP="00B141A3">
      <w:pPr>
        <w:spacing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Only one international organization designates the working language of the union. A quite majority of the international organizations do not have articles dedicated to language issues </w:t>
      </w:r>
      <w:r w:rsidR="009E670F">
        <w:rPr>
          <w:sz w:val="22"/>
          <w:szCs w:val="22"/>
          <w:lang w:val="en-GB"/>
        </w:rPr>
        <w:t>in</w:t>
      </w:r>
      <w:r w:rsidR="009E670F" w:rsidRPr="00046821">
        <w:rPr>
          <w:sz w:val="22"/>
          <w:szCs w:val="22"/>
          <w:lang w:val="en-GB"/>
        </w:rPr>
        <w:t xml:space="preserve"> </w:t>
      </w:r>
      <w:r w:rsidRPr="00046821">
        <w:rPr>
          <w:sz w:val="22"/>
          <w:szCs w:val="22"/>
          <w:lang w:val="en-GB"/>
        </w:rPr>
        <w:t xml:space="preserve">their </w:t>
      </w:r>
      <w:r w:rsidR="00385CB7" w:rsidRPr="00046821">
        <w:rPr>
          <w:sz w:val="22"/>
          <w:szCs w:val="22"/>
          <w:lang w:val="en-GB"/>
        </w:rPr>
        <w:t>founding text</w:t>
      </w:r>
      <w:r w:rsidRPr="00046821">
        <w:rPr>
          <w:sz w:val="22"/>
          <w:szCs w:val="22"/>
          <w:lang w:val="en-GB"/>
        </w:rPr>
        <w:t xml:space="preserve">s. </w:t>
      </w:r>
    </w:p>
    <w:p w:rsidR="009E670F" w:rsidRPr="00046821" w:rsidRDefault="009E670F" w:rsidP="00B141A3">
      <w:pPr>
        <w:spacing w:line="240" w:lineRule="auto"/>
        <w:jc w:val="both"/>
        <w:rPr>
          <w:sz w:val="22"/>
          <w:szCs w:val="22"/>
          <w:lang w:val="en-GB"/>
        </w:rPr>
      </w:pPr>
    </w:p>
    <w:p w:rsidR="00B141A3" w:rsidRPr="00046821" w:rsidRDefault="00B141A3" w:rsidP="008541E1">
      <w:pPr>
        <w:spacing w:after="120" w:line="240" w:lineRule="auto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When it comes to ‘seat of the union’, four organizations have their seats stated in their </w:t>
      </w:r>
      <w:r w:rsidR="00385CB7" w:rsidRPr="00046821">
        <w:rPr>
          <w:sz w:val="22"/>
          <w:szCs w:val="22"/>
          <w:lang w:val="en-GB"/>
        </w:rPr>
        <w:t>founding text</w:t>
      </w:r>
      <w:r w:rsidRPr="00046821">
        <w:rPr>
          <w:sz w:val="22"/>
          <w:szCs w:val="22"/>
          <w:lang w:val="en-GB"/>
        </w:rPr>
        <w:t>s.</w:t>
      </w:r>
      <w:r w:rsidR="00187E18">
        <w:rPr>
          <w:sz w:val="22"/>
          <w:szCs w:val="22"/>
          <w:lang w:val="en-GB"/>
        </w:rPr>
        <w:t xml:space="preserve"> </w:t>
      </w:r>
      <w:r w:rsidR="00E22AB9" w:rsidRPr="00E22AB9">
        <w:rPr>
          <w:sz w:val="22"/>
          <w:szCs w:val="22"/>
          <w:lang w:val="en-GB"/>
        </w:rPr>
        <w:t>Three founding texts with asterix state that their seat will be determined by plenipotentiary decisions but does not name a city specifically.</w:t>
      </w:r>
    </w:p>
    <w:p w:rsidR="00B141A3" w:rsidRPr="00046821" w:rsidRDefault="00B141A3" w:rsidP="00B141A3">
      <w:pPr>
        <w:spacing w:line="240" w:lineRule="auto"/>
        <w:jc w:val="both"/>
        <w:rPr>
          <w:sz w:val="22"/>
          <w:szCs w:val="2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3"/>
        <w:gridCol w:w="1560"/>
        <w:gridCol w:w="621"/>
        <w:gridCol w:w="831"/>
        <w:gridCol w:w="831"/>
        <w:gridCol w:w="982"/>
        <w:gridCol w:w="857"/>
        <w:gridCol w:w="849"/>
        <w:gridCol w:w="833"/>
        <w:gridCol w:w="869"/>
      </w:tblGrid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Relevant Numbers in ITU CS-CV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UPU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ILO 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FAO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UNESCO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WHO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ICAO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IMO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WIPO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Preamble</w:t>
            </w:r>
          </w:p>
        </w:tc>
        <w:tc>
          <w:tcPr>
            <w:tcW w:w="621" w:type="dxa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2-19A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Objectives and Purposes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20-23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9D6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Composition of the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</w:t>
            </w:r>
            <w:r w:rsidR="009D65A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rganization</w:t>
            </w:r>
            <w:r w:rsidR="009D65A8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24-28-C</w:t>
            </w:r>
          </w:p>
        </w:tc>
        <w:tc>
          <w:tcPr>
            <w:tcW w:w="1560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Rights and Obligations of Member S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tates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29-32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986A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Instruments of the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U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nion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33-36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Definitions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37-38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Execution of the Instruments of the Union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171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172</w:t>
            </w:r>
          </w:p>
        </w:tc>
        <w:tc>
          <w:tcPr>
            <w:tcW w:w="1560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Equivalence of L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anguages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173</w:t>
            </w:r>
          </w:p>
        </w:tc>
        <w:tc>
          <w:tcPr>
            <w:tcW w:w="1560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Prevailing Language in D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isputes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174</w:t>
            </w:r>
          </w:p>
        </w:tc>
        <w:tc>
          <w:tcPr>
            <w:tcW w:w="1560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Reducing Working L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anguages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986AC3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175</w:t>
            </w:r>
          </w:p>
        </w:tc>
        <w:tc>
          <w:tcPr>
            <w:tcW w:w="156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Seat of the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U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nion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NO*</w:t>
            </w:r>
          </w:p>
        </w:tc>
        <w:tc>
          <w:tcPr>
            <w:tcW w:w="83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NO*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NO*</w:t>
            </w:r>
          </w:p>
        </w:tc>
        <w:tc>
          <w:tcPr>
            <w:tcW w:w="84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</w:tbl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  <w:r w:rsidRPr="00046821">
        <w:rPr>
          <w:b/>
          <w:sz w:val="22"/>
          <w:szCs w:val="22"/>
          <w:lang w:val="en-GB"/>
        </w:rPr>
        <w:lastRenderedPageBreak/>
        <w:t>Structure of the Union</w:t>
      </w:r>
    </w:p>
    <w:p w:rsidR="004A3B95" w:rsidRPr="00046821" w:rsidRDefault="004A3B95" w:rsidP="004A3B95">
      <w:pPr>
        <w:jc w:val="both"/>
        <w:rPr>
          <w:b/>
          <w:sz w:val="22"/>
          <w:szCs w:val="22"/>
          <w:lang w:val="en-GB"/>
        </w:rPr>
      </w:pPr>
    </w:p>
    <w:p w:rsidR="00B141A3" w:rsidRDefault="00347F09" w:rsidP="004114D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All founding texts have provisions regarding</w:t>
      </w:r>
      <w:r w:rsidR="00E22AB9">
        <w:rPr>
          <w:sz w:val="22"/>
          <w:szCs w:val="22"/>
          <w:lang w:val="en-GB"/>
        </w:rPr>
        <w:t xml:space="preserve"> </w:t>
      </w:r>
      <w:r w:rsidR="003C2794">
        <w:rPr>
          <w:sz w:val="22"/>
          <w:szCs w:val="22"/>
          <w:lang w:val="en-GB"/>
        </w:rPr>
        <w:t>P</w:t>
      </w:r>
      <w:r w:rsidR="004A3B95">
        <w:rPr>
          <w:sz w:val="22"/>
          <w:szCs w:val="22"/>
          <w:lang w:val="en-GB"/>
        </w:rPr>
        <w:t>lenipotentiary-like bodies</w:t>
      </w:r>
      <w:r w:rsidR="00B141A3" w:rsidRPr="00046821">
        <w:rPr>
          <w:sz w:val="22"/>
          <w:szCs w:val="22"/>
          <w:lang w:val="en-GB"/>
        </w:rPr>
        <w:t xml:space="preserve">. However it is not the same for Council-like </w:t>
      </w:r>
      <w:r w:rsidR="009E670F">
        <w:rPr>
          <w:sz w:val="22"/>
          <w:szCs w:val="22"/>
          <w:lang w:val="en-GB"/>
        </w:rPr>
        <w:t>bodies</w:t>
      </w:r>
      <w:r w:rsidR="00B141A3" w:rsidRPr="00046821">
        <w:rPr>
          <w:sz w:val="22"/>
          <w:szCs w:val="22"/>
          <w:lang w:val="en-GB"/>
        </w:rPr>
        <w:t xml:space="preserve">. Half of the </w:t>
      </w:r>
      <w:r w:rsidR="001D69DE" w:rsidRPr="00046821">
        <w:rPr>
          <w:sz w:val="22"/>
          <w:szCs w:val="22"/>
          <w:lang w:val="en-GB"/>
        </w:rPr>
        <w:t>founding texts</w:t>
      </w:r>
      <w:r w:rsidR="00B141A3" w:rsidRPr="00046821">
        <w:rPr>
          <w:sz w:val="22"/>
          <w:szCs w:val="22"/>
          <w:lang w:val="en-GB"/>
        </w:rPr>
        <w:t xml:space="preserve"> </w:t>
      </w:r>
      <w:r w:rsidR="0020280E" w:rsidRPr="00046821">
        <w:rPr>
          <w:sz w:val="22"/>
          <w:szCs w:val="22"/>
          <w:lang w:val="en-GB"/>
        </w:rPr>
        <w:t>do</w:t>
      </w:r>
      <w:r w:rsidR="00B141A3" w:rsidRPr="00046821">
        <w:rPr>
          <w:sz w:val="22"/>
          <w:szCs w:val="22"/>
          <w:lang w:val="en-GB"/>
        </w:rPr>
        <w:t xml:space="preserve"> not have ar</w:t>
      </w:r>
      <w:r w:rsidR="0020280E" w:rsidRPr="00046821">
        <w:rPr>
          <w:sz w:val="22"/>
          <w:szCs w:val="22"/>
          <w:lang w:val="en-GB"/>
        </w:rPr>
        <w:t>ticles related to advisers and five</w:t>
      </w:r>
      <w:r w:rsidR="00B141A3" w:rsidRPr="00046821">
        <w:rPr>
          <w:sz w:val="22"/>
          <w:szCs w:val="22"/>
          <w:lang w:val="en-GB"/>
        </w:rPr>
        <w:t xml:space="preserve"> of </w:t>
      </w:r>
      <w:r w:rsidR="0020280E" w:rsidRPr="00046821">
        <w:rPr>
          <w:sz w:val="22"/>
          <w:szCs w:val="22"/>
          <w:lang w:val="en-GB"/>
        </w:rPr>
        <w:t>them do</w:t>
      </w:r>
      <w:r w:rsidR="00B141A3" w:rsidRPr="00046821">
        <w:rPr>
          <w:sz w:val="22"/>
          <w:szCs w:val="22"/>
          <w:lang w:val="en-GB"/>
        </w:rPr>
        <w:t xml:space="preserve"> not have any article for duties of Council</w:t>
      </w:r>
      <w:r w:rsidR="00DE383B">
        <w:rPr>
          <w:sz w:val="22"/>
          <w:szCs w:val="22"/>
          <w:lang w:val="en-GB"/>
        </w:rPr>
        <w:t>-like bodies</w:t>
      </w:r>
      <w:r w:rsidR="00B141A3" w:rsidRPr="00046821">
        <w:rPr>
          <w:sz w:val="22"/>
          <w:szCs w:val="22"/>
          <w:lang w:val="en-GB"/>
        </w:rPr>
        <w:t>. Moreover</w:t>
      </w:r>
      <w:r w:rsidR="00DE383B">
        <w:rPr>
          <w:sz w:val="22"/>
          <w:szCs w:val="22"/>
          <w:lang w:val="en-GB"/>
        </w:rPr>
        <w:t>,</w:t>
      </w:r>
      <w:r w:rsidR="00B141A3" w:rsidRPr="00046821">
        <w:rPr>
          <w:sz w:val="22"/>
          <w:szCs w:val="22"/>
          <w:lang w:val="en-GB"/>
        </w:rPr>
        <w:t xml:space="preserve"> only two </w:t>
      </w:r>
      <w:r w:rsidR="001D69DE" w:rsidRPr="00046821">
        <w:rPr>
          <w:sz w:val="22"/>
          <w:szCs w:val="22"/>
          <w:lang w:val="en-GB"/>
        </w:rPr>
        <w:t>founding texts</w:t>
      </w:r>
      <w:r w:rsidR="00B141A3" w:rsidRPr="00046821">
        <w:rPr>
          <w:sz w:val="22"/>
          <w:szCs w:val="22"/>
          <w:lang w:val="en-GB"/>
        </w:rPr>
        <w:t xml:space="preserve"> have articles relate</w:t>
      </w:r>
      <w:r w:rsidR="003C2794">
        <w:rPr>
          <w:sz w:val="22"/>
          <w:szCs w:val="22"/>
          <w:lang w:val="en-GB"/>
        </w:rPr>
        <w:t>d to duties of deputy secretary-</w:t>
      </w:r>
      <w:r w:rsidR="00B141A3" w:rsidRPr="00046821">
        <w:rPr>
          <w:sz w:val="22"/>
          <w:szCs w:val="22"/>
          <w:lang w:val="en-GB"/>
        </w:rPr>
        <w:t xml:space="preserve">general. </w:t>
      </w:r>
      <w:r w:rsidR="0020280E" w:rsidRPr="00046821">
        <w:rPr>
          <w:sz w:val="22"/>
          <w:szCs w:val="22"/>
          <w:lang w:val="en-GB"/>
        </w:rPr>
        <w:t>On the other hand</w:t>
      </w:r>
      <w:r w:rsidR="004A3B95">
        <w:rPr>
          <w:sz w:val="22"/>
          <w:szCs w:val="22"/>
          <w:lang w:val="en-GB"/>
        </w:rPr>
        <w:t xml:space="preserve"> a</w:t>
      </w:r>
      <w:r w:rsidR="00B6706C">
        <w:rPr>
          <w:sz w:val="22"/>
          <w:szCs w:val="22"/>
          <w:lang w:val="en-GB"/>
        </w:rPr>
        <w:t>n article on</w:t>
      </w:r>
      <w:r w:rsidR="00B141A3" w:rsidRPr="00046821">
        <w:rPr>
          <w:sz w:val="22"/>
          <w:szCs w:val="22"/>
          <w:lang w:val="en-GB"/>
        </w:rPr>
        <w:t xml:space="preserve"> </w:t>
      </w:r>
      <w:r w:rsidR="004A3B95">
        <w:rPr>
          <w:sz w:val="22"/>
          <w:szCs w:val="22"/>
          <w:lang w:val="en-GB"/>
        </w:rPr>
        <w:t>‘</w:t>
      </w:r>
      <w:r w:rsidR="004A3B95" w:rsidRPr="00046821">
        <w:rPr>
          <w:sz w:val="22"/>
          <w:szCs w:val="22"/>
          <w:lang w:val="en-GB"/>
        </w:rPr>
        <w:t>staff of the union</w:t>
      </w:r>
      <w:r w:rsidR="00B6706C">
        <w:rPr>
          <w:sz w:val="22"/>
          <w:szCs w:val="22"/>
          <w:lang w:val="en-GB"/>
        </w:rPr>
        <w:t xml:space="preserve">’ </w:t>
      </w:r>
      <w:r w:rsidR="004A3B95" w:rsidRPr="00046821">
        <w:rPr>
          <w:sz w:val="22"/>
          <w:szCs w:val="22"/>
          <w:lang w:val="en-GB"/>
        </w:rPr>
        <w:t>seem</w:t>
      </w:r>
      <w:r w:rsidR="004A3B95">
        <w:rPr>
          <w:sz w:val="22"/>
          <w:szCs w:val="22"/>
          <w:lang w:val="en-GB"/>
        </w:rPr>
        <w:t>s</w:t>
      </w:r>
      <w:r w:rsidR="00B141A3" w:rsidRPr="00046821">
        <w:rPr>
          <w:sz w:val="22"/>
          <w:szCs w:val="22"/>
          <w:lang w:val="en-GB"/>
        </w:rPr>
        <w:t xml:space="preserve"> like a must. </w:t>
      </w:r>
    </w:p>
    <w:p w:rsidR="00DE383B" w:rsidRPr="00046821" w:rsidRDefault="00DE383B" w:rsidP="00B141A3">
      <w:pPr>
        <w:jc w:val="both"/>
        <w:rPr>
          <w:sz w:val="22"/>
          <w:szCs w:val="2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4"/>
        <w:gridCol w:w="2007"/>
        <w:gridCol w:w="737"/>
        <w:gridCol w:w="682"/>
        <w:gridCol w:w="724"/>
        <w:gridCol w:w="982"/>
        <w:gridCol w:w="787"/>
        <w:gridCol w:w="769"/>
        <w:gridCol w:w="734"/>
        <w:gridCol w:w="810"/>
      </w:tblGrid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Relevant Numbers in ITU CS-CV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UPU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ILO 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FAO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UNESCO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WHO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ICAO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IMO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WIPO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1464C4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  <w:t>PP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47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PP-like B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odies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48-59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Duties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47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Meeting I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nterval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59A-59D</w:t>
            </w:r>
          </w:p>
        </w:tc>
        <w:tc>
          <w:tcPr>
            <w:tcW w:w="2007" w:type="dxa"/>
            <w:vAlign w:val="bottom"/>
          </w:tcPr>
          <w:p w:rsidR="00B141A3" w:rsidRPr="00046821" w:rsidRDefault="001464C4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Extraordinary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eetings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bookmarkStart w:id="0" w:name="_GoBack"/>
        <w:bookmarkEnd w:id="0"/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1464C4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  <w:t>Council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65, 68-69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Council-like B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odies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66</w:t>
            </w:r>
          </w:p>
        </w:tc>
        <w:tc>
          <w:tcPr>
            <w:tcW w:w="2007" w:type="dxa"/>
            <w:vAlign w:val="bottom"/>
          </w:tcPr>
          <w:p w:rsidR="00B141A3" w:rsidRPr="00046821" w:rsidRDefault="001464C4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Advisers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70-72</w:t>
            </w:r>
          </w:p>
        </w:tc>
        <w:tc>
          <w:tcPr>
            <w:tcW w:w="2007" w:type="dxa"/>
            <w:vAlign w:val="bottom"/>
          </w:tcPr>
          <w:p w:rsidR="00B141A3" w:rsidRPr="00046821" w:rsidRDefault="001464C4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Duties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CV 50-50A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986A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Number/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roportion 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  <w:t>General Secretariat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73-73</w:t>
            </w:r>
            <w:r w:rsidRPr="0004682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/>
              </w:rPr>
              <w:t>bis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General Secretariat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73A-76A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744E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Duties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77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986A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Duties of Deputy S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retary-G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eral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7" w:type="dxa"/>
            <w:vAlign w:val="bottom"/>
          </w:tcPr>
          <w:p w:rsidR="00B141A3" w:rsidRPr="00046821" w:rsidRDefault="0084552D" w:rsidP="006F4932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lang w:val="en-GB"/>
              </w:rPr>
              <w:t>Miscellaneous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39-46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Bodies of the U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nion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150-154</w:t>
            </w:r>
          </w:p>
        </w:tc>
        <w:tc>
          <w:tcPr>
            <w:tcW w:w="20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Elected O</w:t>
            </w:r>
            <w:r w:rsidR="00B141A3" w:rsidRPr="00046821">
              <w:rPr>
                <w:rFonts w:ascii="Calibri" w:hAnsi="Calibri" w:cs="Calibri"/>
                <w:sz w:val="22"/>
                <w:szCs w:val="22"/>
                <w:lang w:val="en-GB"/>
              </w:rPr>
              <w:t>fficials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150-154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sz w:val="22"/>
                <w:szCs w:val="22"/>
                <w:lang w:val="en-GB"/>
              </w:rPr>
              <w:t>Staff of the Union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4114DF">
        <w:tc>
          <w:tcPr>
            <w:tcW w:w="105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60-64</w:t>
            </w:r>
          </w:p>
        </w:tc>
        <w:tc>
          <w:tcPr>
            <w:tcW w:w="20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Election Principles </w:t>
            </w:r>
          </w:p>
        </w:tc>
        <w:tc>
          <w:tcPr>
            <w:tcW w:w="73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6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2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8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</w:tbl>
    <w:p w:rsidR="00744EAD" w:rsidRPr="00046821" w:rsidRDefault="00744EAD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F417C7" w:rsidRDefault="00F417C7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F417C7" w:rsidRDefault="00F417C7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F417C7" w:rsidRDefault="00F417C7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F417C7" w:rsidRDefault="00F417C7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  <w:r w:rsidRPr="00046821">
        <w:rPr>
          <w:b/>
          <w:sz w:val="22"/>
          <w:szCs w:val="22"/>
          <w:lang w:val="en-GB"/>
        </w:rPr>
        <w:lastRenderedPageBreak/>
        <w:t>Financial Matters</w:t>
      </w:r>
    </w:p>
    <w:p w:rsidR="00DE383B" w:rsidRDefault="00DE383B" w:rsidP="004A3B95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 xml:space="preserve">This is one of the areas that ITU Constitution clearly </w:t>
      </w:r>
      <w:r w:rsidR="00744EAD" w:rsidRPr="00046821">
        <w:rPr>
          <w:sz w:val="22"/>
          <w:szCs w:val="22"/>
          <w:lang w:val="en-GB"/>
        </w:rPr>
        <w:t>diverges</w:t>
      </w:r>
      <w:r w:rsidRPr="00046821">
        <w:rPr>
          <w:sz w:val="22"/>
          <w:szCs w:val="22"/>
          <w:lang w:val="en-GB"/>
        </w:rPr>
        <w:t xml:space="preserve"> from the mainstream. </w:t>
      </w:r>
      <w:r w:rsidRPr="005159A2">
        <w:rPr>
          <w:sz w:val="22"/>
          <w:szCs w:val="22"/>
          <w:lang w:val="en-GB"/>
        </w:rPr>
        <w:t xml:space="preserve">Most </w:t>
      </w:r>
      <w:r w:rsidR="001D69DE" w:rsidRPr="005159A2">
        <w:rPr>
          <w:sz w:val="22"/>
          <w:szCs w:val="22"/>
          <w:lang w:val="en-GB"/>
        </w:rPr>
        <w:t>of the founding texts</w:t>
      </w:r>
      <w:r w:rsidR="00CB3315" w:rsidRPr="005159A2">
        <w:rPr>
          <w:sz w:val="22"/>
          <w:szCs w:val="22"/>
          <w:lang w:val="en-GB"/>
        </w:rPr>
        <w:t xml:space="preserve"> </w:t>
      </w:r>
      <w:r w:rsidR="00803270">
        <w:rPr>
          <w:sz w:val="22"/>
          <w:szCs w:val="22"/>
          <w:lang w:val="en-GB"/>
        </w:rPr>
        <w:t>cover</w:t>
      </w:r>
      <w:r w:rsidR="00187E18">
        <w:rPr>
          <w:sz w:val="22"/>
          <w:szCs w:val="22"/>
          <w:lang w:val="en-GB"/>
        </w:rPr>
        <w:t xml:space="preserve"> </w:t>
      </w:r>
      <w:r w:rsidRPr="005159A2">
        <w:rPr>
          <w:sz w:val="22"/>
          <w:szCs w:val="22"/>
          <w:lang w:val="en-GB"/>
        </w:rPr>
        <w:t xml:space="preserve">financial issues </w:t>
      </w:r>
      <w:r w:rsidR="00187E18">
        <w:rPr>
          <w:sz w:val="22"/>
          <w:szCs w:val="22"/>
          <w:lang w:val="en-GB"/>
        </w:rPr>
        <w:t xml:space="preserve">by </w:t>
      </w:r>
      <w:r w:rsidR="00E22AB9">
        <w:rPr>
          <w:sz w:val="22"/>
          <w:szCs w:val="22"/>
          <w:lang w:val="en-GB"/>
        </w:rPr>
        <w:t xml:space="preserve">specifying </w:t>
      </w:r>
      <w:r w:rsidR="00E22AB9" w:rsidRPr="005159A2">
        <w:rPr>
          <w:sz w:val="22"/>
          <w:szCs w:val="22"/>
          <w:lang w:val="en-GB"/>
        </w:rPr>
        <w:t>a</w:t>
      </w:r>
      <w:r w:rsidRPr="005159A2">
        <w:rPr>
          <w:sz w:val="22"/>
          <w:szCs w:val="22"/>
          <w:lang w:val="en-GB"/>
        </w:rPr>
        <w:t xml:space="preserve"> couple of general budget provisions</w:t>
      </w:r>
      <w:r w:rsidR="00187E18">
        <w:rPr>
          <w:sz w:val="22"/>
          <w:szCs w:val="22"/>
          <w:lang w:val="en-GB"/>
        </w:rPr>
        <w:t xml:space="preserve"> </w:t>
      </w:r>
      <w:r w:rsidR="008541E1">
        <w:rPr>
          <w:sz w:val="22"/>
          <w:szCs w:val="22"/>
          <w:lang w:val="en-GB"/>
        </w:rPr>
        <w:t xml:space="preserve">and </w:t>
      </w:r>
      <w:r w:rsidR="008541E1" w:rsidRPr="005159A2">
        <w:rPr>
          <w:sz w:val="22"/>
          <w:szCs w:val="22"/>
          <w:lang w:val="en-GB"/>
        </w:rPr>
        <w:t>have</w:t>
      </w:r>
      <w:r w:rsidRPr="005159A2">
        <w:rPr>
          <w:sz w:val="22"/>
          <w:szCs w:val="22"/>
          <w:lang w:val="en-GB"/>
        </w:rPr>
        <w:t xml:space="preserve"> </w:t>
      </w:r>
      <w:r w:rsidR="0087406B" w:rsidRPr="005159A2">
        <w:rPr>
          <w:sz w:val="22"/>
          <w:szCs w:val="22"/>
          <w:lang w:val="en-GB"/>
        </w:rPr>
        <w:t>no provision on revenues,</w:t>
      </w:r>
      <w:r w:rsidRPr="005159A2">
        <w:rPr>
          <w:sz w:val="22"/>
          <w:szCs w:val="22"/>
          <w:lang w:val="en-GB"/>
        </w:rPr>
        <w:t xml:space="preserve"> expenditures or how to choose and pay contribution classes. Issue of</w:t>
      </w:r>
      <w:r w:rsidR="001D69DE" w:rsidRPr="005159A2">
        <w:rPr>
          <w:sz w:val="22"/>
          <w:szCs w:val="22"/>
          <w:lang w:val="en-GB"/>
        </w:rPr>
        <w:t xml:space="preserve"> arrears is one clear exception.</w:t>
      </w:r>
    </w:p>
    <w:p w:rsidR="00B141A3" w:rsidRPr="00046821" w:rsidRDefault="00B141A3" w:rsidP="008541E1">
      <w:pPr>
        <w:jc w:val="both"/>
        <w:rPr>
          <w:sz w:val="22"/>
          <w:szCs w:val="2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3"/>
        <w:gridCol w:w="1607"/>
        <w:gridCol w:w="655"/>
        <w:gridCol w:w="795"/>
        <w:gridCol w:w="817"/>
        <w:gridCol w:w="982"/>
        <w:gridCol w:w="850"/>
        <w:gridCol w:w="841"/>
        <w:gridCol w:w="823"/>
        <w:gridCol w:w="863"/>
      </w:tblGrid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Relevant Numbers in ITU CS-CV</w:t>
            </w:r>
          </w:p>
        </w:tc>
        <w:tc>
          <w:tcPr>
            <w:tcW w:w="16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UPU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ILO 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FAO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UNESCO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WHO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ICAO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IMO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WIPO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155-158</w:t>
            </w:r>
          </w:p>
        </w:tc>
        <w:tc>
          <w:tcPr>
            <w:tcW w:w="16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Expenditure of the Union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159-159B</w:t>
            </w:r>
          </w:p>
        </w:tc>
        <w:tc>
          <w:tcPr>
            <w:tcW w:w="16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Revenues of the Union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159C, 160</w:t>
            </w:r>
          </w:p>
        </w:tc>
        <w:tc>
          <w:tcPr>
            <w:tcW w:w="1607" w:type="dxa"/>
            <w:vAlign w:val="bottom"/>
          </w:tcPr>
          <w:p w:rsidR="00B141A3" w:rsidRPr="00046821" w:rsidRDefault="000A4505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Contribution Clas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ses P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rinciple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159D-159G</w:t>
            </w:r>
          </w:p>
        </w:tc>
        <w:tc>
          <w:tcPr>
            <w:tcW w:w="16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Expenses of Regional C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onferences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161-165B</w:t>
            </w:r>
          </w:p>
        </w:tc>
        <w:tc>
          <w:tcPr>
            <w:tcW w:w="1607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Procedures of Contribution C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lasses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168</w:t>
            </w:r>
          </w:p>
        </w:tc>
        <w:tc>
          <w:tcPr>
            <w:tcW w:w="1607" w:type="dxa"/>
            <w:vAlign w:val="bottom"/>
          </w:tcPr>
          <w:p w:rsidR="00B141A3" w:rsidRPr="00046821" w:rsidRDefault="00B141A3" w:rsidP="00986A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Pay Contributions in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Advance P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rinciple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03F16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169</w:t>
            </w:r>
          </w:p>
        </w:tc>
        <w:tc>
          <w:tcPr>
            <w:tcW w:w="160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Arrears</w:t>
            </w:r>
          </w:p>
        </w:tc>
        <w:tc>
          <w:tcPr>
            <w:tcW w:w="6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9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2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6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</w:tbl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87406B" w:rsidRPr="00046821" w:rsidRDefault="0087406B" w:rsidP="00B141A3">
      <w:pPr>
        <w:spacing w:after="120"/>
        <w:jc w:val="both"/>
        <w:rPr>
          <w:b/>
          <w:sz w:val="22"/>
          <w:szCs w:val="22"/>
          <w:lang w:val="en-GB"/>
        </w:rPr>
      </w:pPr>
    </w:p>
    <w:p w:rsidR="00B141A3" w:rsidRDefault="00B141A3" w:rsidP="00B141A3">
      <w:pPr>
        <w:spacing w:after="120"/>
        <w:jc w:val="both"/>
        <w:rPr>
          <w:b/>
          <w:sz w:val="22"/>
          <w:szCs w:val="22"/>
          <w:lang w:val="en-GB"/>
        </w:rPr>
      </w:pPr>
      <w:r w:rsidRPr="00046821">
        <w:rPr>
          <w:b/>
          <w:sz w:val="22"/>
          <w:szCs w:val="22"/>
          <w:lang w:val="en-GB"/>
        </w:rPr>
        <w:lastRenderedPageBreak/>
        <w:t>Legal Matters</w:t>
      </w:r>
    </w:p>
    <w:p w:rsidR="004A3B95" w:rsidRPr="00046821" w:rsidRDefault="004A3B95" w:rsidP="004A3B95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spacing w:after="120"/>
        <w:jc w:val="both"/>
        <w:rPr>
          <w:sz w:val="22"/>
          <w:szCs w:val="22"/>
          <w:lang w:val="en-GB"/>
        </w:rPr>
      </w:pPr>
      <w:r w:rsidRPr="00046821">
        <w:rPr>
          <w:sz w:val="22"/>
          <w:szCs w:val="22"/>
          <w:lang w:val="en-GB"/>
        </w:rPr>
        <w:t>There is not much diffe</w:t>
      </w:r>
      <w:r w:rsidR="0087406B" w:rsidRPr="00046821">
        <w:rPr>
          <w:sz w:val="22"/>
          <w:szCs w:val="22"/>
          <w:lang w:val="en-GB"/>
        </w:rPr>
        <w:t>rence between founding texts</w:t>
      </w:r>
      <w:r w:rsidRPr="00046821">
        <w:rPr>
          <w:sz w:val="22"/>
          <w:szCs w:val="22"/>
          <w:lang w:val="en-GB"/>
        </w:rPr>
        <w:t xml:space="preserve"> when it comes to legal matters such as </w:t>
      </w:r>
      <w:r w:rsidR="0073512F">
        <w:rPr>
          <w:sz w:val="22"/>
          <w:szCs w:val="22"/>
          <w:lang w:val="en-GB"/>
        </w:rPr>
        <w:t>‘</w:t>
      </w:r>
      <w:r w:rsidRPr="00046821">
        <w:rPr>
          <w:sz w:val="22"/>
          <w:szCs w:val="22"/>
          <w:lang w:val="en-GB"/>
        </w:rPr>
        <w:t>entry into f</w:t>
      </w:r>
      <w:r w:rsidR="0087406B" w:rsidRPr="00046821">
        <w:rPr>
          <w:sz w:val="22"/>
          <w:szCs w:val="22"/>
          <w:lang w:val="en-GB"/>
        </w:rPr>
        <w:t>orce</w:t>
      </w:r>
      <w:r w:rsidR="0073512F">
        <w:rPr>
          <w:sz w:val="22"/>
          <w:szCs w:val="22"/>
          <w:lang w:val="en-GB"/>
        </w:rPr>
        <w:t>’ or ‘amendment’</w:t>
      </w:r>
      <w:r w:rsidR="0087406B" w:rsidRPr="00046821">
        <w:rPr>
          <w:sz w:val="22"/>
          <w:szCs w:val="22"/>
          <w:lang w:val="en-GB"/>
        </w:rPr>
        <w:t>. Neither founding document includes any provision with regard to</w:t>
      </w:r>
      <w:r w:rsidRPr="00046821">
        <w:rPr>
          <w:sz w:val="22"/>
          <w:szCs w:val="22"/>
          <w:lang w:val="en-GB"/>
        </w:rPr>
        <w:t xml:space="preserve"> administrative regulations. </w:t>
      </w:r>
    </w:p>
    <w:p w:rsidR="00B141A3" w:rsidRPr="00046821" w:rsidRDefault="00B141A3" w:rsidP="008541E1">
      <w:pPr>
        <w:jc w:val="both"/>
        <w:rPr>
          <w:sz w:val="22"/>
          <w:szCs w:val="2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1669"/>
        <w:gridCol w:w="621"/>
        <w:gridCol w:w="777"/>
        <w:gridCol w:w="802"/>
        <w:gridCol w:w="982"/>
        <w:gridCol w:w="840"/>
        <w:gridCol w:w="830"/>
        <w:gridCol w:w="809"/>
        <w:gridCol w:w="855"/>
      </w:tblGrid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Relevant Numbers in ITU CS-CV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UPU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ILO 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FAO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UNESCO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WHO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ICAO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IMO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WIPO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176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Jurisdiction (Legal Capacity)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208-211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Ratification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212-214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Accession or </w:t>
            </w:r>
            <w:r w:rsidR="00986AC3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dmission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215-223</w:t>
            </w:r>
          </w:p>
        </w:tc>
        <w:tc>
          <w:tcPr>
            <w:tcW w:w="1669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Administrative R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egulations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224-225</w:t>
            </w:r>
          </w:p>
        </w:tc>
        <w:tc>
          <w:tcPr>
            <w:tcW w:w="1669" w:type="dxa"/>
            <w:vAlign w:val="bottom"/>
          </w:tcPr>
          <w:p w:rsidR="00B141A3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Proposal to A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mend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226-232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Amendment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233-235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Settlement of disputes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BE0DBA">
        <w:tc>
          <w:tcPr>
            <w:tcW w:w="110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236-237</w:t>
            </w:r>
          </w:p>
        </w:tc>
        <w:tc>
          <w:tcPr>
            <w:tcW w:w="166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Denunciation </w:t>
            </w:r>
            <w:r w:rsidR="00103F16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(W</w:t>
            </w: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ithdrawal)</w:t>
            </w:r>
          </w:p>
        </w:tc>
        <w:tc>
          <w:tcPr>
            <w:tcW w:w="621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77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0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9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</w:tbl>
    <w:p w:rsidR="00B141A3" w:rsidRPr="00046821" w:rsidRDefault="00B141A3" w:rsidP="00B141A3">
      <w:pPr>
        <w:jc w:val="both"/>
        <w:rPr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B141A3" w:rsidRPr="00046821" w:rsidRDefault="00B141A3" w:rsidP="00B141A3">
      <w:pPr>
        <w:jc w:val="both"/>
        <w:rPr>
          <w:b/>
          <w:sz w:val="22"/>
          <w:szCs w:val="22"/>
          <w:lang w:val="en-GB"/>
        </w:rPr>
      </w:pPr>
    </w:p>
    <w:p w:rsidR="008541E1" w:rsidRDefault="008541E1" w:rsidP="00B141A3">
      <w:pPr>
        <w:spacing w:after="120" w:line="240" w:lineRule="auto"/>
        <w:jc w:val="both"/>
        <w:rPr>
          <w:b/>
          <w:sz w:val="22"/>
          <w:szCs w:val="22"/>
          <w:lang w:val="en-GB"/>
        </w:rPr>
      </w:pPr>
    </w:p>
    <w:p w:rsidR="00B141A3" w:rsidRDefault="002C5F90" w:rsidP="00B141A3">
      <w:pPr>
        <w:spacing w:after="120" w:line="24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>Miscellaneous</w:t>
      </w:r>
    </w:p>
    <w:p w:rsidR="004A3B95" w:rsidRPr="00046821" w:rsidRDefault="004A3B95" w:rsidP="004A3B95">
      <w:pPr>
        <w:spacing w:line="240" w:lineRule="auto"/>
        <w:jc w:val="both"/>
        <w:rPr>
          <w:b/>
          <w:sz w:val="22"/>
          <w:szCs w:val="22"/>
          <w:lang w:val="en-GB"/>
        </w:rPr>
      </w:pPr>
    </w:p>
    <w:p w:rsidR="00610E75" w:rsidRDefault="00610E75" w:rsidP="00B141A3">
      <w:pPr>
        <w:spacing w:after="120"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Within the scope of articles compared in this part, ITU Constitution clearly differs from founding texts of other international organizations.</w:t>
      </w:r>
    </w:p>
    <w:p w:rsidR="00DF5148" w:rsidRPr="00046821" w:rsidRDefault="00DF5148" w:rsidP="00DF5148">
      <w:pPr>
        <w:spacing w:after="120" w:line="240" w:lineRule="auto"/>
        <w:jc w:val="both"/>
        <w:rPr>
          <w:sz w:val="22"/>
          <w:lang w:val="en-GB"/>
        </w:rPr>
      </w:pPr>
      <w:r w:rsidRPr="00046821">
        <w:rPr>
          <w:sz w:val="22"/>
          <w:lang w:val="en-GB"/>
        </w:rPr>
        <w:t>The last but not the least, it is worth to note that any of the founding documents</w:t>
      </w:r>
      <w:r w:rsidR="00190919">
        <w:rPr>
          <w:sz w:val="22"/>
          <w:lang w:val="en-GB"/>
        </w:rPr>
        <w:t>,</w:t>
      </w:r>
      <w:r w:rsidRPr="00046821">
        <w:rPr>
          <w:sz w:val="22"/>
          <w:lang w:val="en-GB"/>
        </w:rPr>
        <w:t xml:space="preserve"> </w:t>
      </w:r>
      <w:r w:rsidR="00190919" w:rsidRPr="00046821">
        <w:rPr>
          <w:sz w:val="22"/>
          <w:lang w:val="en-GB"/>
        </w:rPr>
        <w:t>with one exception</w:t>
      </w:r>
      <w:r w:rsidR="00190919">
        <w:rPr>
          <w:sz w:val="22"/>
          <w:lang w:val="en-GB"/>
        </w:rPr>
        <w:t>,</w:t>
      </w:r>
      <w:r w:rsidR="00190919" w:rsidRPr="00046821">
        <w:rPr>
          <w:sz w:val="22"/>
          <w:lang w:val="en-GB"/>
        </w:rPr>
        <w:t xml:space="preserve"> </w:t>
      </w:r>
      <w:r w:rsidRPr="00046821">
        <w:rPr>
          <w:sz w:val="22"/>
          <w:lang w:val="en-GB"/>
        </w:rPr>
        <w:t xml:space="preserve">do not have any articles or comments related to area of the </w:t>
      </w:r>
      <w:r w:rsidR="0073512F" w:rsidRPr="00046821">
        <w:rPr>
          <w:sz w:val="22"/>
          <w:lang w:val="en-GB"/>
        </w:rPr>
        <w:t xml:space="preserve">organization. </w:t>
      </w:r>
      <w:r w:rsidRPr="00046821">
        <w:rPr>
          <w:sz w:val="22"/>
          <w:lang w:val="en-GB"/>
        </w:rPr>
        <w:t>However ITU Constitution has many articles not related to Union but to the international telecommunication regulations and radio regulations.</w:t>
      </w:r>
    </w:p>
    <w:p w:rsidR="00DF5148" w:rsidRPr="00046821" w:rsidRDefault="00DF5148" w:rsidP="008541E1">
      <w:pPr>
        <w:spacing w:line="240" w:lineRule="auto"/>
        <w:jc w:val="both"/>
        <w:rPr>
          <w:sz w:val="22"/>
          <w:szCs w:val="22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3"/>
        <w:gridCol w:w="1492"/>
        <w:gridCol w:w="815"/>
        <w:gridCol w:w="784"/>
        <w:gridCol w:w="808"/>
        <w:gridCol w:w="982"/>
        <w:gridCol w:w="845"/>
        <w:gridCol w:w="834"/>
        <w:gridCol w:w="815"/>
        <w:gridCol w:w="858"/>
      </w:tblGrid>
      <w:tr w:rsidR="00B141A3" w:rsidRPr="00046821" w:rsidTr="001D69DE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Relevant Numbers in ITU CS-CV</w:t>
            </w:r>
          </w:p>
        </w:tc>
        <w:tc>
          <w:tcPr>
            <w:tcW w:w="149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Article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UPU</w:t>
            </w:r>
          </w:p>
        </w:tc>
        <w:tc>
          <w:tcPr>
            <w:tcW w:w="78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ILO </w:t>
            </w:r>
          </w:p>
        </w:tc>
        <w:tc>
          <w:tcPr>
            <w:tcW w:w="80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FAO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UNESCO</w:t>
            </w:r>
          </w:p>
        </w:tc>
        <w:tc>
          <w:tcPr>
            <w:tcW w:w="84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WHO</w:t>
            </w:r>
          </w:p>
        </w:tc>
        <w:tc>
          <w:tcPr>
            <w:tcW w:w="8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ICAO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IMO</w:t>
            </w:r>
          </w:p>
        </w:tc>
        <w:tc>
          <w:tcPr>
            <w:tcW w:w="85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WIPO</w:t>
            </w:r>
          </w:p>
        </w:tc>
      </w:tr>
      <w:tr w:rsidR="00B141A3" w:rsidRPr="00046821" w:rsidTr="001D69DE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205</w:t>
            </w:r>
          </w:p>
        </w:tc>
        <w:tc>
          <w:tcPr>
            <w:tcW w:w="149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Relations with UN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1D69DE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206</w:t>
            </w:r>
          </w:p>
        </w:tc>
        <w:tc>
          <w:tcPr>
            <w:tcW w:w="1492" w:type="dxa"/>
            <w:vAlign w:val="bottom"/>
          </w:tcPr>
          <w:p w:rsidR="00B141A3" w:rsidRPr="00046821" w:rsidRDefault="00986AC3" w:rsidP="001B7B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Relations with I</w:t>
            </w:r>
            <w:r w:rsidR="001B7BD7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nt’l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</w:t>
            </w:r>
            <w:r w:rsidR="00B141A3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rganizations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B141A3" w:rsidRPr="00046821" w:rsidTr="001D69DE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194</w:t>
            </w:r>
          </w:p>
        </w:tc>
        <w:tc>
          <w:tcPr>
            <w:tcW w:w="149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Permission to Establish Regional Unions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0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B141A3" w:rsidRPr="00046821" w:rsidTr="001D69DE">
        <w:tc>
          <w:tcPr>
            <w:tcW w:w="1053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177-178</w:t>
            </w:r>
          </w:p>
        </w:tc>
        <w:tc>
          <w:tcPr>
            <w:tcW w:w="149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General Rules of Conferences, Assemblies and Meetings of the Union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8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4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15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8" w:type="dxa"/>
            <w:vAlign w:val="bottom"/>
          </w:tcPr>
          <w:p w:rsidR="00B141A3" w:rsidRPr="00046821" w:rsidRDefault="00B141A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1D69DE" w:rsidRPr="00046821" w:rsidTr="00046821">
        <w:tc>
          <w:tcPr>
            <w:tcW w:w="1053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193</w:t>
            </w:r>
          </w:p>
        </w:tc>
        <w:tc>
          <w:tcPr>
            <w:tcW w:w="1492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Special Arrangements</w:t>
            </w:r>
          </w:p>
        </w:tc>
        <w:tc>
          <w:tcPr>
            <w:tcW w:w="815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784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8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5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4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5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8" w:type="dxa"/>
            <w:vAlign w:val="bottom"/>
          </w:tcPr>
          <w:p w:rsidR="001D69DE" w:rsidRPr="00046821" w:rsidRDefault="001D69DE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DF5148" w:rsidRPr="00046821" w:rsidTr="00046821">
        <w:tc>
          <w:tcPr>
            <w:tcW w:w="1053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CS 179-192, 195-204</w:t>
            </w:r>
          </w:p>
        </w:tc>
        <w:tc>
          <w:tcPr>
            <w:tcW w:w="1492" w:type="dxa"/>
            <w:vAlign w:val="bottom"/>
          </w:tcPr>
          <w:p w:rsidR="00DF5148" w:rsidRPr="00046821" w:rsidRDefault="00986AC3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Articles not Related to Structure of the Union but to the Area of the U</w:t>
            </w:r>
            <w:r w:rsidR="00DF5148"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nion</w:t>
            </w:r>
          </w:p>
        </w:tc>
        <w:tc>
          <w:tcPr>
            <w:tcW w:w="815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784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08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982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45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34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815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858" w:type="dxa"/>
            <w:vAlign w:val="bottom"/>
          </w:tcPr>
          <w:p w:rsidR="00DF5148" w:rsidRPr="00046821" w:rsidRDefault="00DF5148" w:rsidP="006F4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046821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NO</w:t>
            </w:r>
          </w:p>
        </w:tc>
      </w:tr>
    </w:tbl>
    <w:p w:rsidR="00B141A3" w:rsidRPr="00046821" w:rsidRDefault="00B141A3" w:rsidP="00B141A3">
      <w:pPr>
        <w:rPr>
          <w:sz w:val="28"/>
          <w:szCs w:val="22"/>
          <w:lang w:val="en-GB"/>
        </w:rPr>
      </w:pPr>
    </w:p>
    <w:p w:rsidR="00772492" w:rsidRPr="00046821" w:rsidRDefault="00772492" w:rsidP="00772492">
      <w:pPr>
        <w:rPr>
          <w:sz w:val="22"/>
          <w:szCs w:val="22"/>
          <w:lang w:val="en-GB"/>
        </w:rPr>
      </w:pPr>
    </w:p>
    <w:sectPr w:rsidR="00772492" w:rsidRPr="00046821" w:rsidSect="00311580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AC" w:rsidRDefault="006A67AC">
      <w:r>
        <w:separator/>
      </w:r>
    </w:p>
    <w:p w:rsidR="006A67AC" w:rsidRDefault="006A67AC"/>
  </w:endnote>
  <w:endnote w:type="continuationSeparator" w:id="0">
    <w:p w:rsidR="006A67AC" w:rsidRDefault="006A67AC">
      <w:r>
        <w:continuationSeparator/>
      </w:r>
    </w:p>
    <w:p w:rsidR="006A67AC" w:rsidRDefault="006A6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2F" w:rsidRPr="00BC3B53" w:rsidRDefault="0073512F" w:rsidP="008C356D">
    <w:pPr>
      <w:pStyle w:val="Sidfot"/>
      <w:spacing w:line="240" w:lineRule="auto"/>
      <w:rPr>
        <w:sz w:val="2"/>
        <w:szCs w:val="2"/>
      </w:rPr>
    </w:pPr>
  </w:p>
  <w:p w:rsidR="0073512F" w:rsidRPr="00BC3B53" w:rsidRDefault="0073512F" w:rsidP="00BC3B53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2F" w:rsidRPr="00BC3B53" w:rsidRDefault="0073512F" w:rsidP="008C356D">
    <w:pPr>
      <w:pStyle w:val="Sidfot"/>
      <w:spacing w:line="240" w:lineRule="auto"/>
      <w:rPr>
        <w:sz w:val="2"/>
        <w:szCs w:val="2"/>
      </w:rPr>
    </w:pPr>
  </w:p>
  <w:p w:rsidR="0073512F" w:rsidRPr="00BC3B53" w:rsidRDefault="0073512F" w:rsidP="00023E9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AC" w:rsidRDefault="006A67AC">
      <w:r>
        <w:separator/>
      </w:r>
    </w:p>
    <w:p w:rsidR="006A67AC" w:rsidRDefault="006A67AC"/>
  </w:footnote>
  <w:footnote w:type="continuationSeparator" w:id="0">
    <w:p w:rsidR="006A67AC" w:rsidRDefault="006A67AC">
      <w:r>
        <w:continuationSeparator/>
      </w:r>
    </w:p>
    <w:p w:rsidR="006A67AC" w:rsidRDefault="006A67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Punktlista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Punktlista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57700"/>
    <w:multiLevelType w:val="hybridMultilevel"/>
    <w:tmpl w:val="1C0A2DF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1F4431"/>
    <w:multiLevelType w:val="hybridMultilevel"/>
    <w:tmpl w:val="805240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92"/>
    <w:rsid w:val="00013862"/>
    <w:rsid w:val="00016012"/>
    <w:rsid w:val="00020189"/>
    <w:rsid w:val="00020EE4"/>
    <w:rsid w:val="00023E9A"/>
    <w:rsid w:val="000342E8"/>
    <w:rsid w:val="00034A84"/>
    <w:rsid w:val="00035E67"/>
    <w:rsid w:val="000366F3"/>
    <w:rsid w:val="00046821"/>
    <w:rsid w:val="00071F28"/>
    <w:rsid w:val="00074079"/>
    <w:rsid w:val="00092799"/>
    <w:rsid w:val="00092C5F"/>
    <w:rsid w:val="00096680"/>
    <w:rsid w:val="00097AE2"/>
    <w:rsid w:val="000A174A"/>
    <w:rsid w:val="000A3E0A"/>
    <w:rsid w:val="000A4505"/>
    <w:rsid w:val="000A65AC"/>
    <w:rsid w:val="000A6E4E"/>
    <w:rsid w:val="000B7281"/>
    <w:rsid w:val="000B7FAB"/>
    <w:rsid w:val="000C1BA1"/>
    <w:rsid w:val="000C3EA9"/>
    <w:rsid w:val="000D0225"/>
    <w:rsid w:val="000F161D"/>
    <w:rsid w:val="00103F16"/>
    <w:rsid w:val="00123704"/>
    <w:rsid w:val="001270C7"/>
    <w:rsid w:val="00132540"/>
    <w:rsid w:val="001464C4"/>
    <w:rsid w:val="0014786A"/>
    <w:rsid w:val="001516A4"/>
    <w:rsid w:val="00151E5F"/>
    <w:rsid w:val="001569AB"/>
    <w:rsid w:val="00167C19"/>
    <w:rsid w:val="001726F3"/>
    <w:rsid w:val="00174CC2"/>
    <w:rsid w:val="00176CC6"/>
    <w:rsid w:val="00181BE4"/>
    <w:rsid w:val="00185576"/>
    <w:rsid w:val="00185951"/>
    <w:rsid w:val="00187E18"/>
    <w:rsid w:val="00190919"/>
    <w:rsid w:val="00195AF5"/>
    <w:rsid w:val="00196B8B"/>
    <w:rsid w:val="001A2BEA"/>
    <w:rsid w:val="001A44DA"/>
    <w:rsid w:val="001A6D93"/>
    <w:rsid w:val="001B7BD7"/>
    <w:rsid w:val="001C1ED5"/>
    <w:rsid w:val="001C32EC"/>
    <w:rsid w:val="001C4D5A"/>
    <w:rsid w:val="001C5EA3"/>
    <w:rsid w:val="001D69DE"/>
    <w:rsid w:val="001E34C6"/>
    <w:rsid w:val="001E5581"/>
    <w:rsid w:val="001F3C70"/>
    <w:rsid w:val="00200D88"/>
    <w:rsid w:val="00201F68"/>
    <w:rsid w:val="0020280E"/>
    <w:rsid w:val="00212F2A"/>
    <w:rsid w:val="00214F2B"/>
    <w:rsid w:val="00224A8A"/>
    <w:rsid w:val="0023065E"/>
    <w:rsid w:val="002309A8"/>
    <w:rsid w:val="00236CFE"/>
    <w:rsid w:val="002428E3"/>
    <w:rsid w:val="00242C8E"/>
    <w:rsid w:val="00260BAF"/>
    <w:rsid w:val="002650F7"/>
    <w:rsid w:val="00273F3B"/>
    <w:rsid w:val="00274DB7"/>
    <w:rsid w:val="00275984"/>
    <w:rsid w:val="00280F74"/>
    <w:rsid w:val="0028433B"/>
    <w:rsid w:val="00286998"/>
    <w:rsid w:val="00290474"/>
    <w:rsid w:val="00291AB7"/>
    <w:rsid w:val="0029422B"/>
    <w:rsid w:val="002B153C"/>
    <w:rsid w:val="002B4B85"/>
    <w:rsid w:val="002B52FC"/>
    <w:rsid w:val="002C2830"/>
    <w:rsid w:val="002C5F90"/>
    <w:rsid w:val="002C71DE"/>
    <w:rsid w:val="002D001A"/>
    <w:rsid w:val="002D1026"/>
    <w:rsid w:val="002D317B"/>
    <w:rsid w:val="002D3587"/>
    <w:rsid w:val="002D502D"/>
    <w:rsid w:val="002E0F69"/>
    <w:rsid w:val="002E7986"/>
    <w:rsid w:val="002F174E"/>
    <w:rsid w:val="002F5147"/>
    <w:rsid w:val="002F7ABD"/>
    <w:rsid w:val="00311580"/>
    <w:rsid w:val="00311E8F"/>
    <w:rsid w:val="00312597"/>
    <w:rsid w:val="00334154"/>
    <w:rsid w:val="00341FA0"/>
    <w:rsid w:val="00344F3D"/>
    <w:rsid w:val="00347F09"/>
    <w:rsid w:val="00352BCF"/>
    <w:rsid w:val="00353932"/>
    <w:rsid w:val="0035464B"/>
    <w:rsid w:val="0036252A"/>
    <w:rsid w:val="00364D9D"/>
    <w:rsid w:val="0037421D"/>
    <w:rsid w:val="00376093"/>
    <w:rsid w:val="00380F66"/>
    <w:rsid w:val="00383DA1"/>
    <w:rsid w:val="00385CB7"/>
    <w:rsid w:val="00393963"/>
    <w:rsid w:val="00395575"/>
    <w:rsid w:val="00395672"/>
    <w:rsid w:val="003A06C8"/>
    <w:rsid w:val="003A0D7C"/>
    <w:rsid w:val="003A1860"/>
    <w:rsid w:val="003B7EE7"/>
    <w:rsid w:val="003C2794"/>
    <w:rsid w:val="003C2CCB"/>
    <w:rsid w:val="003D39EC"/>
    <w:rsid w:val="003E3DD5"/>
    <w:rsid w:val="003F07C6"/>
    <w:rsid w:val="003F1F6B"/>
    <w:rsid w:val="003F3757"/>
    <w:rsid w:val="003F44B7"/>
    <w:rsid w:val="004114DF"/>
    <w:rsid w:val="00413D48"/>
    <w:rsid w:val="004243B2"/>
    <w:rsid w:val="0044172B"/>
    <w:rsid w:val="00441AC2"/>
    <w:rsid w:val="0044249B"/>
    <w:rsid w:val="0045023C"/>
    <w:rsid w:val="00451A5B"/>
    <w:rsid w:val="00452BCD"/>
    <w:rsid w:val="00452CEA"/>
    <w:rsid w:val="0046014E"/>
    <w:rsid w:val="00465B52"/>
    <w:rsid w:val="0046708E"/>
    <w:rsid w:val="00474463"/>
    <w:rsid w:val="00474B75"/>
    <w:rsid w:val="00483F0B"/>
    <w:rsid w:val="00496319"/>
    <w:rsid w:val="004A3B95"/>
    <w:rsid w:val="004A5F3A"/>
    <w:rsid w:val="004B5465"/>
    <w:rsid w:val="004C5E7B"/>
    <w:rsid w:val="004D505E"/>
    <w:rsid w:val="004D72CA"/>
    <w:rsid w:val="004E2242"/>
    <w:rsid w:val="004F42FF"/>
    <w:rsid w:val="004F44C2"/>
    <w:rsid w:val="005159A2"/>
    <w:rsid w:val="00516022"/>
    <w:rsid w:val="00521CEE"/>
    <w:rsid w:val="005429DC"/>
    <w:rsid w:val="005565F9"/>
    <w:rsid w:val="00573041"/>
    <w:rsid w:val="00575B80"/>
    <w:rsid w:val="005819CE"/>
    <w:rsid w:val="0058298D"/>
    <w:rsid w:val="00593C2B"/>
    <w:rsid w:val="00596166"/>
    <w:rsid w:val="005A521B"/>
    <w:rsid w:val="005B6184"/>
    <w:rsid w:val="005C30D1"/>
    <w:rsid w:val="005C3FE0"/>
    <w:rsid w:val="005C740C"/>
    <w:rsid w:val="005D625B"/>
    <w:rsid w:val="005F6D11"/>
    <w:rsid w:val="00600CF0"/>
    <w:rsid w:val="006048F4"/>
    <w:rsid w:val="0060660A"/>
    <w:rsid w:val="00610E75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4A89"/>
    <w:rsid w:val="00675049"/>
    <w:rsid w:val="00680C7C"/>
    <w:rsid w:val="00685545"/>
    <w:rsid w:val="006864B3"/>
    <w:rsid w:val="006A10F8"/>
    <w:rsid w:val="006A2100"/>
    <w:rsid w:val="006A67AC"/>
    <w:rsid w:val="006B0BF3"/>
    <w:rsid w:val="006B775E"/>
    <w:rsid w:val="006C003D"/>
    <w:rsid w:val="006C2535"/>
    <w:rsid w:val="006C441E"/>
    <w:rsid w:val="006C4B90"/>
    <w:rsid w:val="006D1016"/>
    <w:rsid w:val="006D17F2"/>
    <w:rsid w:val="006E3546"/>
    <w:rsid w:val="006E3FA9"/>
    <w:rsid w:val="006E7D82"/>
    <w:rsid w:val="006F0054"/>
    <w:rsid w:val="006F0F93"/>
    <w:rsid w:val="006F31F2"/>
    <w:rsid w:val="006F4932"/>
    <w:rsid w:val="007026FC"/>
    <w:rsid w:val="00714DC5"/>
    <w:rsid w:val="00715237"/>
    <w:rsid w:val="007254A5"/>
    <w:rsid w:val="00725748"/>
    <w:rsid w:val="0073512F"/>
    <w:rsid w:val="00735D88"/>
    <w:rsid w:val="0073720D"/>
    <w:rsid w:val="00737507"/>
    <w:rsid w:val="00740712"/>
    <w:rsid w:val="00742AB9"/>
    <w:rsid w:val="00744EAD"/>
    <w:rsid w:val="00751A6A"/>
    <w:rsid w:val="00753CBB"/>
    <w:rsid w:val="00754FBF"/>
    <w:rsid w:val="00761313"/>
    <w:rsid w:val="007709EF"/>
    <w:rsid w:val="00772492"/>
    <w:rsid w:val="00783559"/>
    <w:rsid w:val="00797AA5"/>
    <w:rsid w:val="007A26BD"/>
    <w:rsid w:val="007A4105"/>
    <w:rsid w:val="007B1E4C"/>
    <w:rsid w:val="007B4503"/>
    <w:rsid w:val="007B591F"/>
    <w:rsid w:val="007C406E"/>
    <w:rsid w:val="007C5183"/>
    <w:rsid w:val="007C6D18"/>
    <w:rsid w:val="007E2B20"/>
    <w:rsid w:val="007F5331"/>
    <w:rsid w:val="00800CCA"/>
    <w:rsid w:val="00803270"/>
    <w:rsid w:val="00803CD8"/>
    <w:rsid w:val="00806120"/>
    <w:rsid w:val="0081202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552D"/>
    <w:rsid w:val="008541E1"/>
    <w:rsid w:val="008547BA"/>
    <w:rsid w:val="008553C7"/>
    <w:rsid w:val="00857FEB"/>
    <w:rsid w:val="008601AF"/>
    <w:rsid w:val="00872271"/>
    <w:rsid w:val="0087406B"/>
    <w:rsid w:val="008801DC"/>
    <w:rsid w:val="008935D4"/>
    <w:rsid w:val="008A1F5D"/>
    <w:rsid w:val="008A28F5"/>
    <w:rsid w:val="008B3929"/>
    <w:rsid w:val="008B4CB3"/>
    <w:rsid w:val="008B6C40"/>
    <w:rsid w:val="008B7B24"/>
    <w:rsid w:val="008C356D"/>
    <w:rsid w:val="008E3985"/>
    <w:rsid w:val="008E49AD"/>
    <w:rsid w:val="008E698E"/>
    <w:rsid w:val="008F3246"/>
    <w:rsid w:val="008F3C1B"/>
    <w:rsid w:val="008F508C"/>
    <w:rsid w:val="0090271B"/>
    <w:rsid w:val="00910642"/>
    <w:rsid w:val="00910DDF"/>
    <w:rsid w:val="009155EA"/>
    <w:rsid w:val="00930B13"/>
    <w:rsid w:val="009311C8"/>
    <w:rsid w:val="00933376"/>
    <w:rsid w:val="00933A2F"/>
    <w:rsid w:val="009622A7"/>
    <w:rsid w:val="009718F9"/>
    <w:rsid w:val="00972FB9"/>
    <w:rsid w:val="00975112"/>
    <w:rsid w:val="00981768"/>
    <w:rsid w:val="00981C63"/>
    <w:rsid w:val="00983E8F"/>
    <w:rsid w:val="00986AC3"/>
    <w:rsid w:val="00994FDA"/>
    <w:rsid w:val="009A3B71"/>
    <w:rsid w:val="009A61BC"/>
    <w:rsid w:val="009B0138"/>
    <w:rsid w:val="009B0FE9"/>
    <w:rsid w:val="009C3F20"/>
    <w:rsid w:val="009C7CA1"/>
    <w:rsid w:val="009D043D"/>
    <w:rsid w:val="009D65A8"/>
    <w:rsid w:val="009E45BD"/>
    <w:rsid w:val="009E670F"/>
    <w:rsid w:val="009F3259"/>
    <w:rsid w:val="00A128AD"/>
    <w:rsid w:val="00A21E76"/>
    <w:rsid w:val="00A23BC8"/>
    <w:rsid w:val="00A30E68"/>
    <w:rsid w:val="00A31933"/>
    <w:rsid w:val="00A34AA0"/>
    <w:rsid w:val="00A41FE2"/>
    <w:rsid w:val="00A47948"/>
    <w:rsid w:val="00A56946"/>
    <w:rsid w:val="00A63B8C"/>
    <w:rsid w:val="00A715F8"/>
    <w:rsid w:val="00A77F6F"/>
    <w:rsid w:val="00A831FD"/>
    <w:rsid w:val="00A850A2"/>
    <w:rsid w:val="00A91FA3"/>
    <w:rsid w:val="00AA7FC9"/>
    <w:rsid w:val="00AB237D"/>
    <w:rsid w:val="00AB5933"/>
    <w:rsid w:val="00AD4F9A"/>
    <w:rsid w:val="00AE013D"/>
    <w:rsid w:val="00AE11B7"/>
    <w:rsid w:val="00AF2321"/>
    <w:rsid w:val="00AF52F6"/>
    <w:rsid w:val="00AF7237"/>
    <w:rsid w:val="00B0043A"/>
    <w:rsid w:val="00B00D75"/>
    <w:rsid w:val="00B070CB"/>
    <w:rsid w:val="00B141A3"/>
    <w:rsid w:val="00B259C8"/>
    <w:rsid w:val="00B26CCF"/>
    <w:rsid w:val="00B365C8"/>
    <w:rsid w:val="00B425F0"/>
    <w:rsid w:val="00B42DFA"/>
    <w:rsid w:val="00B531DD"/>
    <w:rsid w:val="00B55014"/>
    <w:rsid w:val="00B62232"/>
    <w:rsid w:val="00B6706C"/>
    <w:rsid w:val="00B71DC2"/>
    <w:rsid w:val="00B7786E"/>
    <w:rsid w:val="00B8239C"/>
    <w:rsid w:val="00B93893"/>
    <w:rsid w:val="00BA14AE"/>
    <w:rsid w:val="00BA1927"/>
    <w:rsid w:val="00BA612E"/>
    <w:rsid w:val="00BA7E0A"/>
    <w:rsid w:val="00BC3B53"/>
    <w:rsid w:val="00BC3B96"/>
    <w:rsid w:val="00BC4AE3"/>
    <w:rsid w:val="00BE0DBA"/>
    <w:rsid w:val="00BE3F88"/>
    <w:rsid w:val="00BE4756"/>
    <w:rsid w:val="00BE5ED9"/>
    <w:rsid w:val="00BE7B41"/>
    <w:rsid w:val="00BF0D00"/>
    <w:rsid w:val="00C15A91"/>
    <w:rsid w:val="00C206F1"/>
    <w:rsid w:val="00C217E1"/>
    <w:rsid w:val="00C30F7D"/>
    <w:rsid w:val="00C4015B"/>
    <w:rsid w:val="00C40C60"/>
    <w:rsid w:val="00C5258E"/>
    <w:rsid w:val="00C619A7"/>
    <w:rsid w:val="00C87F0E"/>
    <w:rsid w:val="00C918C1"/>
    <w:rsid w:val="00C91EBC"/>
    <w:rsid w:val="00C97C80"/>
    <w:rsid w:val="00CA0A1B"/>
    <w:rsid w:val="00CA47D3"/>
    <w:rsid w:val="00CA6A25"/>
    <w:rsid w:val="00CA6A3F"/>
    <w:rsid w:val="00CA7C99"/>
    <w:rsid w:val="00CB1959"/>
    <w:rsid w:val="00CB3315"/>
    <w:rsid w:val="00CC6290"/>
    <w:rsid w:val="00CD2F52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2EE"/>
    <w:rsid w:val="00D264D6"/>
    <w:rsid w:val="00D32768"/>
    <w:rsid w:val="00D32FC5"/>
    <w:rsid w:val="00D33BF0"/>
    <w:rsid w:val="00D516BE"/>
    <w:rsid w:val="00D5423B"/>
    <w:rsid w:val="00D54F4E"/>
    <w:rsid w:val="00D56ABB"/>
    <w:rsid w:val="00D60BA4"/>
    <w:rsid w:val="00D62419"/>
    <w:rsid w:val="00D67180"/>
    <w:rsid w:val="00D73B53"/>
    <w:rsid w:val="00D77870"/>
    <w:rsid w:val="00D80CCE"/>
    <w:rsid w:val="00D87D03"/>
    <w:rsid w:val="00D94823"/>
    <w:rsid w:val="00D95C88"/>
    <w:rsid w:val="00D97B2E"/>
    <w:rsid w:val="00DA2AD5"/>
    <w:rsid w:val="00DB36FE"/>
    <w:rsid w:val="00DB533A"/>
    <w:rsid w:val="00DD66F2"/>
    <w:rsid w:val="00DE383B"/>
    <w:rsid w:val="00DE3FE0"/>
    <w:rsid w:val="00DE578A"/>
    <w:rsid w:val="00DF2583"/>
    <w:rsid w:val="00DF263F"/>
    <w:rsid w:val="00DF5148"/>
    <w:rsid w:val="00DF54D9"/>
    <w:rsid w:val="00E01A59"/>
    <w:rsid w:val="00E10DC6"/>
    <w:rsid w:val="00E11F8E"/>
    <w:rsid w:val="00E21DE3"/>
    <w:rsid w:val="00E22AB9"/>
    <w:rsid w:val="00E3731D"/>
    <w:rsid w:val="00E51469"/>
    <w:rsid w:val="00E52E96"/>
    <w:rsid w:val="00E634E3"/>
    <w:rsid w:val="00E77F89"/>
    <w:rsid w:val="00E80E71"/>
    <w:rsid w:val="00E850D3"/>
    <w:rsid w:val="00E876B9"/>
    <w:rsid w:val="00EA40B8"/>
    <w:rsid w:val="00EB35B3"/>
    <w:rsid w:val="00EC0DFF"/>
    <w:rsid w:val="00EC237D"/>
    <w:rsid w:val="00EC4D0E"/>
    <w:rsid w:val="00EC4E2B"/>
    <w:rsid w:val="00EC60C7"/>
    <w:rsid w:val="00ED072A"/>
    <w:rsid w:val="00ED539E"/>
    <w:rsid w:val="00EE4A1F"/>
    <w:rsid w:val="00EE4C2D"/>
    <w:rsid w:val="00EF1B5A"/>
    <w:rsid w:val="00EF24FB"/>
    <w:rsid w:val="00EF2CCA"/>
    <w:rsid w:val="00F00F54"/>
    <w:rsid w:val="00F03963"/>
    <w:rsid w:val="00F11068"/>
    <w:rsid w:val="00F1256D"/>
    <w:rsid w:val="00F13A4E"/>
    <w:rsid w:val="00F172BB"/>
    <w:rsid w:val="00F17B10"/>
    <w:rsid w:val="00F21BEF"/>
    <w:rsid w:val="00F417C7"/>
    <w:rsid w:val="00F45A25"/>
    <w:rsid w:val="00F50F86"/>
    <w:rsid w:val="00F53F91"/>
    <w:rsid w:val="00F61569"/>
    <w:rsid w:val="00F61A72"/>
    <w:rsid w:val="00F62B67"/>
    <w:rsid w:val="00F6606B"/>
    <w:rsid w:val="00F66F13"/>
    <w:rsid w:val="00F70B8A"/>
    <w:rsid w:val="00F74073"/>
    <w:rsid w:val="00F75603"/>
    <w:rsid w:val="00F845B4"/>
    <w:rsid w:val="00F8713B"/>
    <w:rsid w:val="00F93F9E"/>
    <w:rsid w:val="00FA2CD7"/>
    <w:rsid w:val="00FB06ED"/>
    <w:rsid w:val="00FC10B1"/>
    <w:rsid w:val="00FC3165"/>
    <w:rsid w:val="00FC36AB"/>
    <w:rsid w:val="00FC7F66"/>
    <w:rsid w:val="00FD2E5B"/>
    <w:rsid w:val="00FE1CB6"/>
    <w:rsid w:val="00FE486B"/>
    <w:rsid w:val="00FE4F08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Rubrik1">
    <w:name w:val="heading 1"/>
    <w:basedOn w:val="Normal"/>
    <w:next w:val="Normal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23E9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23E9A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Punktlista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AnvndHyperlnk">
    <w:name w:val="FollowedHyperlink"/>
    <w:rsid w:val="006A2100"/>
    <w:rPr>
      <w:color w:val="800080"/>
      <w:u w:val="single"/>
    </w:rPr>
  </w:style>
  <w:style w:type="paragraph" w:styleId="Punktlista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gtext">
    <w:name w:val="Balloon Text"/>
    <w:basedOn w:val="Normal"/>
    <w:link w:val="BallongtextChar"/>
    <w:rsid w:val="00FC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10B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Rubrik1">
    <w:name w:val="heading 1"/>
    <w:basedOn w:val="Normal"/>
    <w:next w:val="Normal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23E9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23E9A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Punktlista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AnvndHyperlnk">
    <w:name w:val="FollowedHyperlink"/>
    <w:rsid w:val="006A2100"/>
    <w:rPr>
      <w:color w:val="800080"/>
      <w:u w:val="single"/>
    </w:rPr>
  </w:style>
  <w:style w:type="paragraph" w:styleId="Punktlista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gtext">
    <w:name w:val="Balloon Text"/>
    <w:basedOn w:val="Normal"/>
    <w:link w:val="BallongtextChar"/>
    <w:rsid w:val="00FC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10B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1268</Words>
  <Characters>6725</Characters>
  <Application>Microsoft Office Word</Application>
  <DocSecurity>0</DocSecurity>
  <Lines>56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Draft proposal to CEPT contribution to the 6th meeting of the CWG-WCIT12 on transparency of international roaming charges – NL contribution</vt:lpstr>
      <vt:lpstr>Draft proposal to CEPT contribution to the 6th meeting of the CWG-WCIT12 on transparency of international roaming charges – NL contribution</vt:lpstr>
      <vt:lpstr>Draft proposal to CEPT contribution to the 6th meeting of the CWG-WCIT12 on transparency of international roaming charges – NL contribution</vt:lpstr>
    </vt:vector>
  </TitlesOfParts>
  <Company>Economische Zaken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proposal to CEPT contribution to the 6th meeting of the CWG-WCIT12 on transparency of international roaming charges – NL contribution</dc:title>
  <dc:creator>mpondman</dc:creator>
  <cp:lastModifiedBy>Jönsson, Anders</cp:lastModifiedBy>
  <cp:revision>2</cp:revision>
  <cp:lastPrinted>2011-11-16T08:44:00Z</cp:lastPrinted>
  <dcterms:created xsi:type="dcterms:W3CDTF">2012-03-26T09:53:00Z</dcterms:created>
  <dcterms:modified xsi:type="dcterms:W3CDTF">2012-03-26T09:53:00Z</dcterms:modified>
</cp:coreProperties>
</file>