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CellMar>
          <w:left w:w="70" w:type="dxa"/>
          <w:right w:w="70" w:type="dxa"/>
        </w:tblCellMar>
        <w:tblLook w:val="00A0"/>
      </w:tblPr>
      <w:tblGrid>
        <w:gridCol w:w="4482"/>
        <w:gridCol w:w="905"/>
        <w:gridCol w:w="3827"/>
      </w:tblGrid>
      <w:tr w:rsidR="00393C2B" w:rsidTr="007602C1">
        <w:trPr>
          <w:cantSplit/>
          <w:trHeight w:val="1843"/>
        </w:trPr>
        <w:tc>
          <w:tcPr>
            <w:tcW w:w="5387" w:type="dxa"/>
            <w:gridSpan w:val="2"/>
          </w:tcPr>
          <w:p w:rsidR="00393C2B" w:rsidRDefault="00B5445F" w:rsidP="007602C1">
            <w:pPr>
              <w:rPr>
                <w:b/>
                <w:noProof/>
              </w:rPr>
            </w:pPr>
            <w:r>
              <w:rPr>
                <w:b/>
                <w:noProof/>
                <w:lang w:eastAsia="en-GB"/>
              </w:rPr>
              <w:drawing>
                <wp:inline distT="0" distB="0" distL="0" distR="0">
                  <wp:extent cx="1619250" cy="8001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619250" cy="800100"/>
                          </a:xfrm>
                          <a:prstGeom prst="rect">
                            <a:avLst/>
                          </a:prstGeom>
                          <a:noFill/>
                          <a:ln w="9525">
                            <a:noFill/>
                            <a:miter lim="800000"/>
                            <a:headEnd/>
                            <a:tailEnd/>
                          </a:ln>
                        </pic:spPr>
                      </pic:pic>
                    </a:graphicData>
                  </a:graphic>
                </wp:inline>
              </w:drawing>
            </w:r>
          </w:p>
          <w:p w:rsidR="00393C2B" w:rsidRDefault="00393C2B" w:rsidP="007602C1">
            <w:pPr>
              <w:tabs>
                <w:tab w:val="left" w:pos="1134"/>
                <w:tab w:val="left" w:pos="1871"/>
                <w:tab w:val="left" w:pos="2268"/>
              </w:tabs>
              <w:rPr>
                <w:b/>
              </w:rPr>
            </w:pPr>
          </w:p>
        </w:tc>
        <w:tc>
          <w:tcPr>
            <w:tcW w:w="3827" w:type="dxa"/>
          </w:tcPr>
          <w:p w:rsidR="00393C2B" w:rsidRDefault="00393C2B" w:rsidP="00EA58AC">
            <w:pPr>
              <w:tabs>
                <w:tab w:val="left" w:pos="1134"/>
                <w:tab w:val="left" w:pos="1871"/>
                <w:tab w:val="left" w:pos="2268"/>
              </w:tabs>
              <w:jc w:val="right"/>
              <w:rPr>
                <w:b/>
              </w:rPr>
            </w:pPr>
            <w:r>
              <w:rPr>
                <w:b/>
              </w:rPr>
              <w:t>CPGPTD(11)</w:t>
            </w:r>
            <w:r w:rsidR="00B5445F">
              <w:rPr>
                <w:b/>
              </w:rPr>
              <w:t>04</w:t>
            </w:r>
            <w:r w:rsidR="00E240E5">
              <w:rPr>
                <w:b/>
              </w:rPr>
              <w:t>6</w:t>
            </w:r>
          </w:p>
        </w:tc>
      </w:tr>
      <w:tr w:rsidR="00393C2B" w:rsidTr="007602C1">
        <w:trPr>
          <w:cantSplit/>
        </w:trPr>
        <w:tc>
          <w:tcPr>
            <w:tcW w:w="4482" w:type="dxa"/>
            <w:tcMar>
              <w:top w:w="0" w:type="dxa"/>
              <w:left w:w="108" w:type="dxa"/>
              <w:bottom w:w="0" w:type="dxa"/>
              <w:right w:w="108" w:type="dxa"/>
            </w:tcMar>
          </w:tcPr>
          <w:p w:rsidR="00393C2B" w:rsidRDefault="00393C2B" w:rsidP="007602C1">
            <w:pPr>
              <w:rPr>
                <w:b/>
              </w:rPr>
            </w:pPr>
            <w:r>
              <w:rPr>
                <w:b/>
              </w:rPr>
              <w:t>CPG-12 PT-D</w:t>
            </w:r>
          </w:p>
          <w:p w:rsidR="00393C2B" w:rsidRDefault="00393C2B" w:rsidP="007602C1">
            <w:pPr>
              <w:rPr>
                <w:b/>
              </w:rPr>
            </w:pPr>
            <w:smartTag w:uri="urn:schemas-microsoft-com:office:smarttags" w:element="City">
              <w:smartTag w:uri="urn:schemas-microsoft-com:office:smarttags" w:element="place">
                <w:r>
                  <w:rPr>
                    <w:b/>
                  </w:rPr>
                  <w:t>London</w:t>
                </w:r>
              </w:smartTag>
            </w:smartTag>
            <w:r>
              <w:rPr>
                <w:b/>
              </w:rPr>
              <w:t>, 20-23 September 2011</w:t>
            </w:r>
          </w:p>
          <w:p w:rsidR="00393C2B" w:rsidRDefault="00393C2B" w:rsidP="007602C1">
            <w:pPr>
              <w:tabs>
                <w:tab w:val="left" w:pos="1134"/>
                <w:tab w:val="left" w:pos="1871"/>
                <w:tab w:val="left" w:pos="2268"/>
              </w:tabs>
            </w:pPr>
          </w:p>
        </w:tc>
        <w:tc>
          <w:tcPr>
            <w:tcW w:w="4732" w:type="dxa"/>
            <w:gridSpan w:val="2"/>
            <w:tcMar>
              <w:top w:w="0" w:type="dxa"/>
              <w:left w:w="108" w:type="dxa"/>
              <w:bottom w:w="0" w:type="dxa"/>
              <w:right w:w="108" w:type="dxa"/>
            </w:tcMar>
          </w:tcPr>
          <w:p w:rsidR="00393C2B" w:rsidRDefault="00393C2B" w:rsidP="007602C1">
            <w:pPr>
              <w:tabs>
                <w:tab w:val="left" w:pos="1134"/>
                <w:tab w:val="left" w:pos="1871"/>
                <w:tab w:val="left" w:pos="2268"/>
              </w:tabs>
            </w:pPr>
          </w:p>
        </w:tc>
      </w:tr>
      <w:tr w:rsidR="00393C2B" w:rsidRPr="00C954F4" w:rsidTr="007602C1">
        <w:trPr>
          <w:cantSplit/>
        </w:trPr>
        <w:tc>
          <w:tcPr>
            <w:tcW w:w="9214" w:type="dxa"/>
            <w:gridSpan w:val="3"/>
            <w:tcMar>
              <w:top w:w="0" w:type="dxa"/>
              <w:left w:w="108" w:type="dxa"/>
              <w:bottom w:w="0" w:type="dxa"/>
              <w:right w:w="108" w:type="dxa"/>
            </w:tcMar>
          </w:tcPr>
          <w:p w:rsidR="00393C2B" w:rsidRDefault="00393C2B" w:rsidP="007602C1">
            <w:pPr>
              <w:tabs>
                <w:tab w:val="left" w:pos="1414"/>
              </w:tabs>
              <w:rPr>
                <w:b/>
              </w:rPr>
            </w:pPr>
            <w:r>
              <w:rPr>
                <w:b/>
              </w:rPr>
              <w:t xml:space="preserve">Date issued: </w:t>
            </w:r>
            <w:r>
              <w:t>5 September</w:t>
            </w:r>
            <w:r w:rsidRPr="006C2553">
              <w:t xml:space="preserve"> 2011</w:t>
            </w:r>
          </w:p>
          <w:p w:rsidR="00393C2B" w:rsidRDefault="00393C2B" w:rsidP="007602C1">
            <w:pPr>
              <w:tabs>
                <w:tab w:val="left" w:pos="1414"/>
              </w:tabs>
              <w:rPr>
                <w:b/>
              </w:rPr>
            </w:pPr>
            <w:r>
              <w:rPr>
                <w:b/>
              </w:rPr>
              <w:t xml:space="preserve">Source: </w:t>
            </w:r>
            <w:r w:rsidR="00B5445F">
              <w:t>CEPT Coordinator</w:t>
            </w:r>
          </w:p>
          <w:p w:rsidR="00393C2B" w:rsidRDefault="00393C2B" w:rsidP="007602C1">
            <w:pPr>
              <w:tabs>
                <w:tab w:val="left" w:pos="1134"/>
                <w:tab w:val="left" w:pos="1414"/>
                <w:tab w:val="left" w:pos="1871"/>
                <w:tab w:val="left" w:pos="2268"/>
              </w:tabs>
            </w:pPr>
            <w:r>
              <w:rPr>
                <w:b/>
              </w:rPr>
              <w:t>Subject:</w:t>
            </w:r>
            <w:r w:rsidRPr="00610484">
              <w:t xml:space="preserve"> Proposed </w:t>
            </w:r>
            <w:r>
              <w:t xml:space="preserve">modifications to the </w:t>
            </w:r>
            <w:r w:rsidRPr="006C2553">
              <w:t xml:space="preserve">draft </w:t>
            </w:r>
            <w:r>
              <w:t>CEPT b</w:t>
            </w:r>
            <w:r w:rsidRPr="006C2553">
              <w:t>rief</w:t>
            </w:r>
            <w:r>
              <w:t xml:space="preserve"> on agenda item 1.18</w:t>
            </w:r>
            <w:r w:rsidRPr="006C2553">
              <w:t xml:space="preserve"> (WRC-12)</w:t>
            </w:r>
          </w:p>
        </w:tc>
      </w:tr>
    </w:tbl>
    <w:p w:rsidR="00393C2B" w:rsidRPr="00402A38" w:rsidRDefault="00393C2B" w:rsidP="00EA58AC">
      <w:pPr>
        <w:pStyle w:val="Header"/>
        <w:jc w:val="left"/>
        <w:rPr>
          <w:sz w:val="24"/>
          <w:szCs w:val="24"/>
          <w:lang w:val="en-GB"/>
        </w:rPr>
      </w:pPr>
    </w:p>
    <w:p w:rsidR="00393C2B" w:rsidRPr="009B6409" w:rsidRDefault="00393C2B" w:rsidP="00B960D4">
      <w:pPr>
        <w:rPr>
          <w:b/>
          <w:sz w:val="28"/>
          <w:szCs w:val="28"/>
          <w:lang w:val="en-US"/>
        </w:rPr>
      </w:pPr>
    </w:p>
    <w:p w:rsidR="00393C2B" w:rsidRDefault="00393C2B" w:rsidP="00B960D4">
      <w:pPr>
        <w:pageBreakBefore/>
        <w:rPr>
          <w:b/>
          <w:sz w:val="28"/>
          <w:szCs w:val="28"/>
        </w:rPr>
      </w:pPr>
      <w:bookmarkStart w:id="0" w:name="_GoBack"/>
      <w:bookmarkEnd w:id="0"/>
      <w:ins w:id="1" w:author="guerina" w:date="2011-09-07T16:04:00Z">
        <w:r>
          <w:rPr>
            <w:b/>
            <w:sz w:val="28"/>
            <w:szCs w:val="28"/>
          </w:rPr>
          <w:lastRenderedPageBreak/>
          <w:t xml:space="preserve">Revised </w:t>
        </w:r>
      </w:ins>
      <w:r>
        <w:rPr>
          <w:b/>
          <w:sz w:val="28"/>
          <w:szCs w:val="28"/>
        </w:rPr>
        <w:t>Draft CEPT Brief on WRC-11 Agenda Item 1.18</w:t>
      </w:r>
    </w:p>
    <w:p w:rsidR="00393C2B" w:rsidRDefault="00393C2B" w:rsidP="00B960D4">
      <w:pPr>
        <w:rPr>
          <w:i/>
        </w:rPr>
      </w:pPr>
    </w:p>
    <w:p w:rsidR="00393C2B" w:rsidRPr="00B960D4" w:rsidRDefault="00393C2B" w:rsidP="00B960D4">
      <w:pPr>
        <w:rPr>
          <w:szCs w:val="24"/>
        </w:rPr>
      </w:pPr>
      <w:r w:rsidRPr="00B960D4">
        <w:rPr>
          <w:i/>
          <w:szCs w:val="24"/>
        </w:rPr>
        <w:t>1.18</w:t>
      </w:r>
      <w:r w:rsidRPr="00B960D4">
        <w:rPr>
          <w:i/>
          <w:szCs w:val="24"/>
        </w:rPr>
        <w:tab/>
      </w:r>
      <w:r w:rsidRPr="00B960D4">
        <w:rPr>
          <w:szCs w:val="24"/>
        </w:rPr>
        <w:t>"to consider extending the existing primary and secondary radiodetermination-satellite service (space-to-Earth) allocations in the band 2 483.5-2 500 MHz in order to make a global primary allocation, and to determine the necessary regulatory provisions based upon the results of ITU</w:t>
      </w:r>
      <w:r w:rsidRPr="00B960D4">
        <w:rPr>
          <w:szCs w:val="24"/>
        </w:rPr>
        <w:noBreakHyphen/>
        <w:t>R studies, in accordance with Resolution 613 (WRC</w:t>
      </w:r>
      <w:r w:rsidRPr="00B960D4">
        <w:rPr>
          <w:szCs w:val="24"/>
        </w:rPr>
        <w:noBreakHyphen/>
        <w:t>07);"</w:t>
      </w:r>
    </w:p>
    <w:p w:rsidR="00393C2B" w:rsidRPr="00B960D4" w:rsidRDefault="00393C2B" w:rsidP="00B960D4">
      <w:pPr>
        <w:pStyle w:val="Heading2"/>
        <w:keepLines w:val="0"/>
        <w:spacing w:before="120"/>
        <w:jc w:val="both"/>
        <w:rPr>
          <w:rFonts w:ascii="Times New Roman" w:hAnsi="Times New Roman"/>
          <w:sz w:val="24"/>
          <w:szCs w:val="24"/>
        </w:rPr>
      </w:pPr>
      <w:r w:rsidRPr="00B960D4">
        <w:rPr>
          <w:rFonts w:ascii="Times New Roman" w:hAnsi="Times New Roman"/>
          <w:sz w:val="24"/>
          <w:szCs w:val="24"/>
        </w:rPr>
        <w:t>Issue</w:t>
      </w:r>
    </w:p>
    <w:p w:rsidR="00393C2B" w:rsidRPr="00B960D4" w:rsidRDefault="00393C2B" w:rsidP="00B960D4">
      <w:pPr>
        <w:pStyle w:val="Heading2"/>
        <w:spacing w:before="120"/>
        <w:rPr>
          <w:rFonts w:ascii="Times New Roman" w:hAnsi="Times New Roman"/>
          <w:b w:val="0"/>
          <w:sz w:val="24"/>
          <w:szCs w:val="24"/>
        </w:rPr>
      </w:pPr>
      <w:r w:rsidRPr="00B960D4">
        <w:rPr>
          <w:rFonts w:ascii="Times New Roman" w:hAnsi="Times New Roman"/>
          <w:b w:val="0"/>
          <w:sz w:val="24"/>
          <w:szCs w:val="24"/>
        </w:rPr>
        <w:t xml:space="preserve">The status of the existing radio-determination satellite service (RDSS) allocations is different from one region to another one: </w:t>
      </w:r>
    </w:p>
    <w:p w:rsidR="00393C2B" w:rsidRPr="00B960D4" w:rsidRDefault="00393C2B" w:rsidP="00B960D4">
      <w:pPr>
        <w:pStyle w:val="Heading2"/>
        <w:spacing w:before="120"/>
        <w:jc w:val="both"/>
        <w:rPr>
          <w:rFonts w:ascii="Times New Roman" w:hAnsi="Times New Roman"/>
          <w:b w:val="0"/>
          <w:color w:val="000000"/>
          <w:sz w:val="24"/>
          <w:szCs w:val="24"/>
          <w:lang w:val="en-AU"/>
        </w:rPr>
      </w:pPr>
      <w:r w:rsidRPr="00B960D4">
        <w:rPr>
          <w:rFonts w:ascii="Times New Roman" w:hAnsi="Times New Roman"/>
          <w:b w:val="0"/>
          <w:sz w:val="24"/>
          <w:szCs w:val="24"/>
        </w:rPr>
        <w:tab/>
        <w:t xml:space="preserve">- secondary in Region 1 (footnote No. </w:t>
      </w:r>
      <w:r w:rsidRPr="00B960D4">
        <w:rPr>
          <w:rFonts w:ascii="Times New Roman" w:hAnsi="Times New Roman"/>
          <w:sz w:val="24"/>
          <w:szCs w:val="24"/>
        </w:rPr>
        <w:t>5.371</w:t>
      </w:r>
      <w:r w:rsidRPr="00B960D4">
        <w:rPr>
          <w:rFonts w:ascii="Times New Roman" w:hAnsi="Times New Roman"/>
          <w:b w:val="0"/>
          <w:sz w:val="24"/>
          <w:szCs w:val="24"/>
        </w:rPr>
        <w:t xml:space="preserve">), </w:t>
      </w:r>
      <w:r w:rsidRPr="00B960D4">
        <w:rPr>
          <w:rFonts w:ascii="Times New Roman" w:hAnsi="Times New Roman"/>
          <w:b w:val="0"/>
          <w:color w:val="000000"/>
          <w:sz w:val="24"/>
          <w:szCs w:val="24"/>
          <w:lang w:val="en-AU"/>
        </w:rPr>
        <w:t xml:space="preserve">and also primary in countries listed under No. </w:t>
      </w:r>
      <w:r w:rsidRPr="00B960D4">
        <w:rPr>
          <w:rFonts w:ascii="Times New Roman" w:hAnsi="Times New Roman"/>
          <w:color w:val="000000"/>
          <w:sz w:val="24"/>
          <w:szCs w:val="24"/>
          <w:lang w:val="en-AU"/>
        </w:rPr>
        <w:t>5.400</w:t>
      </w:r>
      <w:r w:rsidRPr="00B960D4">
        <w:rPr>
          <w:rFonts w:ascii="Times New Roman" w:hAnsi="Times New Roman"/>
          <w:b w:val="0"/>
          <w:color w:val="000000"/>
          <w:sz w:val="24"/>
          <w:szCs w:val="24"/>
          <w:lang w:val="en-AU"/>
        </w:rPr>
        <w:t xml:space="preserve">. Nevertheless, countries where RDSS is secondary are </w:t>
      </w:r>
      <w:r w:rsidRPr="00B960D4">
        <w:rPr>
          <w:rFonts w:ascii="Times New Roman" w:hAnsi="Times New Roman"/>
          <w:b w:val="0"/>
          <w:sz w:val="24"/>
          <w:szCs w:val="24"/>
        </w:rPr>
        <w:t xml:space="preserve">subject to No. </w:t>
      </w:r>
      <w:r w:rsidRPr="00B960D4">
        <w:rPr>
          <w:rFonts w:ascii="Times New Roman" w:hAnsi="Times New Roman"/>
          <w:sz w:val="24"/>
          <w:szCs w:val="24"/>
        </w:rPr>
        <w:t>5.399</w:t>
      </w:r>
      <w:r w:rsidRPr="00B960D4">
        <w:rPr>
          <w:rFonts w:ascii="Times New Roman" w:hAnsi="Times New Roman"/>
          <w:b w:val="0"/>
          <w:sz w:val="24"/>
          <w:szCs w:val="24"/>
        </w:rPr>
        <w:t xml:space="preserve"> (no </w:t>
      </w:r>
      <w:r w:rsidRPr="00B960D4">
        <w:rPr>
          <w:rFonts w:ascii="Times New Roman" w:hAnsi="Times New Roman"/>
          <w:b w:val="0"/>
          <w:color w:val="000000"/>
          <w:sz w:val="24"/>
          <w:szCs w:val="24"/>
          <w:lang w:val="en-AU"/>
        </w:rPr>
        <w:t xml:space="preserve">harmful interference shall be caused to, nor protection shall be claimed from, stations of the radiolocation service). For both the primary and secondary allocations RDSS use is subject to agreement obtained under No. </w:t>
      </w:r>
      <w:r w:rsidRPr="00B960D4">
        <w:rPr>
          <w:rFonts w:ascii="Times New Roman" w:hAnsi="Times New Roman"/>
          <w:color w:val="000000"/>
          <w:sz w:val="24"/>
          <w:szCs w:val="24"/>
          <w:lang w:val="en-AU"/>
        </w:rPr>
        <w:t>9.21</w:t>
      </w:r>
      <w:r w:rsidRPr="00B960D4">
        <w:rPr>
          <w:rFonts w:ascii="Times New Roman" w:hAnsi="Times New Roman"/>
          <w:b w:val="0"/>
          <w:color w:val="000000"/>
          <w:sz w:val="24"/>
          <w:szCs w:val="24"/>
          <w:lang w:val="en-AU"/>
        </w:rPr>
        <w:t>.</w:t>
      </w: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ab/>
        <w:t>- primary in Region 2</w:t>
      </w:r>
    </w:p>
    <w:p w:rsidR="00393C2B" w:rsidRPr="00B960D4" w:rsidRDefault="00393C2B" w:rsidP="00B960D4">
      <w:pPr>
        <w:pStyle w:val="Heading2"/>
        <w:spacing w:before="120"/>
        <w:jc w:val="both"/>
        <w:rPr>
          <w:rFonts w:ascii="Times New Roman" w:hAnsi="Times New Roman"/>
          <w:b w:val="0"/>
          <w:color w:val="000000"/>
          <w:sz w:val="24"/>
          <w:szCs w:val="24"/>
          <w:lang w:val="en-AU"/>
        </w:rPr>
      </w:pPr>
      <w:r w:rsidRPr="00B960D4">
        <w:rPr>
          <w:rFonts w:ascii="Times New Roman" w:hAnsi="Times New Roman"/>
          <w:sz w:val="24"/>
          <w:szCs w:val="24"/>
        </w:rPr>
        <w:tab/>
      </w:r>
      <w:r w:rsidRPr="00B960D4">
        <w:rPr>
          <w:rFonts w:ascii="Times New Roman" w:hAnsi="Times New Roman"/>
          <w:b w:val="0"/>
          <w:sz w:val="24"/>
          <w:szCs w:val="24"/>
        </w:rPr>
        <w:t>- secondary in Region 3.</w:t>
      </w:r>
      <w:r w:rsidRPr="00B960D4">
        <w:rPr>
          <w:rFonts w:ascii="Times New Roman" w:hAnsi="Times New Roman"/>
          <w:b w:val="0"/>
          <w:color w:val="000000"/>
          <w:sz w:val="24"/>
          <w:szCs w:val="24"/>
          <w:lang w:val="en-AU"/>
        </w:rPr>
        <w:t xml:space="preserve"> RDSS has also a primary allocation in countries listed under No. </w:t>
      </w:r>
      <w:r w:rsidRPr="00B960D4">
        <w:rPr>
          <w:rFonts w:ascii="Times New Roman" w:hAnsi="Times New Roman"/>
          <w:color w:val="000000"/>
          <w:sz w:val="24"/>
          <w:szCs w:val="24"/>
          <w:lang w:val="en-AU"/>
        </w:rPr>
        <w:t>5.400</w:t>
      </w:r>
      <w:r w:rsidRPr="00B960D4">
        <w:rPr>
          <w:rFonts w:ascii="Times New Roman" w:hAnsi="Times New Roman"/>
          <w:b w:val="0"/>
          <w:color w:val="000000"/>
          <w:sz w:val="24"/>
          <w:szCs w:val="24"/>
          <w:lang w:val="en-AU"/>
        </w:rPr>
        <w:t xml:space="preserve">, subject to agreement obtained under No. </w:t>
      </w:r>
      <w:r w:rsidRPr="00B960D4">
        <w:rPr>
          <w:rFonts w:ascii="Times New Roman" w:hAnsi="Times New Roman"/>
          <w:color w:val="000000"/>
          <w:sz w:val="24"/>
          <w:szCs w:val="24"/>
          <w:lang w:val="en-AU"/>
        </w:rPr>
        <w:t>9.21</w:t>
      </w:r>
      <w:r w:rsidRPr="00B960D4">
        <w:rPr>
          <w:rFonts w:ascii="Times New Roman" w:hAnsi="Times New Roman"/>
          <w:b w:val="0"/>
          <w:color w:val="000000"/>
          <w:sz w:val="24"/>
          <w:szCs w:val="24"/>
          <w:lang w:val="en-AU"/>
        </w:rPr>
        <w:t>.</w:t>
      </w:r>
    </w:p>
    <w:p w:rsidR="00393C2B" w:rsidRPr="00B960D4" w:rsidRDefault="00393C2B" w:rsidP="00B960D4">
      <w:pPr>
        <w:jc w:val="both"/>
        <w:rPr>
          <w:szCs w:val="24"/>
        </w:rPr>
      </w:pPr>
      <w:r w:rsidRPr="00B960D4">
        <w:rPr>
          <w:szCs w:val="24"/>
        </w:rPr>
        <w:t xml:space="preserve">For all the existing RDSS allocations within the band 2483.5-2500 MHz, No. </w:t>
      </w:r>
      <w:r w:rsidRPr="00B960D4">
        <w:rPr>
          <w:b/>
          <w:szCs w:val="24"/>
        </w:rPr>
        <w:t>5.398</w:t>
      </w:r>
      <w:r w:rsidRPr="00B960D4">
        <w:rPr>
          <w:szCs w:val="24"/>
        </w:rPr>
        <w:t xml:space="preserve"> stipulates that No. </w:t>
      </w:r>
      <w:r w:rsidRPr="00B960D4">
        <w:rPr>
          <w:b/>
          <w:szCs w:val="24"/>
        </w:rPr>
        <w:t>4.10</w:t>
      </w:r>
      <w:r w:rsidRPr="00B960D4">
        <w:rPr>
          <w:szCs w:val="24"/>
        </w:rPr>
        <w:t xml:space="preserve"> does not apply (RDSS should not therefore be used for safety applications as the Radio Regulations do not oblige administrations to take special measures to protect the service from harmful interference)</w:t>
      </w: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However, as global satellite navigation systems require harmonised allocations to provide global coverage, extending existing RDSS allocations to provide an all-region primary allocation under the same regulatory procedures should be a relatively easy step to allow such systems to use these bands globally in future.</w:t>
      </w: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Resolution 613 invites the ITU-R:</w:t>
      </w:r>
    </w:p>
    <w:p w:rsidR="00393C2B" w:rsidRPr="00B960D4" w:rsidRDefault="00393C2B" w:rsidP="00B960D4">
      <w:pPr>
        <w:pStyle w:val="Heading2"/>
        <w:spacing w:before="0"/>
        <w:ind w:left="284"/>
        <w:jc w:val="both"/>
        <w:rPr>
          <w:rFonts w:ascii="Times New Roman" w:hAnsi="Times New Roman"/>
          <w:b w:val="0"/>
          <w:i w:val="0"/>
          <w:sz w:val="24"/>
          <w:szCs w:val="24"/>
        </w:rPr>
      </w:pPr>
      <w:r w:rsidRPr="00B960D4">
        <w:rPr>
          <w:rFonts w:ascii="Times New Roman" w:hAnsi="Times New Roman"/>
          <w:b w:val="0"/>
          <w:sz w:val="24"/>
          <w:szCs w:val="24"/>
        </w:rPr>
        <w:t>to conduct, and complete in time for WRC-11, the appropriate technical, operational and regulatory studies leading to technical and procedural recommendations to the Conference enabling it to decide whether a global primary allocation for the radiodetermination-satellite service in the frequency band 2 483.5-2 500 MHz (space-to-Earth) is compatible with other services in the band,</w:t>
      </w:r>
    </w:p>
    <w:p w:rsidR="00393C2B" w:rsidRPr="00B960D4" w:rsidRDefault="00393C2B" w:rsidP="00B960D4">
      <w:pPr>
        <w:pStyle w:val="Heading2"/>
        <w:rPr>
          <w:rFonts w:ascii="Times New Roman" w:hAnsi="Times New Roman"/>
          <w:b w:val="0"/>
          <w:sz w:val="24"/>
          <w:szCs w:val="24"/>
        </w:rPr>
      </w:pPr>
    </w:p>
    <w:p w:rsidR="00393C2B" w:rsidRPr="00B960D4" w:rsidRDefault="00393C2B" w:rsidP="00B960D4">
      <w:pPr>
        <w:jc w:val="both"/>
        <w:rPr>
          <w:b/>
          <w:szCs w:val="24"/>
        </w:rPr>
      </w:pPr>
      <w:r w:rsidRPr="00B960D4">
        <w:rPr>
          <w:b/>
          <w:szCs w:val="24"/>
        </w:rPr>
        <w:t>Preliminary CEPT position</w:t>
      </w:r>
    </w:p>
    <w:p w:rsidR="00393C2B" w:rsidRPr="00B960D4" w:rsidRDefault="00393C2B" w:rsidP="00B960D4">
      <w:pPr>
        <w:jc w:val="both"/>
        <w:rPr>
          <w:szCs w:val="24"/>
          <w:lang w:val="en-US"/>
        </w:rPr>
      </w:pPr>
      <w:r w:rsidRPr="00B960D4">
        <w:rPr>
          <w:szCs w:val="24"/>
        </w:rPr>
        <w:t>CEPT supports the extension of this existing Region 2 primary and Region 1 / Region 3 secondary RDSS allocations to become a global primary allocation provided that existing or new regulatory means ensure the protection of other services in the band and in adjacent bands</w:t>
      </w:r>
      <w:r w:rsidRPr="00B960D4">
        <w:rPr>
          <w:szCs w:val="24"/>
          <w:lang w:val="en-US"/>
        </w:rPr>
        <w:t xml:space="preserve">. </w:t>
      </w:r>
    </w:p>
    <w:p w:rsidR="00393C2B" w:rsidRPr="00B960D4" w:rsidRDefault="00393C2B" w:rsidP="00B960D4">
      <w:pPr>
        <w:jc w:val="both"/>
        <w:rPr>
          <w:szCs w:val="24"/>
        </w:rPr>
      </w:pPr>
      <w:r w:rsidRPr="00B960D4">
        <w:rPr>
          <w:szCs w:val="24"/>
        </w:rPr>
        <w:t xml:space="preserve">For the new global RDSS allocation No. </w:t>
      </w:r>
      <w:r w:rsidRPr="00B960D4">
        <w:rPr>
          <w:b/>
          <w:szCs w:val="24"/>
        </w:rPr>
        <w:t>4.10</w:t>
      </w:r>
      <w:r w:rsidRPr="00B960D4">
        <w:rPr>
          <w:szCs w:val="24"/>
        </w:rPr>
        <w:t xml:space="preserve"> would not apply. </w:t>
      </w:r>
    </w:p>
    <w:p w:rsidR="00393C2B" w:rsidRPr="00B960D4" w:rsidRDefault="00393C2B" w:rsidP="00B960D4">
      <w:pPr>
        <w:jc w:val="both"/>
        <w:rPr>
          <w:szCs w:val="24"/>
        </w:rPr>
      </w:pPr>
      <w:r w:rsidRPr="00B960D4">
        <w:rPr>
          <w:szCs w:val="24"/>
        </w:rPr>
        <w:t>CEPT also supports that RDSS should be subject to a coordination threshold level of -129 dBW/m²/MHz enabling the protection of the existing services</w:t>
      </w:r>
      <w:r w:rsidRPr="00B960D4">
        <w:rPr>
          <w:szCs w:val="24"/>
          <w:lang w:val="en-US"/>
        </w:rPr>
        <w:t>, except the RLS</w:t>
      </w:r>
      <w:r w:rsidRPr="00B960D4">
        <w:rPr>
          <w:szCs w:val="24"/>
        </w:rPr>
        <w:t xml:space="preserve">. For the protection of RLS, another mechanism, similar to the one contained in RR No. </w:t>
      </w:r>
      <w:r w:rsidRPr="00B960D4">
        <w:rPr>
          <w:b/>
          <w:szCs w:val="24"/>
        </w:rPr>
        <w:t xml:space="preserve">5.399 </w:t>
      </w:r>
      <w:r w:rsidRPr="00B960D4">
        <w:rPr>
          <w:szCs w:val="24"/>
        </w:rPr>
        <w:t xml:space="preserve">(i.e. based on non claiming protection nor causing harmful interference) should be considered. </w:t>
      </w:r>
    </w:p>
    <w:p w:rsidR="00393C2B" w:rsidRPr="00B960D4" w:rsidRDefault="00393C2B" w:rsidP="00B960D4">
      <w:pPr>
        <w:jc w:val="both"/>
        <w:rPr>
          <w:szCs w:val="24"/>
          <w:lang w:val="en-US"/>
        </w:rPr>
      </w:pPr>
      <w:r w:rsidRPr="00B960D4">
        <w:rPr>
          <w:szCs w:val="24"/>
          <w:lang w:val="en-US"/>
        </w:rPr>
        <w:lastRenderedPageBreak/>
        <w:t xml:space="preserve">However, upgrading the allocation status of the RDSS will break the existing regulation between the RDSS and the radiolocation service in Region 1 (see No. </w:t>
      </w:r>
      <w:r w:rsidRPr="00B960D4">
        <w:rPr>
          <w:b/>
          <w:szCs w:val="24"/>
          <w:lang w:val="en-US"/>
        </w:rPr>
        <w:t>5.399</w:t>
      </w:r>
      <w:r w:rsidRPr="00B960D4">
        <w:rPr>
          <w:szCs w:val="24"/>
          <w:lang w:val="en-US"/>
        </w:rPr>
        <w:t xml:space="preserve">) and also, in some countries of Region 3, where RDSS does not yet have primary status (RDSS shall not cause harmful interference, nor claim protection from RLS).  Regulatory provisions are needed on this particular point in order to keep the current status for the countries using Radiolocation in Region </w:t>
      </w:r>
      <w:smartTag w:uri="urn:schemas-microsoft-com:office:smarttags" w:element="metricconverter">
        <w:smartTagPr>
          <w:attr w:name="ProductID" w:val="1. In"/>
        </w:smartTagPr>
        <w:r w:rsidRPr="00B960D4">
          <w:rPr>
            <w:szCs w:val="24"/>
            <w:lang w:val="en-US"/>
          </w:rPr>
          <w:t>1. In</w:t>
        </w:r>
      </w:smartTag>
      <w:r w:rsidRPr="00B960D4">
        <w:rPr>
          <w:szCs w:val="24"/>
          <w:lang w:val="en-US"/>
        </w:rPr>
        <w:t xml:space="preserve"> the case of Region 1, CEPT supports the upgrade of the radiolocation service to be primary in some countries of Region 1, keeping No. </w:t>
      </w:r>
      <w:r w:rsidRPr="00B960D4">
        <w:rPr>
          <w:b/>
          <w:szCs w:val="24"/>
          <w:lang w:val="en-US"/>
        </w:rPr>
        <w:t>5.399</w:t>
      </w:r>
      <w:r w:rsidRPr="00B960D4">
        <w:rPr>
          <w:szCs w:val="24"/>
          <w:lang w:val="en-US"/>
        </w:rPr>
        <w:t xml:space="preserve"> for these countries. Other services (Fixed, </w:t>
      </w:r>
      <w:smartTag w:uri="urn:schemas-microsoft-com:office:smarttags" w:element="place">
        <w:smartTag w:uri="urn:schemas-microsoft-com:office:smarttags" w:element="City">
          <w:r w:rsidRPr="00B960D4">
            <w:rPr>
              <w:szCs w:val="24"/>
              <w:lang w:val="en-US"/>
            </w:rPr>
            <w:t>Mobile</w:t>
          </w:r>
        </w:smartTag>
      </w:smartTag>
      <w:r w:rsidRPr="00B960D4">
        <w:rPr>
          <w:szCs w:val="24"/>
          <w:lang w:val="en-US"/>
        </w:rPr>
        <w:t xml:space="preserve"> and Mobile-Satellite) will not be impacted by the upgrade of the Radiolocation.</w:t>
      </w:r>
    </w:p>
    <w:p w:rsidR="00393C2B" w:rsidRPr="00B960D4" w:rsidRDefault="00393C2B" w:rsidP="00B960D4">
      <w:pPr>
        <w:rPr>
          <w:szCs w:val="24"/>
          <w:lang w:val="en-US"/>
        </w:rPr>
      </w:pPr>
      <w:r w:rsidRPr="00B960D4">
        <w:rPr>
          <w:szCs w:val="24"/>
          <w:lang w:val="en-US"/>
        </w:rPr>
        <w:t>However, upgrading the allocation status of the RDSS will break the existing regulation between the existing RDSS and the other services in Region 3. Regulatory provisions are needed on this particular point in order to keep the current status of the existing RDSS systems after the global upgrade allocation in this band in Region 3.</w:t>
      </w:r>
    </w:p>
    <w:p w:rsidR="00393C2B" w:rsidRPr="00B960D4" w:rsidRDefault="00393C2B" w:rsidP="00B960D4">
      <w:pPr>
        <w:rPr>
          <w:szCs w:val="24"/>
          <w:lang w:val="en-US"/>
        </w:rPr>
      </w:pPr>
    </w:p>
    <w:p w:rsidR="00393C2B" w:rsidRPr="00B960D4" w:rsidRDefault="00393C2B" w:rsidP="00B960D4">
      <w:pPr>
        <w:rPr>
          <w:b/>
          <w:szCs w:val="24"/>
        </w:rPr>
      </w:pPr>
      <w:r w:rsidRPr="00B960D4">
        <w:rPr>
          <w:b/>
          <w:szCs w:val="24"/>
        </w:rPr>
        <w:t>Background</w:t>
      </w:r>
    </w:p>
    <w:p w:rsidR="00393C2B" w:rsidRPr="00B960D4" w:rsidRDefault="00393C2B" w:rsidP="00B960D4">
      <w:pPr>
        <w:jc w:val="both"/>
        <w:rPr>
          <w:szCs w:val="24"/>
        </w:rPr>
      </w:pPr>
      <w:r w:rsidRPr="00B960D4">
        <w:rPr>
          <w:szCs w:val="24"/>
        </w:rPr>
        <w:t>CEPT proposed and drove this issue for inclusion on the WRC-12 agenda at the request of the European Galileo system, and was supported by the European Commission. It is intended to facilitate new  navigation signals for next generation Galileo in a frequency band, which because of its proximity to the mobile service allocations above 2.5GHz, may offer attractive synergies with terrestrial mobile systems due to improved antenna efficiencies and use of shared hardware not possible with other RNSS bands.</w:t>
      </w:r>
    </w:p>
    <w:p w:rsidR="00393C2B" w:rsidRPr="00B960D4" w:rsidRDefault="00393C2B" w:rsidP="00B960D4">
      <w:pPr>
        <w:jc w:val="both"/>
        <w:rPr>
          <w:szCs w:val="24"/>
        </w:rPr>
      </w:pPr>
      <w:r w:rsidRPr="00B960D4">
        <w:rPr>
          <w:szCs w:val="24"/>
        </w:rPr>
        <w:t xml:space="preserve">RDSS space-to-Earth allocations usually have a corresponding Earth-to-space allocation to enable two-way radio determination. In Region 2 and 3, the paired uplink is at 1.6GHz. However, there is no requirement for an Earth-to-space allocation linked to this agenda item and Galileo and CEPT does not seek one. RNSS is a subset of RDSS and Galileo would plan to use the global RDSS allocation at 2.5GHz in effect as an RNSS allocation. </w:t>
      </w:r>
    </w:p>
    <w:p w:rsidR="00393C2B" w:rsidRPr="00B960D4" w:rsidRDefault="00393C2B" w:rsidP="00B960D4">
      <w:pPr>
        <w:jc w:val="both"/>
        <w:rPr>
          <w:szCs w:val="24"/>
        </w:rPr>
      </w:pPr>
      <w:r w:rsidRPr="00B960D4">
        <w:rPr>
          <w:szCs w:val="24"/>
        </w:rPr>
        <w:t>The Table of Frequency Allocations and the relevant footnotes for the band 2483.5-2500 MHz are as follows:</w:t>
      </w:r>
    </w:p>
    <w:p w:rsidR="00393C2B" w:rsidRPr="00B960D4" w:rsidRDefault="00B43395" w:rsidP="00B960D4">
      <w:pPr>
        <w:pStyle w:val="Note"/>
        <w:jc w:val="both"/>
        <w:rPr>
          <w:color w:val="000000"/>
          <w:szCs w:val="24"/>
          <w:lang w:val="en-AU"/>
        </w:rPr>
      </w:pPr>
      <w:r w:rsidRPr="00B43395">
        <w:rPr>
          <w:noProof/>
          <w:lang w:val="fr-FR" w:eastAsia="fr-FR"/>
        </w:rPr>
        <w:pict>
          <v:shapetype id="_x0000_t202" coordsize="21600,21600" o:spt="202" path="m,l,21600r21600,l21600,xe">
            <v:stroke joinstyle="miter"/>
            <v:path gradientshapeok="t" o:connecttype="rect"/>
          </v:shapetype>
          <v:shape id="_x0000_s1026" type="#_x0000_t202" style="position:absolute;left:0;text-align:left;margin-left:0;margin-top:.05pt;width:465.7pt;height:198.7pt;z-index:251658240;mso-wrap-distance-left:9.05pt;mso-wrap-distance-right:9.05pt;mso-position-horizontal:center;mso-position-horizontal-relative:margin" stroked="f">
            <v:fill opacity="0" color2="black"/>
            <v:textbox style="mso-next-textbox:#_x0000_s1026" inset="0,0,0,0">
              <w:txbxContent>
                <w:tbl>
                  <w:tblPr>
                    <w:tblW w:w="0" w:type="auto"/>
                    <w:tblInd w:w="107" w:type="dxa"/>
                    <w:tblLayout w:type="fixed"/>
                    <w:tblCellMar>
                      <w:left w:w="107" w:type="dxa"/>
                      <w:right w:w="107" w:type="dxa"/>
                    </w:tblCellMar>
                    <w:tblLook w:val="0000"/>
                  </w:tblPr>
                  <w:tblGrid>
                    <w:gridCol w:w="3101"/>
                    <w:gridCol w:w="3101"/>
                    <w:gridCol w:w="3157"/>
                  </w:tblGrid>
                  <w:tr w:rsidR="00393C2B">
                    <w:trPr>
                      <w:cantSplit/>
                    </w:trPr>
                    <w:tc>
                      <w:tcPr>
                        <w:tcW w:w="9359" w:type="dxa"/>
                        <w:gridSpan w:val="3"/>
                        <w:tcBorders>
                          <w:top w:val="single" w:sz="4" w:space="0" w:color="000000"/>
                          <w:left w:val="single" w:sz="4" w:space="0" w:color="000000"/>
                          <w:bottom w:val="single" w:sz="4" w:space="0" w:color="000000"/>
                          <w:right w:val="single" w:sz="4" w:space="0" w:color="000000"/>
                        </w:tcBorders>
                      </w:tcPr>
                      <w:p w:rsidR="00393C2B" w:rsidRDefault="00393C2B">
                        <w:pPr>
                          <w:pStyle w:val="Tablehead0"/>
                          <w:snapToGrid w:val="0"/>
                          <w:rPr>
                            <w:color w:val="000000"/>
                            <w:lang w:val="en-AU"/>
                          </w:rPr>
                        </w:pPr>
                        <w:r>
                          <w:rPr>
                            <w:color w:val="000000"/>
                            <w:lang w:val="en-AU"/>
                          </w:rPr>
                          <w:t>Allocation to services</w:t>
                        </w:r>
                      </w:p>
                    </w:tc>
                  </w:tr>
                  <w:tr w:rsidR="00393C2B">
                    <w:trPr>
                      <w:cantSplit/>
                    </w:trPr>
                    <w:tc>
                      <w:tcPr>
                        <w:tcW w:w="3101" w:type="dxa"/>
                        <w:tcBorders>
                          <w:top w:val="single" w:sz="4" w:space="0" w:color="000000"/>
                          <w:left w:val="single" w:sz="4" w:space="0" w:color="000000"/>
                          <w:bottom w:val="single" w:sz="4" w:space="0" w:color="000000"/>
                        </w:tcBorders>
                      </w:tcPr>
                      <w:p w:rsidR="00393C2B" w:rsidRDefault="00393C2B">
                        <w:pPr>
                          <w:pStyle w:val="Tablehead0"/>
                          <w:snapToGrid w:val="0"/>
                          <w:rPr>
                            <w:color w:val="000000"/>
                            <w:lang w:val="en-AU"/>
                          </w:rPr>
                        </w:pPr>
                        <w:r>
                          <w:rPr>
                            <w:color w:val="000000"/>
                            <w:lang w:val="en-AU"/>
                          </w:rPr>
                          <w:t>Region 1</w:t>
                        </w:r>
                      </w:p>
                    </w:tc>
                    <w:tc>
                      <w:tcPr>
                        <w:tcW w:w="3101" w:type="dxa"/>
                        <w:tcBorders>
                          <w:top w:val="single" w:sz="4" w:space="0" w:color="000000"/>
                          <w:left w:val="single" w:sz="4" w:space="0" w:color="000000"/>
                          <w:bottom w:val="single" w:sz="4" w:space="0" w:color="000000"/>
                        </w:tcBorders>
                      </w:tcPr>
                      <w:p w:rsidR="00393C2B" w:rsidRDefault="00393C2B">
                        <w:pPr>
                          <w:pStyle w:val="Tablehead0"/>
                          <w:snapToGrid w:val="0"/>
                          <w:rPr>
                            <w:color w:val="000000"/>
                            <w:lang w:val="en-AU"/>
                          </w:rPr>
                        </w:pPr>
                        <w:r>
                          <w:rPr>
                            <w:color w:val="000000"/>
                            <w:lang w:val="en-AU"/>
                          </w:rPr>
                          <w:t>Region 2</w:t>
                        </w:r>
                      </w:p>
                    </w:tc>
                    <w:tc>
                      <w:tcPr>
                        <w:tcW w:w="3157" w:type="dxa"/>
                        <w:tcBorders>
                          <w:top w:val="single" w:sz="4" w:space="0" w:color="000000"/>
                          <w:left w:val="single" w:sz="4" w:space="0" w:color="000000"/>
                          <w:bottom w:val="single" w:sz="4" w:space="0" w:color="000000"/>
                          <w:right w:val="single" w:sz="4" w:space="0" w:color="000000"/>
                        </w:tcBorders>
                      </w:tcPr>
                      <w:p w:rsidR="00393C2B" w:rsidRDefault="00393C2B">
                        <w:pPr>
                          <w:pStyle w:val="Tablehead0"/>
                          <w:snapToGrid w:val="0"/>
                          <w:rPr>
                            <w:color w:val="000000"/>
                            <w:lang w:val="en-AU"/>
                          </w:rPr>
                        </w:pPr>
                        <w:r>
                          <w:rPr>
                            <w:color w:val="000000"/>
                            <w:lang w:val="en-AU"/>
                          </w:rPr>
                          <w:t>Region 3</w:t>
                        </w:r>
                      </w:p>
                    </w:tc>
                  </w:tr>
                  <w:tr w:rsidR="00393C2B">
                    <w:trPr>
                      <w:cantSplit/>
                    </w:trPr>
                    <w:tc>
                      <w:tcPr>
                        <w:tcW w:w="3101" w:type="dxa"/>
                        <w:tcBorders>
                          <w:top w:val="single" w:sz="4" w:space="0" w:color="000000"/>
                          <w:left w:val="single" w:sz="4" w:space="0" w:color="000000"/>
                        </w:tcBorders>
                      </w:tcPr>
                      <w:p w:rsidR="00393C2B" w:rsidRDefault="00393C2B">
                        <w:pPr>
                          <w:pStyle w:val="TableTextS5"/>
                          <w:snapToGrid w:val="0"/>
                          <w:rPr>
                            <w:rStyle w:val="Tablefreq"/>
                            <w:color w:val="000000"/>
                            <w:lang w:val="en-GB"/>
                          </w:rPr>
                        </w:pPr>
                        <w:r>
                          <w:rPr>
                            <w:rStyle w:val="Tablefreq"/>
                            <w:color w:val="000000"/>
                            <w:lang w:val="en-GB"/>
                          </w:rPr>
                          <w:t>2</w:t>
                        </w:r>
                        <w:r>
                          <w:rPr>
                            <w:rStyle w:val="Tablefreq"/>
                            <w:rFonts w:ascii="Tms Rmn" w:hAnsi="Tms Rmn"/>
                            <w:color w:val="000000"/>
                            <w:sz w:val="12"/>
                            <w:lang w:val="en-GB"/>
                          </w:rPr>
                          <w:t> </w:t>
                        </w:r>
                        <w:r>
                          <w:rPr>
                            <w:rStyle w:val="Tablefreq"/>
                            <w:color w:val="000000"/>
                            <w:lang w:val="en-GB"/>
                          </w:rPr>
                          <w:t>483.5-2</w:t>
                        </w:r>
                        <w:r>
                          <w:rPr>
                            <w:rStyle w:val="Tablefreq"/>
                            <w:rFonts w:ascii="Tms Rmn" w:hAnsi="Tms Rmn"/>
                            <w:color w:val="000000"/>
                            <w:sz w:val="12"/>
                            <w:lang w:val="en-GB"/>
                          </w:rPr>
                          <w:t> </w:t>
                        </w:r>
                        <w:r>
                          <w:rPr>
                            <w:rStyle w:val="Tablefreq"/>
                            <w:color w:val="000000"/>
                            <w:lang w:val="en-GB"/>
                          </w:rPr>
                          <w:t>500</w:t>
                        </w:r>
                      </w:p>
                      <w:p w:rsidR="00393C2B" w:rsidRDefault="00393C2B">
                        <w:pPr>
                          <w:pStyle w:val="TableTextS5"/>
                          <w:rPr>
                            <w:color w:val="000000"/>
                            <w:lang w:val="en-GB"/>
                          </w:rPr>
                        </w:pPr>
                        <w:r>
                          <w:rPr>
                            <w:color w:val="000000"/>
                            <w:lang w:val="en-GB"/>
                          </w:rPr>
                          <w:t>FIXED</w:t>
                        </w:r>
                      </w:p>
                      <w:p w:rsidR="00393C2B" w:rsidRDefault="00393C2B">
                        <w:pPr>
                          <w:pStyle w:val="TableTextS5"/>
                          <w:rPr>
                            <w:color w:val="000000"/>
                            <w:lang w:val="en-GB"/>
                          </w:rPr>
                        </w:pPr>
                        <w:smartTag w:uri="urn:schemas-microsoft-com:office:smarttags" w:element="City">
                          <w:smartTag w:uri="urn:schemas-microsoft-com:office:smarttags" w:element="place">
                            <w:r>
                              <w:rPr>
                                <w:color w:val="000000"/>
                                <w:lang w:val="en-GB"/>
                              </w:rPr>
                              <w:t>MOBILE</w:t>
                            </w:r>
                          </w:smartTag>
                        </w:smartTag>
                      </w:p>
                      <w:p w:rsidR="00393C2B" w:rsidRDefault="00393C2B">
                        <w:pPr>
                          <w:pStyle w:val="TableTextS5"/>
                          <w:ind w:left="170" w:hanging="170"/>
                          <w:rPr>
                            <w:rStyle w:val="Artref"/>
                            <w:color w:val="000000"/>
                            <w:lang w:val="en-GB"/>
                          </w:rPr>
                        </w:pPr>
                        <w:r>
                          <w:rPr>
                            <w:color w:val="000000"/>
                            <w:lang w:val="en-GB"/>
                          </w:rPr>
                          <w:t>MOBILE-SATELLITE</w:t>
                        </w:r>
                        <w:r>
                          <w:rPr>
                            <w:color w:val="000000"/>
                            <w:lang w:val="en-GB"/>
                          </w:rPr>
                          <w:br/>
                          <w:t xml:space="preserve">(space-to-Earth)  </w:t>
                        </w:r>
                        <w:r>
                          <w:rPr>
                            <w:rStyle w:val="Artref"/>
                            <w:color w:val="000000"/>
                            <w:lang w:val="en-GB"/>
                          </w:rPr>
                          <w:t>5.351A</w:t>
                        </w:r>
                      </w:p>
                      <w:p w:rsidR="00393C2B" w:rsidRDefault="00393C2B">
                        <w:pPr>
                          <w:pStyle w:val="TableTextS5"/>
                          <w:rPr>
                            <w:color w:val="000000"/>
                          </w:rPr>
                        </w:pPr>
                        <w:r>
                          <w:rPr>
                            <w:color w:val="000000"/>
                          </w:rPr>
                          <w:t>Radiolocation</w:t>
                        </w:r>
                      </w:p>
                    </w:tc>
                    <w:tc>
                      <w:tcPr>
                        <w:tcW w:w="3101" w:type="dxa"/>
                        <w:tcBorders>
                          <w:top w:val="single" w:sz="4" w:space="0" w:color="000000"/>
                          <w:left w:val="single" w:sz="4" w:space="0" w:color="000000"/>
                        </w:tcBorders>
                      </w:tcPr>
                      <w:p w:rsidR="00393C2B" w:rsidRDefault="00393C2B">
                        <w:pPr>
                          <w:pStyle w:val="TableTextS5"/>
                          <w:snapToGrid w:val="0"/>
                          <w:rPr>
                            <w:rStyle w:val="Tablefreq"/>
                            <w:color w:val="000000"/>
                            <w:lang w:val="en-GB"/>
                          </w:rPr>
                        </w:pPr>
                        <w:r>
                          <w:rPr>
                            <w:rStyle w:val="Tablefreq"/>
                            <w:color w:val="000000"/>
                            <w:lang w:val="en-GB"/>
                          </w:rPr>
                          <w:t>2</w:t>
                        </w:r>
                        <w:r>
                          <w:rPr>
                            <w:rStyle w:val="Tablefreq"/>
                            <w:rFonts w:ascii="Tms Rmn" w:hAnsi="Tms Rmn"/>
                            <w:color w:val="000000"/>
                            <w:sz w:val="12"/>
                            <w:lang w:val="en-GB"/>
                          </w:rPr>
                          <w:t> </w:t>
                        </w:r>
                        <w:r>
                          <w:rPr>
                            <w:rStyle w:val="Tablefreq"/>
                            <w:color w:val="000000"/>
                            <w:lang w:val="en-GB"/>
                          </w:rPr>
                          <w:t>483.5-2</w:t>
                        </w:r>
                        <w:r>
                          <w:rPr>
                            <w:rStyle w:val="Tablefreq"/>
                            <w:rFonts w:ascii="Tms Rmn" w:hAnsi="Tms Rmn"/>
                            <w:color w:val="000000"/>
                            <w:sz w:val="12"/>
                            <w:lang w:val="en-GB"/>
                          </w:rPr>
                          <w:t> </w:t>
                        </w:r>
                        <w:r>
                          <w:rPr>
                            <w:rStyle w:val="Tablefreq"/>
                            <w:color w:val="000000"/>
                            <w:lang w:val="en-GB"/>
                          </w:rPr>
                          <w:t>500</w:t>
                        </w:r>
                      </w:p>
                      <w:p w:rsidR="00393C2B" w:rsidRDefault="00393C2B">
                        <w:pPr>
                          <w:pStyle w:val="TableTextS5"/>
                          <w:rPr>
                            <w:color w:val="000000"/>
                            <w:lang w:val="en-GB"/>
                          </w:rPr>
                        </w:pPr>
                        <w:r>
                          <w:rPr>
                            <w:color w:val="000000"/>
                            <w:lang w:val="en-GB"/>
                          </w:rPr>
                          <w:t>FIXED</w:t>
                        </w:r>
                      </w:p>
                      <w:p w:rsidR="00393C2B" w:rsidRDefault="00393C2B">
                        <w:pPr>
                          <w:pStyle w:val="TableTextS5"/>
                          <w:rPr>
                            <w:color w:val="000000"/>
                            <w:lang w:val="en-GB"/>
                          </w:rPr>
                        </w:pPr>
                        <w:smartTag w:uri="urn:schemas-microsoft-com:office:smarttags" w:element="City">
                          <w:smartTag w:uri="urn:schemas-microsoft-com:office:smarttags" w:element="place">
                            <w:r>
                              <w:rPr>
                                <w:color w:val="000000"/>
                                <w:lang w:val="en-GB"/>
                              </w:rPr>
                              <w:t>MOBILE</w:t>
                            </w:r>
                          </w:smartTag>
                        </w:smartTag>
                      </w:p>
                      <w:p w:rsidR="00393C2B" w:rsidRDefault="00393C2B">
                        <w:pPr>
                          <w:pStyle w:val="TableTextS5"/>
                          <w:ind w:left="170" w:hanging="170"/>
                          <w:rPr>
                            <w:rStyle w:val="Artref"/>
                            <w:color w:val="000000"/>
                            <w:lang w:val="en-GB"/>
                          </w:rPr>
                        </w:pPr>
                        <w:r>
                          <w:rPr>
                            <w:color w:val="000000"/>
                            <w:lang w:val="en-AU"/>
                          </w:rPr>
                          <w:t>MOBILE-SATELLITE</w:t>
                        </w:r>
                        <w:r>
                          <w:rPr>
                            <w:color w:val="000000"/>
                            <w:lang w:val="en-AU"/>
                          </w:rPr>
                          <w:br/>
                          <w:t>(space-to-Earth)</w:t>
                        </w:r>
                        <w:r>
                          <w:rPr>
                            <w:color w:val="000000"/>
                            <w:lang w:val="en-GB"/>
                          </w:rPr>
                          <w:t xml:space="preserve">  </w:t>
                        </w:r>
                        <w:r>
                          <w:rPr>
                            <w:rStyle w:val="Artref"/>
                            <w:color w:val="000000"/>
                            <w:lang w:val="en-GB"/>
                          </w:rPr>
                          <w:t>5.351A</w:t>
                        </w:r>
                      </w:p>
                      <w:p w:rsidR="00393C2B" w:rsidRDefault="00393C2B">
                        <w:pPr>
                          <w:pStyle w:val="TableTextS5"/>
                          <w:rPr>
                            <w:color w:val="000000"/>
                            <w:lang w:val="en-AU"/>
                          </w:rPr>
                        </w:pPr>
                        <w:r>
                          <w:rPr>
                            <w:color w:val="000000"/>
                            <w:lang w:val="en-AU"/>
                          </w:rPr>
                          <w:t>RADIOLOCATION</w:t>
                        </w:r>
                      </w:p>
                      <w:p w:rsidR="00393C2B" w:rsidRDefault="00393C2B">
                        <w:pPr>
                          <w:pStyle w:val="TableTextS5"/>
                          <w:ind w:left="170" w:hanging="170"/>
                          <w:rPr>
                            <w:rStyle w:val="Artref"/>
                            <w:color w:val="000000"/>
                            <w:lang w:val="en-AU"/>
                          </w:rPr>
                        </w:pPr>
                        <w:r>
                          <w:rPr>
                            <w:color w:val="000000"/>
                            <w:lang w:val="en-AU"/>
                          </w:rPr>
                          <w:t>RADIODETERMINATION-</w:t>
                        </w:r>
                        <w:r>
                          <w:rPr>
                            <w:color w:val="000000"/>
                            <w:lang w:val="en-AU"/>
                          </w:rPr>
                          <w:br/>
                          <w:t>SATELLITE</w:t>
                        </w:r>
                        <w:r>
                          <w:rPr>
                            <w:color w:val="000000"/>
                            <w:lang w:val="en-AU"/>
                          </w:rPr>
                          <w:br/>
                          <w:t xml:space="preserve">(space-to-Earth)  </w:t>
                        </w:r>
                        <w:r>
                          <w:rPr>
                            <w:rStyle w:val="Artref"/>
                            <w:color w:val="000000"/>
                            <w:lang w:val="en-AU"/>
                          </w:rPr>
                          <w:t>5.398</w:t>
                        </w:r>
                      </w:p>
                    </w:tc>
                    <w:tc>
                      <w:tcPr>
                        <w:tcW w:w="3157" w:type="dxa"/>
                        <w:tcBorders>
                          <w:top w:val="single" w:sz="4" w:space="0" w:color="000000"/>
                          <w:left w:val="single" w:sz="4" w:space="0" w:color="000000"/>
                          <w:right w:val="single" w:sz="4" w:space="0" w:color="000000"/>
                        </w:tcBorders>
                      </w:tcPr>
                      <w:p w:rsidR="00393C2B" w:rsidRDefault="00393C2B">
                        <w:pPr>
                          <w:pStyle w:val="TableTextS5"/>
                          <w:snapToGrid w:val="0"/>
                          <w:rPr>
                            <w:rStyle w:val="Tablefreq"/>
                            <w:color w:val="000000"/>
                            <w:lang w:val="en-AU"/>
                          </w:rPr>
                        </w:pPr>
                        <w:r>
                          <w:rPr>
                            <w:rStyle w:val="Tablefreq"/>
                            <w:color w:val="000000"/>
                            <w:lang w:val="en-AU"/>
                          </w:rPr>
                          <w:t>2</w:t>
                        </w:r>
                        <w:r>
                          <w:rPr>
                            <w:rStyle w:val="Tablefreq"/>
                            <w:rFonts w:ascii="Tms Rmn" w:hAnsi="Tms Rmn"/>
                            <w:color w:val="000000"/>
                            <w:sz w:val="12"/>
                            <w:lang w:val="en-AU"/>
                          </w:rPr>
                          <w:t> </w:t>
                        </w:r>
                        <w:r>
                          <w:rPr>
                            <w:rStyle w:val="Tablefreq"/>
                            <w:color w:val="000000"/>
                            <w:lang w:val="en-AU"/>
                          </w:rPr>
                          <w:t>483.5-2</w:t>
                        </w:r>
                        <w:r>
                          <w:rPr>
                            <w:rStyle w:val="Tablefreq"/>
                            <w:rFonts w:ascii="Tms Rmn" w:hAnsi="Tms Rmn"/>
                            <w:color w:val="000000"/>
                            <w:sz w:val="12"/>
                            <w:lang w:val="en-AU"/>
                          </w:rPr>
                          <w:t> </w:t>
                        </w:r>
                        <w:r>
                          <w:rPr>
                            <w:rStyle w:val="Tablefreq"/>
                            <w:color w:val="000000"/>
                            <w:lang w:val="en-AU"/>
                          </w:rPr>
                          <w:t>500</w:t>
                        </w:r>
                      </w:p>
                      <w:p w:rsidR="00393C2B" w:rsidRDefault="00393C2B">
                        <w:pPr>
                          <w:pStyle w:val="TableTextS5"/>
                          <w:rPr>
                            <w:color w:val="000000"/>
                            <w:lang w:val="en-AU"/>
                          </w:rPr>
                        </w:pPr>
                        <w:r>
                          <w:rPr>
                            <w:color w:val="000000"/>
                            <w:lang w:val="en-AU"/>
                          </w:rPr>
                          <w:t>FIXED</w:t>
                        </w:r>
                      </w:p>
                      <w:p w:rsidR="00393C2B" w:rsidRDefault="00393C2B">
                        <w:pPr>
                          <w:pStyle w:val="TableTextS5"/>
                          <w:rPr>
                            <w:color w:val="000000"/>
                            <w:lang w:val="en-AU"/>
                          </w:rPr>
                        </w:pPr>
                        <w:smartTag w:uri="urn:schemas-microsoft-com:office:smarttags" w:element="City">
                          <w:smartTag w:uri="urn:schemas-microsoft-com:office:smarttags" w:element="place">
                            <w:r>
                              <w:rPr>
                                <w:color w:val="000000"/>
                                <w:lang w:val="en-AU"/>
                              </w:rPr>
                              <w:t>MOBILE</w:t>
                            </w:r>
                          </w:smartTag>
                        </w:smartTag>
                      </w:p>
                      <w:p w:rsidR="00393C2B" w:rsidRDefault="00393C2B">
                        <w:pPr>
                          <w:pStyle w:val="TableTextS5"/>
                          <w:ind w:left="170" w:hanging="170"/>
                          <w:rPr>
                            <w:rStyle w:val="Artref"/>
                            <w:color w:val="000000"/>
                            <w:lang w:val="en-GB"/>
                          </w:rPr>
                        </w:pPr>
                        <w:r>
                          <w:rPr>
                            <w:color w:val="000000"/>
                            <w:lang w:val="en-AU"/>
                          </w:rPr>
                          <w:t>MOBILE-SATELLITE</w:t>
                        </w:r>
                        <w:r>
                          <w:rPr>
                            <w:color w:val="000000"/>
                            <w:lang w:val="en-AU"/>
                          </w:rPr>
                          <w:br/>
                          <w:t>(space-to-Earth)</w:t>
                        </w:r>
                        <w:r>
                          <w:rPr>
                            <w:color w:val="000000"/>
                            <w:lang w:val="en-GB"/>
                          </w:rPr>
                          <w:t xml:space="preserve">  </w:t>
                        </w:r>
                        <w:r>
                          <w:rPr>
                            <w:rStyle w:val="Artref"/>
                            <w:color w:val="000000"/>
                            <w:lang w:val="en-GB"/>
                          </w:rPr>
                          <w:t>5.351A</w:t>
                        </w:r>
                      </w:p>
                      <w:p w:rsidR="00393C2B" w:rsidRDefault="00393C2B">
                        <w:pPr>
                          <w:pStyle w:val="TableTextS5"/>
                          <w:rPr>
                            <w:color w:val="000000"/>
                            <w:lang w:val="en-AU"/>
                          </w:rPr>
                        </w:pPr>
                        <w:r>
                          <w:rPr>
                            <w:color w:val="000000"/>
                            <w:lang w:val="en-AU"/>
                          </w:rPr>
                          <w:t>RADIOLOCATION</w:t>
                        </w:r>
                      </w:p>
                      <w:p w:rsidR="00393C2B" w:rsidRDefault="00393C2B">
                        <w:pPr>
                          <w:pStyle w:val="TableTextS5"/>
                          <w:ind w:left="170" w:hanging="170"/>
                          <w:rPr>
                            <w:rStyle w:val="Artref"/>
                            <w:color w:val="000000"/>
                            <w:lang w:val="en-AU"/>
                          </w:rPr>
                        </w:pPr>
                        <w:r>
                          <w:rPr>
                            <w:color w:val="000000"/>
                            <w:lang w:val="en-AU"/>
                          </w:rPr>
                          <w:t>Radiodetermination-satellite</w:t>
                        </w:r>
                        <w:r>
                          <w:rPr>
                            <w:color w:val="000000"/>
                            <w:lang w:val="en-AU"/>
                          </w:rPr>
                          <w:br/>
                          <w:t xml:space="preserve">(space-to-Earth)  </w:t>
                        </w:r>
                        <w:r>
                          <w:rPr>
                            <w:rStyle w:val="Artref"/>
                            <w:color w:val="000000"/>
                            <w:lang w:val="en-AU"/>
                          </w:rPr>
                          <w:t>5.398</w:t>
                        </w:r>
                      </w:p>
                    </w:tc>
                  </w:tr>
                  <w:tr w:rsidR="00393C2B" w:rsidTr="00726C5D">
                    <w:tblPrEx>
                      <w:tblCellMar>
                        <w:left w:w="108" w:type="dxa"/>
                        <w:right w:w="108" w:type="dxa"/>
                      </w:tblCellMar>
                    </w:tblPrEx>
                    <w:tc>
                      <w:tcPr>
                        <w:tcW w:w="3101" w:type="dxa"/>
                      </w:tcPr>
                      <w:p w:rsidR="00393C2B" w:rsidRDefault="00393C2B">
                        <w:pPr>
                          <w:pStyle w:val="TableTextS5"/>
                          <w:snapToGrid w:val="0"/>
                          <w:rPr>
                            <w:rStyle w:val="Artref"/>
                            <w:color w:val="000000"/>
                            <w:lang w:val="en-AU"/>
                          </w:rPr>
                        </w:pPr>
                        <w:r>
                          <w:rPr>
                            <w:rStyle w:val="Artref"/>
                            <w:color w:val="000000"/>
                            <w:lang w:val="en-AU"/>
                          </w:rPr>
                          <w:t>5.150</w:t>
                        </w:r>
                        <w:r>
                          <w:rPr>
                            <w:color w:val="000000"/>
                            <w:lang w:val="en-AU"/>
                          </w:rPr>
                          <w:t xml:space="preserve">  </w:t>
                        </w:r>
                        <w:r>
                          <w:rPr>
                            <w:rStyle w:val="Artref"/>
                            <w:color w:val="000000"/>
                            <w:lang w:val="en-AU"/>
                          </w:rPr>
                          <w:t>5.371</w:t>
                        </w:r>
                        <w:r>
                          <w:rPr>
                            <w:color w:val="000000"/>
                            <w:lang w:val="en-AU"/>
                          </w:rPr>
                          <w:t xml:space="preserve">  </w:t>
                        </w:r>
                        <w:r>
                          <w:rPr>
                            <w:rStyle w:val="Artref"/>
                            <w:color w:val="000000"/>
                            <w:lang w:val="en-AU"/>
                          </w:rPr>
                          <w:t>5.397</w:t>
                        </w:r>
                        <w:r>
                          <w:rPr>
                            <w:color w:val="000000"/>
                            <w:lang w:val="en-AU"/>
                          </w:rPr>
                          <w:t xml:space="preserve">  </w:t>
                        </w:r>
                        <w:r>
                          <w:rPr>
                            <w:rStyle w:val="Artref"/>
                            <w:color w:val="000000"/>
                            <w:lang w:val="en-AU"/>
                          </w:rPr>
                          <w:t>5.398</w:t>
                        </w:r>
                        <w:r>
                          <w:rPr>
                            <w:color w:val="000000"/>
                            <w:lang w:val="en-AU"/>
                          </w:rPr>
                          <w:t xml:space="preserve">  </w:t>
                        </w:r>
                        <w:r>
                          <w:rPr>
                            <w:rStyle w:val="Artref"/>
                            <w:color w:val="000000"/>
                            <w:lang w:val="en-AU"/>
                          </w:rPr>
                          <w:t>5.399</w:t>
                        </w:r>
                        <w:r>
                          <w:rPr>
                            <w:color w:val="000000"/>
                            <w:lang w:val="en-AU"/>
                          </w:rPr>
                          <w:t xml:space="preserve">  </w:t>
                        </w:r>
                        <w:r>
                          <w:rPr>
                            <w:rStyle w:val="Artref"/>
                            <w:color w:val="000000"/>
                            <w:lang w:val="en-AU"/>
                          </w:rPr>
                          <w:t>5.400</w:t>
                        </w:r>
                        <w:r>
                          <w:rPr>
                            <w:color w:val="000000"/>
                            <w:lang w:val="en-AU"/>
                          </w:rPr>
                          <w:t xml:space="preserve">  </w:t>
                        </w:r>
                        <w:r>
                          <w:rPr>
                            <w:rStyle w:val="Artref"/>
                            <w:color w:val="000000"/>
                            <w:lang w:val="en-AU"/>
                          </w:rPr>
                          <w:t>5.402</w:t>
                        </w:r>
                      </w:p>
                    </w:tc>
                    <w:tc>
                      <w:tcPr>
                        <w:tcW w:w="3101" w:type="dxa"/>
                      </w:tcPr>
                      <w:p w:rsidR="00393C2B" w:rsidRDefault="00393C2B">
                        <w:pPr>
                          <w:pStyle w:val="TableTextS5"/>
                          <w:snapToGrid w:val="0"/>
                          <w:rPr>
                            <w:rStyle w:val="Artref"/>
                            <w:color w:val="000000"/>
                            <w:lang w:val="en-AU"/>
                          </w:rPr>
                        </w:pPr>
                        <w:r>
                          <w:rPr>
                            <w:color w:val="000000"/>
                            <w:lang w:val="en-AU"/>
                          </w:rPr>
                          <w:br/>
                        </w:r>
                        <w:r>
                          <w:rPr>
                            <w:rStyle w:val="Artref"/>
                            <w:color w:val="000000"/>
                            <w:lang w:val="en-AU"/>
                          </w:rPr>
                          <w:t>5.150</w:t>
                        </w:r>
                        <w:r>
                          <w:rPr>
                            <w:color w:val="000000"/>
                            <w:lang w:val="en-AU"/>
                          </w:rPr>
                          <w:t xml:space="preserve">  </w:t>
                        </w:r>
                        <w:r>
                          <w:rPr>
                            <w:rStyle w:val="Artref"/>
                            <w:color w:val="000000"/>
                            <w:lang w:val="en-AU"/>
                          </w:rPr>
                          <w:t>5.402</w:t>
                        </w:r>
                      </w:p>
                    </w:tc>
                    <w:tc>
                      <w:tcPr>
                        <w:tcW w:w="3157" w:type="dxa"/>
                      </w:tcPr>
                      <w:p w:rsidR="00393C2B" w:rsidRDefault="00393C2B">
                        <w:pPr>
                          <w:pStyle w:val="TableTextS5"/>
                          <w:snapToGrid w:val="0"/>
                          <w:rPr>
                            <w:rStyle w:val="Artref"/>
                            <w:color w:val="000000"/>
                            <w:lang w:val="en-AU"/>
                          </w:rPr>
                        </w:pPr>
                        <w:r>
                          <w:rPr>
                            <w:color w:val="000000"/>
                            <w:lang w:val="en-AU"/>
                          </w:rPr>
                          <w:br/>
                        </w:r>
                        <w:r>
                          <w:rPr>
                            <w:rStyle w:val="Artref"/>
                            <w:color w:val="000000"/>
                            <w:lang w:val="en-AU"/>
                          </w:rPr>
                          <w:t>5.150</w:t>
                        </w:r>
                        <w:r>
                          <w:rPr>
                            <w:color w:val="000000"/>
                            <w:lang w:val="en-AU"/>
                          </w:rPr>
                          <w:t xml:space="preserve">  </w:t>
                        </w:r>
                        <w:r>
                          <w:rPr>
                            <w:rStyle w:val="Artref"/>
                            <w:color w:val="000000"/>
                            <w:lang w:val="en-AU"/>
                          </w:rPr>
                          <w:t>5.400</w:t>
                        </w:r>
                        <w:r>
                          <w:rPr>
                            <w:color w:val="000000"/>
                            <w:lang w:val="en-AU"/>
                          </w:rPr>
                          <w:t xml:space="preserve">  </w:t>
                        </w:r>
                        <w:r>
                          <w:rPr>
                            <w:rStyle w:val="Artref"/>
                            <w:color w:val="000000"/>
                            <w:lang w:val="en-AU"/>
                          </w:rPr>
                          <w:t>5.402</w:t>
                        </w:r>
                      </w:p>
                    </w:tc>
                  </w:tr>
                </w:tbl>
                <w:p w:rsidR="00393C2B" w:rsidRDefault="00393C2B" w:rsidP="00B960D4">
                  <w:r>
                    <w:t xml:space="preserve"> </w:t>
                  </w:r>
                </w:p>
              </w:txbxContent>
            </v:textbox>
            <w10:wrap type="square" side="largest" anchorx="margin"/>
          </v:shape>
        </w:pict>
      </w:r>
      <w:r w:rsidR="00393C2B" w:rsidRPr="00B960D4">
        <w:rPr>
          <w:rStyle w:val="Artdef"/>
          <w:color w:val="000000"/>
          <w:szCs w:val="24"/>
          <w:lang w:val="en-AU"/>
        </w:rPr>
        <w:t>5.371</w:t>
      </w:r>
      <w:r w:rsidR="00393C2B" w:rsidRPr="00B960D4">
        <w:rPr>
          <w:rStyle w:val="Artdef"/>
          <w:color w:val="000000"/>
          <w:szCs w:val="24"/>
          <w:lang w:val="en-AU"/>
        </w:rPr>
        <w:tab/>
      </w:r>
      <w:r w:rsidR="00393C2B" w:rsidRPr="00B960D4">
        <w:rPr>
          <w:i/>
          <w:color w:val="000000"/>
          <w:szCs w:val="24"/>
          <w:lang w:val="en-AU"/>
        </w:rPr>
        <w:t>Additional allocation:  </w:t>
      </w:r>
      <w:r w:rsidR="00393C2B" w:rsidRPr="00B960D4">
        <w:rPr>
          <w:color w:val="000000"/>
          <w:szCs w:val="24"/>
          <w:lang w:val="en-AU"/>
        </w:rPr>
        <w:t>in Region 1, the bands 1 610-1 626.5 MHz (Earth-to-space) and 2 483.5-2 500 MHz (space-to-Earth) are also allocated to the radiodetermination-satellite service on a secondary basis, subject to agreement obtained under No. </w:t>
      </w:r>
      <w:r w:rsidR="00393C2B" w:rsidRPr="00B960D4">
        <w:rPr>
          <w:rStyle w:val="Artref"/>
          <w:b/>
          <w:color w:val="000000"/>
          <w:szCs w:val="24"/>
          <w:lang w:val="en-AU"/>
        </w:rPr>
        <w:t>9.21</w:t>
      </w:r>
      <w:r w:rsidR="00393C2B" w:rsidRPr="00B960D4">
        <w:rPr>
          <w:color w:val="000000"/>
          <w:szCs w:val="24"/>
          <w:lang w:val="en-AU"/>
        </w:rPr>
        <w:t>.</w:t>
      </w:r>
    </w:p>
    <w:p w:rsidR="00393C2B" w:rsidRPr="00B960D4" w:rsidRDefault="00393C2B" w:rsidP="00B960D4">
      <w:pPr>
        <w:pStyle w:val="Note"/>
        <w:jc w:val="both"/>
        <w:rPr>
          <w:color w:val="000000"/>
          <w:szCs w:val="24"/>
          <w:lang w:val="en-AU"/>
        </w:rPr>
      </w:pPr>
      <w:r w:rsidRPr="00B960D4">
        <w:rPr>
          <w:rStyle w:val="Artdef"/>
          <w:color w:val="000000"/>
          <w:szCs w:val="24"/>
          <w:lang w:val="en-AU"/>
        </w:rPr>
        <w:t>5.397</w:t>
      </w:r>
      <w:r w:rsidRPr="00B960D4">
        <w:rPr>
          <w:rStyle w:val="Artdef"/>
          <w:color w:val="000000"/>
          <w:szCs w:val="24"/>
          <w:lang w:val="en-AU"/>
        </w:rPr>
        <w:tab/>
      </w:r>
      <w:r w:rsidRPr="00B960D4">
        <w:rPr>
          <w:i/>
          <w:color w:val="000000"/>
          <w:szCs w:val="24"/>
          <w:lang w:val="en-AU"/>
        </w:rPr>
        <w:t>Different category of service:  </w:t>
      </w:r>
      <w:r w:rsidRPr="00B960D4">
        <w:rPr>
          <w:color w:val="000000"/>
          <w:szCs w:val="24"/>
          <w:lang w:val="en-AU"/>
        </w:rPr>
        <w:t xml:space="preserve">in </w:t>
      </w:r>
      <w:smartTag w:uri="urn:schemas-microsoft-com:office:smarttags" w:element="place">
        <w:smartTag w:uri="urn:schemas-microsoft-com:office:smarttags" w:element="country-region">
          <w:r w:rsidRPr="00B960D4">
            <w:rPr>
              <w:color w:val="000000"/>
              <w:szCs w:val="24"/>
              <w:lang w:val="en-AU"/>
            </w:rPr>
            <w:t>France</w:t>
          </w:r>
        </w:smartTag>
      </w:smartTag>
      <w:r w:rsidRPr="00B960D4">
        <w:rPr>
          <w:color w:val="000000"/>
          <w:szCs w:val="24"/>
          <w:lang w:val="en-AU"/>
        </w:rPr>
        <w:t>, the band 2 450-2 500 MHz is allocated on a primary basis to the radiolocation service (see No. </w:t>
      </w:r>
      <w:r w:rsidRPr="00B960D4">
        <w:rPr>
          <w:rStyle w:val="Artref"/>
          <w:b/>
          <w:color w:val="000000"/>
          <w:szCs w:val="24"/>
          <w:lang w:val="en-AU"/>
        </w:rPr>
        <w:t>5.33</w:t>
      </w:r>
      <w:r w:rsidRPr="00B960D4">
        <w:rPr>
          <w:color w:val="000000"/>
          <w:szCs w:val="24"/>
          <w:lang w:val="en-AU"/>
        </w:rPr>
        <w:t xml:space="preserve">). Such use is subject to agreement with </w:t>
      </w:r>
      <w:r w:rsidRPr="00B960D4">
        <w:rPr>
          <w:color w:val="000000"/>
          <w:szCs w:val="24"/>
          <w:lang w:val="en-AU"/>
        </w:rPr>
        <w:lastRenderedPageBreak/>
        <w:t>administrations having services operating or planned to operate in accordance with the Table of Frequency Allocations which may be affected.</w:t>
      </w:r>
    </w:p>
    <w:p w:rsidR="00393C2B" w:rsidRPr="00B960D4" w:rsidRDefault="00393C2B" w:rsidP="00B960D4">
      <w:pPr>
        <w:pStyle w:val="Note"/>
        <w:jc w:val="both"/>
        <w:rPr>
          <w:color w:val="000000"/>
          <w:szCs w:val="24"/>
          <w:lang w:val="en-AU"/>
        </w:rPr>
      </w:pPr>
      <w:r w:rsidRPr="00B960D4">
        <w:rPr>
          <w:rStyle w:val="Artdef"/>
          <w:color w:val="000000"/>
          <w:szCs w:val="24"/>
          <w:lang w:val="en-AU"/>
        </w:rPr>
        <w:t>5.398</w:t>
      </w:r>
      <w:r w:rsidRPr="00B960D4">
        <w:rPr>
          <w:rStyle w:val="Artdef"/>
          <w:color w:val="000000"/>
          <w:szCs w:val="24"/>
          <w:lang w:val="en-AU"/>
        </w:rPr>
        <w:tab/>
      </w:r>
      <w:r w:rsidRPr="00B960D4">
        <w:rPr>
          <w:color w:val="000000"/>
          <w:szCs w:val="24"/>
          <w:lang w:val="en-AU"/>
        </w:rPr>
        <w:t>In respect of the radiodetermination-satellite service in the band 2 483.5-2 500 MHz, the provisions of No.</w:t>
      </w:r>
      <w:r w:rsidRPr="00B960D4">
        <w:rPr>
          <w:color w:val="000000"/>
          <w:szCs w:val="24"/>
        </w:rPr>
        <w:t> </w:t>
      </w:r>
      <w:r w:rsidRPr="00B960D4">
        <w:rPr>
          <w:rStyle w:val="Artref"/>
          <w:b/>
          <w:color w:val="000000"/>
          <w:szCs w:val="24"/>
          <w:lang w:val="en-AU"/>
        </w:rPr>
        <w:t>4.10</w:t>
      </w:r>
      <w:r w:rsidRPr="00B960D4">
        <w:rPr>
          <w:color w:val="000000"/>
          <w:szCs w:val="24"/>
          <w:lang w:val="en-AU"/>
        </w:rPr>
        <w:t xml:space="preserve"> do not apply.</w:t>
      </w:r>
    </w:p>
    <w:p w:rsidR="00393C2B" w:rsidRPr="00B960D4" w:rsidRDefault="00393C2B" w:rsidP="00B960D4">
      <w:pPr>
        <w:pStyle w:val="Note"/>
        <w:jc w:val="both"/>
        <w:rPr>
          <w:color w:val="000000"/>
          <w:szCs w:val="24"/>
          <w:lang w:val="en-AU"/>
        </w:rPr>
      </w:pPr>
      <w:r w:rsidRPr="00B960D4">
        <w:rPr>
          <w:rStyle w:val="Artdef"/>
          <w:color w:val="000000"/>
          <w:szCs w:val="24"/>
          <w:lang w:val="en-AU"/>
        </w:rPr>
        <w:t>5.399</w:t>
      </w:r>
      <w:r w:rsidRPr="00B960D4">
        <w:rPr>
          <w:rStyle w:val="Artdef"/>
          <w:color w:val="000000"/>
          <w:szCs w:val="24"/>
          <w:lang w:val="en-AU"/>
        </w:rPr>
        <w:tab/>
      </w:r>
      <w:r w:rsidRPr="00B960D4">
        <w:rPr>
          <w:color w:val="000000"/>
          <w:szCs w:val="24"/>
          <w:lang w:val="en-AU"/>
        </w:rPr>
        <w:t xml:space="preserve">In Region </w:t>
      </w:r>
      <w:smartTag w:uri="urn:schemas-microsoft-com:office:smarttags" w:element="metricconverter">
        <w:smartTagPr>
          <w:attr w:name="ProductID" w:val="1, in"/>
        </w:smartTagPr>
        <w:r w:rsidRPr="00B960D4">
          <w:rPr>
            <w:color w:val="000000"/>
            <w:szCs w:val="24"/>
            <w:lang w:val="en-AU"/>
          </w:rPr>
          <w:t>1, in</w:t>
        </w:r>
      </w:smartTag>
      <w:r w:rsidRPr="00B960D4">
        <w:rPr>
          <w:color w:val="000000"/>
          <w:szCs w:val="24"/>
          <w:lang w:val="en-AU"/>
        </w:rPr>
        <w:t xml:space="preserve"> countries other than those listed in No.</w:t>
      </w:r>
      <w:r w:rsidRPr="00B960D4">
        <w:rPr>
          <w:b/>
          <w:color w:val="000000"/>
          <w:szCs w:val="24"/>
          <w:lang w:val="en-AU"/>
        </w:rPr>
        <w:t xml:space="preserve"> </w:t>
      </w:r>
      <w:r w:rsidRPr="00B960D4">
        <w:rPr>
          <w:rStyle w:val="Artref"/>
          <w:b/>
          <w:color w:val="000000"/>
          <w:szCs w:val="24"/>
          <w:lang w:val="en-AU"/>
        </w:rPr>
        <w:t>5.400</w:t>
      </w:r>
      <w:r w:rsidRPr="00B960D4">
        <w:rPr>
          <w:color w:val="000000"/>
          <w:szCs w:val="24"/>
          <w:lang w:val="en-AU"/>
        </w:rPr>
        <w:t>, harmful interference shall not be caused to, or protection shall not be claimed from, stations of the radiolocation service by stations of the radiodetermination satellite service.</w:t>
      </w:r>
    </w:p>
    <w:p w:rsidR="00393C2B" w:rsidRPr="00B960D4" w:rsidRDefault="00393C2B" w:rsidP="00B960D4">
      <w:pPr>
        <w:pStyle w:val="Note"/>
        <w:jc w:val="both"/>
        <w:rPr>
          <w:color w:val="000000"/>
          <w:szCs w:val="24"/>
          <w:lang w:val="en-AU"/>
        </w:rPr>
      </w:pPr>
      <w:r w:rsidRPr="00B960D4">
        <w:rPr>
          <w:rStyle w:val="Artdef"/>
          <w:color w:val="000000"/>
          <w:szCs w:val="24"/>
          <w:lang w:val="en-AU"/>
        </w:rPr>
        <w:t>5.400</w:t>
      </w:r>
      <w:r w:rsidRPr="00B960D4">
        <w:rPr>
          <w:rStyle w:val="Artdef"/>
          <w:color w:val="000000"/>
          <w:szCs w:val="24"/>
          <w:lang w:val="en-AU"/>
        </w:rPr>
        <w:tab/>
      </w:r>
      <w:r w:rsidRPr="00B960D4">
        <w:rPr>
          <w:i/>
          <w:color w:val="000000"/>
          <w:szCs w:val="24"/>
          <w:lang w:val="en-AU"/>
        </w:rPr>
        <w:t>Different category of service:  </w:t>
      </w:r>
      <w:r w:rsidRPr="00B960D4">
        <w:rPr>
          <w:color w:val="000000"/>
          <w:szCs w:val="24"/>
          <w:lang w:val="en-AU"/>
        </w:rPr>
        <w:t>in Angola, Australia, Bangladesh, Burundi, China, Eritrea, Ethiopia, India, Iran (Islamic Republic of), the Libyan Arab Jamahiriya, Lebanon, Liberia, Madagascar, Mali, Pakistan, Papua New Guinea, the Dem. Rep. of the Congo, the Syrian Arab Republic, Sudan, Swaziland, Togo and Zambia, the allocation of the band 2 483.5-2 500 MHz to the radiodetermination-satellite service (space-to-Earth) is on a primary basis (see No. </w:t>
      </w:r>
      <w:r w:rsidRPr="00B960D4">
        <w:rPr>
          <w:rStyle w:val="Artref"/>
          <w:b/>
          <w:bCs/>
          <w:color w:val="000000"/>
          <w:szCs w:val="24"/>
          <w:lang w:val="en-AU"/>
        </w:rPr>
        <w:t>5.33</w:t>
      </w:r>
      <w:r w:rsidRPr="00B960D4">
        <w:rPr>
          <w:color w:val="000000"/>
          <w:szCs w:val="24"/>
          <w:lang w:val="en-AU"/>
        </w:rPr>
        <w:t>), subject to agreement obtained under No. </w:t>
      </w:r>
      <w:r w:rsidRPr="00B960D4">
        <w:rPr>
          <w:rStyle w:val="Artref"/>
          <w:b/>
          <w:color w:val="000000"/>
          <w:szCs w:val="24"/>
          <w:lang w:val="en-AU"/>
        </w:rPr>
        <w:t>9.21</w:t>
      </w:r>
      <w:r w:rsidRPr="00B960D4">
        <w:rPr>
          <w:b/>
          <w:color w:val="000000"/>
          <w:szCs w:val="24"/>
          <w:lang w:val="en-AU"/>
        </w:rPr>
        <w:t xml:space="preserve"> </w:t>
      </w:r>
      <w:r w:rsidRPr="00B960D4">
        <w:rPr>
          <w:color w:val="000000"/>
          <w:szCs w:val="24"/>
          <w:lang w:val="en-AU"/>
        </w:rPr>
        <w:t>from countries not listed in this provision. (WRC</w:t>
      </w:r>
      <w:r w:rsidRPr="00B960D4">
        <w:rPr>
          <w:color w:val="000000"/>
          <w:szCs w:val="24"/>
          <w:lang w:val="en-AU"/>
        </w:rPr>
        <w:noBreakHyphen/>
        <w:t>03)</w:t>
      </w:r>
    </w:p>
    <w:p w:rsidR="00393C2B" w:rsidRPr="00B960D4" w:rsidRDefault="00393C2B" w:rsidP="00B960D4">
      <w:pPr>
        <w:pStyle w:val="Note"/>
        <w:jc w:val="both"/>
        <w:rPr>
          <w:color w:val="000000"/>
          <w:szCs w:val="24"/>
          <w:lang w:val="en-AU"/>
        </w:rPr>
      </w:pPr>
      <w:r w:rsidRPr="00B960D4">
        <w:rPr>
          <w:rStyle w:val="Artdef"/>
          <w:color w:val="000000"/>
          <w:szCs w:val="24"/>
          <w:lang w:val="en-AU"/>
        </w:rPr>
        <w:t>5.402</w:t>
      </w:r>
      <w:r w:rsidRPr="00B960D4">
        <w:rPr>
          <w:rStyle w:val="Artdef"/>
          <w:color w:val="000000"/>
          <w:szCs w:val="24"/>
          <w:lang w:val="en-AU"/>
        </w:rPr>
        <w:tab/>
      </w:r>
      <w:r w:rsidRPr="00B960D4">
        <w:rPr>
          <w:color w:val="000000"/>
          <w:szCs w:val="24"/>
          <w:lang w:val="en-AU"/>
        </w:rPr>
        <w:t xml:space="preserve">The use of the band 2 483.5-2 500 MHz by the mobile-satellite and the radiodetermination-satellite services is subject to the coordination under No. </w:t>
      </w:r>
      <w:r w:rsidRPr="00B960D4">
        <w:rPr>
          <w:rStyle w:val="Artref"/>
          <w:b/>
          <w:color w:val="000000"/>
          <w:szCs w:val="24"/>
          <w:lang w:val="en-AU"/>
        </w:rPr>
        <w:t>9.11A</w:t>
      </w:r>
      <w:r w:rsidRPr="00B960D4">
        <w:rPr>
          <w:color w:val="000000"/>
          <w:szCs w:val="24"/>
          <w:lang w:val="en-AU"/>
        </w:rPr>
        <w:t>. Administrations are urged to take all practicable steps to prevent harmful interference to the radio astronomy service from emissions in the 2 483.5-2 500 MHz band, especially those caused by second-harmonic radiation that would fall into the 4 990-5 000 MHz band allocated to the radio astronomy service worldwide.</w:t>
      </w:r>
    </w:p>
    <w:p w:rsidR="00393C2B" w:rsidRPr="00B960D4" w:rsidRDefault="00393C2B" w:rsidP="00B960D4">
      <w:pPr>
        <w:jc w:val="both"/>
        <w:rPr>
          <w:szCs w:val="24"/>
        </w:rPr>
      </w:pPr>
      <w:r w:rsidRPr="00B960D4">
        <w:rPr>
          <w:szCs w:val="24"/>
        </w:rPr>
        <w:t xml:space="preserve">Systems in Region 3 provide national navigation and timing signals in </w:t>
      </w:r>
      <w:smartTag w:uri="urn:schemas-microsoft-com:office:smarttags" w:element="country-region">
        <w:r w:rsidRPr="00B960D4">
          <w:rPr>
            <w:szCs w:val="24"/>
          </w:rPr>
          <w:t>China</w:t>
        </w:r>
      </w:smartTag>
      <w:r w:rsidRPr="00B960D4">
        <w:rPr>
          <w:szCs w:val="24"/>
        </w:rPr>
        <w:t xml:space="preserve"> and </w:t>
      </w:r>
      <w:smartTag w:uri="urn:schemas-microsoft-com:office:smarttags" w:element="place">
        <w:smartTag w:uri="urn:schemas-microsoft-com:office:smarttags" w:element="country-region">
          <w:r w:rsidRPr="00B960D4">
            <w:rPr>
              <w:szCs w:val="24"/>
            </w:rPr>
            <w:t>India</w:t>
          </w:r>
        </w:smartTag>
      </w:smartTag>
      <w:r w:rsidRPr="00B960D4">
        <w:rPr>
          <w:szCs w:val="24"/>
        </w:rPr>
        <w:t>.</w:t>
      </w:r>
    </w:p>
    <w:p w:rsidR="00393C2B" w:rsidRPr="00B960D4" w:rsidRDefault="00393C2B" w:rsidP="00B960D4">
      <w:pPr>
        <w:jc w:val="both"/>
        <w:rPr>
          <w:szCs w:val="24"/>
          <w:lang w:val="en-US"/>
        </w:rPr>
      </w:pPr>
      <w:smartTag w:uri="urn:schemas-microsoft-com:office:smarttags" w:element="country-region">
        <w:r w:rsidRPr="00B960D4">
          <w:rPr>
            <w:szCs w:val="24"/>
          </w:rPr>
          <w:t>Japan</w:t>
        </w:r>
      </w:smartTag>
      <w:r w:rsidRPr="00B960D4">
        <w:rPr>
          <w:szCs w:val="24"/>
        </w:rPr>
        <w:t xml:space="preserve"> is known to have a traffic monitoring data relay system, operating under the primary </w:t>
      </w:r>
      <w:smartTag w:uri="urn:schemas-microsoft-com:office:smarttags" w:element="place">
        <w:r w:rsidRPr="00B960D4">
          <w:rPr>
            <w:szCs w:val="24"/>
          </w:rPr>
          <w:t>Mobile</w:t>
        </w:r>
      </w:smartTag>
      <w:r w:rsidRPr="00B960D4">
        <w:rPr>
          <w:szCs w:val="24"/>
        </w:rPr>
        <w:t xml:space="preserve"> allocation in this band, and this use of this system is expected to grow.  RDSS signals are unlikely to cause interference to this system, but RDSS receivers may suffer local interference from the ground-based Japanese system. Preliminary characteristics for this system were submitted to the September ITU-R WP </w:t>
      </w:r>
      <w:smartTag w:uri="urn:schemas-microsoft-com:office:smarttags" w:element="metricconverter">
        <w:smartTagPr>
          <w:attr w:name="ProductID" w:val="3 in"/>
        </w:smartTagPr>
        <w:r w:rsidRPr="00B960D4">
          <w:rPr>
            <w:szCs w:val="24"/>
          </w:rPr>
          <w:t>4C</w:t>
        </w:r>
      </w:smartTag>
      <w:r w:rsidRPr="00B960D4">
        <w:rPr>
          <w:szCs w:val="24"/>
        </w:rPr>
        <w:t xml:space="preserve"> meeting and updated at a subsequent meeting, but studies were not  carried out as the Japanese administration indicated that RDSS emissions would not present a problem</w:t>
      </w:r>
    </w:p>
    <w:p w:rsidR="00393C2B" w:rsidRPr="00B960D4" w:rsidRDefault="00393C2B" w:rsidP="00B960D4">
      <w:pPr>
        <w:jc w:val="both"/>
        <w:rPr>
          <w:szCs w:val="24"/>
        </w:rPr>
      </w:pPr>
      <w:r w:rsidRPr="00B960D4">
        <w:rPr>
          <w:szCs w:val="24"/>
        </w:rPr>
        <w:t>Radar deployment under the primary Radiolocation allocation in Region 3 should also be determined, although existing primary MSS and secondary RDSS allocations suggest this may not be an issue. A full set of characteristics for RL systems operating in this band was submitted to the ITU-R WP4C meeting (March 2010).</w:t>
      </w:r>
      <w:r w:rsidRPr="00B960D4">
        <w:rPr>
          <w:szCs w:val="24"/>
          <w:lang w:val="en-US"/>
        </w:rPr>
        <w:t xml:space="preserve"> Assessment of interference impact from the planned Galileo system of the radiodetermination-satellite service to the systems of the radiolocation service in the frequency band 2483.5 – 2500 MHz</w:t>
      </w:r>
      <w:r w:rsidRPr="00B960D4">
        <w:rPr>
          <w:szCs w:val="24"/>
        </w:rPr>
        <w:t xml:space="preserve"> were done based on that set of characteristics.</w:t>
      </w:r>
    </w:p>
    <w:p w:rsidR="00393C2B" w:rsidRPr="00B960D4" w:rsidRDefault="00393C2B" w:rsidP="00B960D4">
      <w:pPr>
        <w:jc w:val="both"/>
        <w:rPr>
          <w:szCs w:val="24"/>
        </w:rPr>
      </w:pPr>
      <w:r w:rsidRPr="00B960D4">
        <w:rPr>
          <w:szCs w:val="24"/>
        </w:rPr>
        <w:t xml:space="preserve">For all the RDSS allocations in this band, footnote No. </w:t>
      </w:r>
      <w:r w:rsidRPr="00B960D4">
        <w:rPr>
          <w:b/>
          <w:szCs w:val="24"/>
        </w:rPr>
        <w:t>5.398</w:t>
      </w:r>
      <w:r w:rsidRPr="00B960D4">
        <w:rPr>
          <w:szCs w:val="24"/>
        </w:rPr>
        <w:t xml:space="preserve"> states that No. </w:t>
      </w:r>
      <w:r w:rsidRPr="00B960D4">
        <w:rPr>
          <w:b/>
          <w:szCs w:val="24"/>
        </w:rPr>
        <w:t>4.10</w:t>
      </w:r>
      <w:r w:rsidRPr="00B960D4">
        <w:rPr>
          <w:szCs w:val="24"/>
        </w:rPr>
        <w:t xml:space="preserve"> does not apply. This means RDSS is not given special interference protection measures that are normally afforded to safety of life services; this should not impact the satellite navigation mass market applications envisaged for this band.</w:t>
      </w:r>
    </w:p>
    <w:p w:rsidR="00393C2B" w:rsidRPr="00B960D4" w:rsidRDefault="00393C2B" w:rsidP="00B960D4">
      <w:pPr>
        <w:jc w:val="both"/>
        <w:rPr>
          <w:szCs w:val="24"/>
        </w:rPr>
      </w:pPr>
    </w:p>
    <w:p w:rsidR="00393C2B" w:rsidRPr="00B960D4" w:rsidRDefault="00393C2B" w:rsidP="00B960D4">
      <w:pPr>
        <w:jc w:val="both"/>
        <w:rPr>
          <w:b/>
          <w:szCs w:val="24"/>
        </w:rPr>
      </w:pPr>
      <w:r w:rsidRPr="00B960D4">
        <w:rPr>
          <w:b/>
          <w:szCs w:val="24"/>
        </w:rPr>
        <w:t>Results of relevant CEPT and ITU-R studies:</w:t>
      </w:r>
    </w:p>
    <w:p w:rsidR="00393C2B" w:rsidRPr="00B960D4" w:rsidRDefault="00393C2B" w:rsidP="00B960D4">
      <w:pPr>
        <w:jc w:val="both"/>
        <w:rPr>
          <w:szCs w:val="24"/>
        </w:rPr>
      </w:pPr>
      <w:r w:rsidRPr="00B960D4">
        <w:rPr>
          <w:szCs w:val="24"/>
        </w:rPr>
        <w:t>SE40 has considered technical inputs on sharing between MSS, FS, RLS, MS, IMT in the above adjacent band, WLAN in the below adjacent band and RDSS. Those studies have been incorporated into the draft ECC report on compatibility studies between RDSS and other services in the band 2483,5-2500MHz, developed by SE40. This report has been adopted by the WGSE meeting in May and revised by the August 2010 SE40 meeting taking into account the different answers to the public consultation.</w:t>
      </w:r>
    </w:p>
    <w:p w:rsidR="00393C2B" w:rsidRPr="00B960D4" w:rsidRDefault="00393C2B" w:rsidP="00B960D4">
      <w:pPr>
        <w:jc w:val="both"/>
        <w:rPr>
          <w:szCs w:val="24"/>
        </w:rPr>
      </w:pPr>
    </w:p>
    <w:p w:rsidR="00393C2B" w:rsidRPr="00B960D4" w:rsidRDefault="00393C2B" w:rsidP="00B960D4">
      <w:pPr>
        <w:jc w:val="both"/>
        <w:rPr>
          <w:szCs w:val="24"/>
        </w:rPr>
      </w:pPr>
      <w:r w:rsidRPr="00B960D4">
        <w:rPr>
          <w:szCs w:val="24"/>
        </w:rPr>
        <w:lastRenderedPageBreak/>
        <w:t>Additional studies may still be presented to the CPM, to consider the possibility to keep the coordination threshold for MSS systems in Appendix 5 RR unchanged.</w:t>
      </w:r>
    </w:p>
    <w:p w:rsidR="00393C2B" w:rsidRPr="00B960D4" w:rsidRDefault="00393C2B" w:rsidP="00B960D4">
      <w:pPr>
        <w:jc w:val="both"/>
        <w:rPr>
          <w:szCs w:val="24"/>
        </w:rPr>
      </w:pP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 sharing studies with MSS</w:t>
      </w: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Globalstar, the main MSS user in this band, has been open to the prospect of a co-primary RDSS allocation and initial dialogue has been initiated. Globalstar also plans to deploy so-called MSS terrestrial repeaters in this band, which may cause detrimental interference to RDSS receivers. However, the regulatory status of such terrestrial systems is itself in question, and these are likely to be deployed only on a regional basis. Within CEPT it should be noted that FM44 will consider the regulatory issues for complementary ground components (CGC) within the band 2483.5 – 2500 MHz.</w:t>
      </w:r>
    </w:p>
    <w:p w:rsidR="00393C2B" w:rsidRPr="00B960D4" w:rsidRDefault="00393C2B" w:rsidP="00B960D4">
      <w:pPr>
        <w:rPr>
          <w:szCs w:val="24"/>
        </w:rPr>
      </w:pPr>
      <w:r w:rsidRPr="00B960D4">
        <w:rPr>
          <w:szCs w:val="24"/>
        </w:rPr>
        <w:t xml:space="preserve">Studies in section 3.2 of the Draft ECC Report show that sharing between Globalstar and an RNSS system operating with a PFD of -126 dBW/(m².MHz) is feasible. With such a power limit, the C/No ratio is barely degraded by the introduction of the Galileo system.   </w:t>
      </w:r>
    </w:p>
    <w:p w:rsidR="00393C2B" w:rsidRPr="00B960D4" w:rsidRDefault="00393C2B" w:rsidP="00B960D4">
      <w:pPr>
        <w:rPr>
          <w:szCs w:val="24"/>
        </w:rPr>
      </w:pP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 sharing studies with FS</w:t>
      </w:r>
    </w:p>
    <w:p w:rsidR="00393C2B" w:rsidRPr="00B960D4" w:rsidRDefault="00393C2B" w:rsidP="00B960D4">
      <w:pPr>
        <w:rPr>
          <w:szCs w:val="24"/>
        </w:rPr>
      </w:pPr>
      <w:r w:rsidRPr="00B960D4">
        <w:rPr>
          <w:szCs w:val="24"/>
        </w:rPr>
        <w:t>Studies in section 3.1 of the Draft ECC Report to protect FS links have been done using the FDP criteria with a value of 10% to be met. A pfd limit of -132 dBW/m²/MHz would be sufficient to provide full protection to the FS systems used by a few countries worldwide from RDSS systems that may operate in the band 2483.5-2500 MHz for all azimuth pointing angles. This limit can be further relaxed to -129 dBW/m²/MHz if the FDP criterion is to be met only in average.</w:t>
      </w:r>
    </w:p>
    <w:p w:rsidR="00393C2B" w:rsidRPr="00B960D4" w:rsidRDefault="00393C2B" w:rsidP="00B960D4">
      <w:pPr>
        <w:jc w:val="both"/>
        <w:rPr>
          <w:szCs w:val="24"/>
        </w:rPr>
      </w:pP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 sharing studies with MS</w:t>
      </w:r>
    </w:p>
    <w:p w:rsidR="00393C2B" w:rsidRPr="00B960D4" w:rsidRDefault="00393C2B" w:rsidP="00B960D4">
      <w:pPr>
        <w:rPr>
          <w:szCs w:val="24"/>
        </w:rPr>
      </w:pPr>
      <w:r w:rsidRPr="00B960D4">
        <w:rPr>
          <w:szCs w:val="24"/>
        </w:rPr>
        <w:t>Section 3.3 of the Draft ECC Report contains the studies done on the sharing between RNSS and MS systems, i.e. SAP/SAB and WIMAX.  It is noted that the use of WIMAX is limited to countries outside CEPT (mainly in North America)</w:t>
      </w:r>
    </w:p>
    <w:p w:rsidR="00393C2B" w:rsidRPr="00B960D4" w:rsidRDefault="00393C2B" w:rsidP="00B960D4">
      <w:pPr>
        <w:rPr>
          <w:szCs w:val="24"/>
        </w:rPr>
      </w:pPr>
      <w:r w:rsidRPr="00B960D4">
        <w:rPr>
          <w:szCs w:val="24"/>
        </w:rPr>
        <w:t>The general conclusion from these studies is that it is highly unlikely that SAP/SAB systems or WIMAX systems will experience interference from RDSS systems in the band 2483.5 – 2500 MHz.</w:t>
      </w:r>
    </w:p>
    <w:p w:rsidR="00393C2B" w:rsidRPr="00B960D4" w:rsidRDefault="00393C2B" w:rsidP="00B960D4">
      <w:pPr>
        <w:rPr>
          <w:szCs w:val="24"/>
        </w:rPr>
      </w:pPr>
      <w:r w:rsidRPr="00B960D4">
        <w:rPr>
          <w:szCs w:val="24"/>
        </w:rPr>
        <w:t xml:space="preserve">The </w:t>
      </w:r>
      <w:r w:rsidRPr="00B960D4" w:rsidDel="00C90889">
        <w:rPr>
          <w:szCs w:val="24"/>
        </w:rPr>
        <w:t xml:space="preserve">document </w:t>
      </w:r>
      <w:r w:rsidRPr="00B960D4">
        <w:rPr>
          <w:szCs w:val="24"/>
        </w:rPr>
        <w:t xml:space="preserve">study provides a maximum PFD value per RDSS satellites of -130 dBW/m²/MHz in order to avoid causing interference to mobile or fixed (SAP/SAB) receivers operating in the band 2483.5-2500 MHz with the same polarisation. Considering that SAP/SAB are mainly using a linear polarisation, this PFD value could be further relaxed by 2 dB at least, leading to -128 dBW/m²/MHz. </w:t>
      </w:r>
    </w:p>
    <w:p w:rsidR="00393C2B" w:rsidRPr="00B960D4" w:rsidRDefault="00393C2B" w:rsidP="00B960D4">
      <w:pPr>
        <w:rPr>
          <w:szCs w:val="24"/>
        </w:rPr>
      </w:pPr>
      <w:r w:rsidRPr="00B960D4">
        <w:rPr>
          <w:szCs w:val="24"/>
        </w:rPr>
        <w:t>It also provides a maximum PFD value per RDSS satellites of -129 dBW/m²/MHz in order to avoid causing interference to WIMAX receivers, in case of in-band scenario.</w:t>
      </w:r>
    </w:p>
    <w:p w:rsidR="00393C2B" w:rsidRPr="00B960D4" w:rsidRDefault="00393C2B" w:rsidP="00B960D4">
      <w:pPr>
        <w:jc w:val="both"/>
        <w:rPr>
          <w:szCs w:val="24"/>
        </w:rPr>
      </w:pP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 sharing studies with IMT in the adjacent band (2500-2690 MHz)</w:t>
      </w:r>
    </w:p>
    <w:p w:rsidR="00393C2B" w:rsidRPr="00B960D4" w:rsidRDefault="00393C2B" w:rsidP="00B960D4">
      <w:pPr>
        <w:jc w:val="both"/>
        <w:rPr>
          <w:szCs w:val="24"/>
        </w:rPr>
      </w:pPr>
      <w:r w:rsidRPr="00B960D4">
        <w:rPr>
          <w:szCs w:val="24"/>
        </w:rPr>
        <w:t xml:space="preserve">It should be noted that EC Decision 2008/477/EC and its ECC counter part ECC(05)05 provides the channelling arrangement and technical conditions for IMT systems and broadband mobile applications operating within the band 2500-2690 MHz in CEPT. Studies show that IMT systems will not suffer any interference from RNSS systems. Nevertheless, any modification to the RR as a consequence of A.I. 1.18 should not place undue constraints on IMT systems in the adjacent band. </w:t>
      </w:r>
    </w:p>
    <w:p w:rsidR="00393C2B" w:rsidRPr="00B960D4" w:rsidRDefault="00393C2B" w:rsidP="00B960D4">
      <w:pPr>
        <w:pStyle w:val="Heading2"/>
        <w:spacing w:before="120"/>
        <w:jc w:val="both"/>
        <w:rPr>
          <w:rFonts w:ascii="Times New Roman" w:hAnsi="Times New Roman"/>
          <w:b w:val="0"/>
          <w:sz w:val="24"/>
          <w:szCs w:val="24"/>
        </w:rPr>
      </w:pP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 sharing studies with WLAN in the adjacent band (2400-2483.5 MHz)</w:t>
      </w:r>
    </w:p>
    <w:p w:rsidR="00393C2B" w:rsidRPr="00B960D4" w:rsidRDefault="00393C2B" w:rsidP="00B960D4">
      <w:pPr>
        <w:rPr>
          <w:szCs w:val="24"/>
        </w:rPr>
      </w:pPr>
      <w:r w:rsidRPr="00B960D4">
        <w:rPr>
          <w:szCs w:val="24"/>
        </w:rPr>
        <w:t xml:space="preserve">Compatibility studies have shown that the impact from RDSS satellites on WLAN systems is negligible. </w:t>
      </w:r>
    </w:p>
    <w:p w:rsidR="00393C2B" w:rsidRPr="00B960D4" w:rsidRDefault="00393C2B" w:rsidP="00B960D4">
      <w:pPr>
        <w:rPr>
          <w:szCs w:val="24"/>
        </w:rPr>
      </w:pPr>
      <w:r w:rsidRPr="00B960D4">
        <w:rPr>
          <w:szCs w:val="24"/>
        </w:rPr>
        <w:t xml:space="preserve">Moreover, the impact on any type of RDSS receiver from WLAN systems is as follow: </w:t>
      </w:r>
    </w:p>
    <w:p w:rsidR="00393C2B" w:rsidRPr="00B960D4" w:rsidRDefault="00393C2B" w:rsidP="00B960D4">
      <w:pPr>
        <w:rPr>
          <w:szCs w:val="24"/>
        </w:rPr>
      </w:pPr>
      <w:r w:rsidRPr="00B960D4">
        <w:rPr>
          <w:szCs w:val="24"/>
        </w:rPr>
        <w:t xml:space="preserve">1) narrowband transmission: </w:t>
      </w:r>
    </w:p>
    <w:p w:rsidR="00393C2B" w:rsidRPr="00B960D4" w:rsidRDefault="00393C2B" w:rsidP="00B960D4">
      <w:pPr>
        <w:numPr>
          <w:ilvl w:val="0"/>
          <w:numId w:val="23"/>
        </w:numPr>
        <w:tabs>
          <w:tab w:val="clear" w:pos="794"/>
          <w:tab w:val="clear" w:pos="1191"/>
          <w:tab w:val="clear" w:pos="1588"/>
          <w:tab w:val="clear" w:pos="1985"/>
        </w:tabs>
        <w:overflowPunct/>
        <w:autoSpaceDE/>
        <w:autoSpaceDN/>
        <w:adjustRightInd/>
        <w:spacing w:before="0"/>
        <w:textAlignment w:val="auto"/>
        <w:rPr>
          <w:szCs w:val="24"/>
        </w:rPr>
      </w:pPr>
      <w:r w:rsidRPr="00B960D4">
        <w:rPr>
          <w:szCs w:val="24"/>
        </w:rPr>
        <w:t>calculated probability of interference in the case of urban area case varying from 1.28% to 1.46% which satisfies the interference criterion which should be met in 95% locations for mobile receivers;</w:t>
      </w:r>
    </w:p>
    <w:p w:rsidR="00393C2B" w:rsidRPr="00B960D4" w:rsidRDefault="00393C2B" w:rsidP="00B960D4">
      <w:pPr>
        <w:numPr>
          <w:ilvl w:val="0"/>
          <w:numId w:val="23"/>
        </w:numPr>
        <w:tabs>
          <w:tab w:val="clear" w:pos="794"/>
          <w:tab w:val="clear" w:pos="1191"/>
          <w:tab w:val="clear" w:pos="1588"/>
          <w:tab w:val="clear" w:pos="1985"/>
        </w:tabs>
        <w:overflowPunct/>
        <w:autoSpaceDE/>
        <w:autoSpaceDN/>
        <w:adjustRightInd/>
        <w:spacing w:before="0"/>
        <w:textAlignment w:val="auto"/>
        <w:rPr>
          <w:szCs w:val="24"/>
        </w:rPr>
      </w:pPr>
      <w:r w:rsidRPr="00B960D4">
        <w:rPr>
          <w:szCs w:val="24"/>
        </w:rPr>
        <w:t>calculated probability of interference in the case of rural area case is varying from 5.98% to 6.24% which almost satisfies the interference criterion which should be met in 95% locations for mobile receivers.</w:t>
      </w:r>
    </w:p>
    <w:p w:rsidR="00393C2B" w:rsidRPr="00B960D4" w:rsidRDefault="00393C2B" w:rsidP="00B960D4">
      <w:pPr>
        <w:rPr>
          <w:szCs w:val="24"/>
        </w:rPr>
      </w:pPr>
      <w:r w:rsidRPr="00B960D4">
        <w:rPr>
          <w:szCs w:val="24"/>
        </w:rPr>
        <w:t xml:space="preserve">2) wideband transmission: </w:t>
      </w:r>
    </w:p>
    <w:p w:rsidR="00393C2B" w:rsidRPr="00B960D4" w:rsidRDefault="00393C2B" w:rsidP="00B960D4">
      <w:pPr>
        <w:numPr>
          <w:ilvl w:val="0"/>
          <w:numId w:val="23"/>
        </w:numPr>
        <w:tabs>
          <w:tab w:val="clear" w:pos="794"/>
          <w:tab w:val="clear" w:pos="1191"/>
          <w:tab w:val="clear" w:pos="1588"/>
          <w:tab w:val="clear" w:pos="1985"/>
        </w:tabs>
        <w:overflowPunct/>
        <w:autoSpaceDE/>
        <w:autoSpaceDN/>
        <w:adjustRightInd/>
        <w:spacing w:before="0"/>
        <w:textAlignment w:val="auto"/>
        <w:rPr>
          <w:szCs w:val="24"/>
        </w:rPr>
      </w:pPr>
      <w:r w:rsidRPr="00B960D4">
        <w:rPr>
          <w:szCs w:val="24"/>
        </w:rPr>
        <w:t>calculated probability of interference in the case of urban area case varying from 1.20% to 1.43% which satisfies the interference criterion which should be met in 95% locations for mobile receivers;</w:t>
      </w:r>
    </w:p>
    <w:p w:rsidR="00393C2B" w:rsidRPr="00B960D4" w:rsidRDefault="00393C2B" w:rsidP="00B960D4">
      <w:pPr>
        <w:rPr>
          <w:szCs w:val="24"/>
        </w:rPr>
      </w:pPr>
      <w:r w:rsidRPr="00B960D4">
        <w:rPr>
          <w:szCs w:val="24"/>
        </w:rPr>
        <w:t>calculated probability of interference in the case of rural area case is varying from 4.47% to 6.01% which almost satisfies the interference criterion which should be met in 95% locations for mobile receivers.</w:t>
      </w:r>
    </w:p>
    <w:p w:rsidR="00393C2B" w:rsidRPr="00B960D4" w:rsidRDefault="00393C2B" w:rsidP="00B960D4">
      <w:pPr>
        <w:pStyle w:val="Heading2"/>
        <w:spacing w:before="120"/>
        <w:jc w:val="both"/>
        <w:rPr>
          <w:rFonts w:ascii="Times New Roman" w:hAnsi="Times New Roman"/>
          <w:b w:val="0"/>
          <w:sz w:val="24"/>
          <w:szCs w:val="24"/>
        </w:rPr>
      </w:pPr>
    </w:p>
    <w:p w:rsidR="00393C2B" w:rsidRPr="00B960D4" w:rsidRDefault="00393C2B" w:rsidP="00B960D4">
      <w:pPr>
        <w:pStyle w:val="Heading2"/>
        <w:spacing w:before="120"/>
        <w:jc w:val="both"/>
        <w:rPr>
          <w:rFonts w:ascii="Times New Roman" w:hAnsi="Times New Roman"/>
          <w:b w:val="0"/>
          <w:sz w:val="24"/>
          <w:szCs w:val="24"/>
        </w:rPr>
      </w:pPr>
      <w:r w:rsidRPr="00B960D4">
        <w:rPr>
          <w:rFonts w:ascii="Times New Roman" w:hAnsi="Times New Roman"/>
          <w:b w:val="0"/>
          <w:sz w:val="24"/>
          <w:szCs w:val="24"/>
        </w:rPr>
        <w:t>- sharing studies with RLS</w:t>
      </w:r>
    </w:p>
    <w:p w:rsidR="00393C2B" w:rsidRPr="00B960D4" w:rsidRDefault="00393C2B" w:rsidP="00B960D4">
      <w:pPr>
        <w:jc w:val="both"/>
        <w:rPr>
          <w:szCs w:val="24"/>
          <w:lang w:val="en-US"/>
        </w:rPr>
      </w:pPr>
      <w:r w:rsidRPr="00B960D4">
        <w:rPr>
          <w:szCs w:val="24"/>
        </w:rPr>
        <w:t>RLS parameters for systems in the radiolocation service are available and were included in the draft ECC report.</w:t>
      </w:r>
    </w:p>
    <w:p w:rsidR="00393C2B" w:rsidRPr="00B960D4" w:rsidRDefault="00393C2B" w:rsidP="00B960D4">
      <w:pPr>
        <w:jc w:val="both"/>
        <w:rPr>
          <w:szCs w:val="24"/>
        </w:rPr>
      </w:pPr>
      <w:r w:rsidRPr="00B960D4">
        <w:rPr>
          <w:szCs w:val="24"/>
        </w:rPr>
        <w:t>Based on these parameters, one simulation showed that RLS systems would suffer from interference with an I/N exceeding -6 dB from RDSS systems operating with a pfd limited to -129 dBW/m²/MHz for only limited portions of time.</w:t>
      </w:r>
    </w:p>
    <w:p w:rsidR="00393C2B" w:rsidRPr="00B960D4" w:rsidRDefault="00393C2B" w:rsidP="00B960D4">
      <w:pPr>
        <w:jc w:val="both"/>
        <w:rPr>
          <w:szCs w:val="24"/>
          <w:lang w:val="en-US"/>
        </w:rPr>
      </w:pPr>
    </w:p>
    <w:p w:rsidR="00393C2B" w:rsidRPr="00B960D4" w:rsidRDefault="00393C2B" w:rsidP="00B960D4">
      <w:pPr>
        <w:jc w:val="both"/>
        <w:rPr>
          <w:szCs w:val="24"/>
          <w:lang w:val="en-US"/>
        </w:rPr>
      </w:pPr>
      <w:r w:rsidRPr="00B960D4">
        <w:rPr>
          <w:szCs w:val="24"/>
          <w:lang w:val="en-US"/>
        </w:rPr>
        <w:t xml:space="preserve">Another compatibility study between the RDSS and the radiolocation service were carried out in Regions 1 and 3 indicates that if only one planned RDSS system operates </w:t>
      </w:r>
      <w:r w:rsidRPr="00B960D4">
        <w:rPr>
          <w:snapToGrid w:val="0"/>
          <w:szCs w:val="24"/>
          <w:lang w:val="en-US"/>
        </w:rPr>
        <w:t xml:space="preserve">in the frequency band </w:t>
      </w:r>
      <w:r w:rsidRPr="00B960D4">
        <w:rPr>
          <w:szCs w:val="24"/>
          <w:lang w:val="en-US"/>
        </w:rPr>
        <w:t xml:space="preserve">2483.5 - 2500 MHz </w:t>
      </w:r>
      <w:r w:rsidRPr="00B960D4">
        <w:rPr>
          <w:snapToGrid w:val="0"/>
          <w:szCs w:val="24"/>
          <w:lang w:val="en-US"/>
        </w:rPr>
        <w:t>with an EIRP of 37.3dBW from one spacecraft</w:t>
      </w:r>
      <w:r w:rsidRPr="00B960D4">
        <w:rPr>
          <w:szCs w:val="24"/>
          <w:lang w:val="en-US"/>
        </w:rPr>
        <w:t xml:space="preserve"> then the interference to the RLS will exceed the criterion I/N=-6 dB for 28.16 % of the time and it is unacceptable.</w:t>
      </w:r>
    </w:p>
    <w:p w:rsidR="00393C2B" w:rsidRPr="00B960D4" w:rsidRDefault="00393C2B" w:rsidP="00B960D4">
      <w:pPr>
        <w:jc w:val="both"/>
        <w:rPr>
          <w:szCs w:val="24"/>
        </w:rPr>
      </w:pPr>
      <w:r w:rsidRPr="00B960D4">
        <w:rPr>
          <w:szCs w:val="24"/>
          <w:lang w:val="en-US"/>
        </w:rPr>
        <w:t>Then using, for the GALILEO system, a PFD mask from one spacecraft of -159 dBW/m</w:t>
      </w:r>
      <w:r w:rsidRPr="00B960D4">
        <w:rPr>
          <w:szCs w:val="24"/>
          <w:vertAlign w:val="superscript"/>
          <w:lang w:val="en-US"/>
        </w:rPr>
        <w:t>2</w:t>
      </w:r>
      <w:r w:rsidRPr="00B960D4">
        <w:rPr>
          <w:szCs w:val="24"/>
          <w:lang w:val="en-US"/>
        </w:rPr>
        <w:t xml:space="preserve"> in 1 MHz, interference will exceed the criterion I/N= -6 dB for 1 % of the time. This study assumes that the RDSS system is using the whole 10 MHz bandwidth of the radar with a flat signal (i.e. the system is transmitting at PFD limit in every MHz of the band) which is not an operational scenario for the envisaged Galileo system. It should be noted that the required PFD mask is significantly more stringent than the considered PFD levels from one spacecraft in the planned GALILEO system. Moreover usage of a stringent PFD mask as the condition for upgrading the allocation status of the RDSS does not ensure protection of radiolocation service stations from interference caused by the RDSS because it is possible that more than one space system will operate in the RDSS.</w:t>
      </w:r>
    </w:p>
    <w:p w:rsidR="00393C2B" w:rsidRPr="00B960D4" w:rsidRDefault="00393C2B" w:rsidP="00B960D4">
      <w:pPr>
        <w:jc w:val="both"/>
        <w:rPr>
          <w:szCs w:val="24"/>
        </w:rPr>
      </w:pPr>
      <w:r w:rsidRPr="00B960D4">
        <w:rPr>
          <w:szCs w:val="24"/>
        </w:rPr>
        <w:t>In addition, it should also be noted that one MSS system was successfully operated in this band with a pfd of -126 dBW/m²/MHz in countries operating RLS systems for many years, without any complaint for harmful interference but with some particular conditions.</w:t>
      </w:r>
    </w:p>
    <w:p w:rsidR="00393C2B" w:rsidRPr="00B960D4" w:rsidRDefault="00393C2B" w:rsidP="00B960D4">
      <w:pPr>
        <w:jc w:val="both"/>
        <w:rPr>
          <w:szCs w:val="24"/>
          <w:lang w:val="en-US"/>
        </w:rPr>
      </w:pPr>
      <w:r w:rsidRPr="00B960D4">
        <w:rPr>
          <w:szCs w:val="24"/>
          <w:lang w:val="en-US"/>
        </w:rPr>
        <w:lastRenderedPageBreak/>
        <w:t>The existing situation is similar to the study results under WRC-03 agenda item 1.15 when the compatibility between RNSS and the radiolocation service was analyzed in the frequency band 1215-1300 MHz. At that time it was difficult to explain that both services could be compatible as studies showed that even the existing RNSS systems should have caused interference exceeding the protection criteria of the radiolocation service. As a result an additional regulatory option was created: the RNSS should not cause harmful interference to the radiolocation service.</w:t>
      </w:r>
    </w:p>
    <w:p w:rsidR="00393C2B" w:rsidRPr="00B960D4" w:rsidRDefault="00393C2B" w:rsidP="00B960D4">
      <w:pPr>
        <w:jc w:val="both"/>
        <w:rPr>
          <w:szCs w:val="24"/>
          <w:lang w:val="en-US"/>
        </w:rPr>
      </w:pPr>
    </w:p>
    <w:p w:rsidR="00393C2B" w:rsidRPr="00B960D4" w:rsidRDefault="00393C2B" w:rsidP="00B960D4">
      <w:pPr>
        <w:jc w:val="both"/>
        <w:rPr>
          <w:szCs w:val="24"/>
        </w:rPr>
      </w:pPr>
      <w:r w:rsidRPr="00B960D4">
        <w:rPr>
          <w:szCs w:val="24"/>
        </w:rPr>
        <w:t>- Conclusion</w:t>
      </w:r>
    </w:p>
    <w:p w:rsidR="00393C2B" w:rsidRPr="00B960D4" w:rsidRDefault="00393C2B" w:rsidP="00B960D4">
      <w:pPr>
        <w:jc w:val="both"/>
        <w:rPr>
          <w:szCs w:val="24"/>
        </w:rPr>
      </w:pPr>
      <w:r w:rsidRPr="00B960D4">
        <w:rPr>
          <w:szCs w:val="24"/>
        </w:rPr>
        <w:t xml:space="preserve">Results of the Report indicate that </w:t>
      </w:r>
      <w:r w:rsidRPr="00B960D4">
        <w:rPr>
          <w:szCs w:val="24"/>
          <w:lang w:val="en-US"/>
        </w:rPr>
        <w:t>current services except RLS may be protected by a new coordination threshold of -129 dBW/m</w:t>
      </w:r>
      <w:r w:rsidRPr="00B960D4">
        <w:rPr>
          <w:szCs w:val="24"/>
          <w:vertAlign w:val="superscript"/>
          <w:lang w:val="en-US"/>
        </w:rPr>
        <w:t>2</w:t>
      </w:r>
      <w:r w:rsidRPr="00B960D4">
        <w:rPr>
          <w:szCs w:val="24"/>
          <w:lang w:val="en-US"/>
        </w:rPr>
        <w:t xml:space="preserve">/MHz for RDSS systems in the 2483.5-2500 MHz frequency band. To protect the radiolocation service a mechanism similar to that established in No. </w:t>
      </w:r>
      <w:r w:rsidRPr="00B960D4">
        <w:rPr>
          <w:b/>
          <w:szCs w:val="24"/>
          <w:lang w:val="en-US"/>
        </w:rPr>
        <w:t>5.399</w:t>
      </w:r>
      <w:r w:rsidRPr="00B960D4">
        <w:rPr>
          <w:szCs w:val="24"/>
          <w:lang w:val="en-US"/>
        </w:rPr>
        <w:t xml:space="preserve"> (RDSS shall not cause interference to RLS, nor claim protection from RLS) may be considered. </w:t>
      </w:r>
    </w:p>
    <w:p w:rsidR="00393C2B" w:rsidRPr="00B960D4" w:rsidRDefault="00393C2B" w:rsidP="00B960D4">
      <w:pPr>
        <w:jc w:val="both"/>
        <w:rPr>
          <w:szCs w:val="24"/>
          <w:lang w:val="en-US"/>
        </w:rPr>
      </w:pPr>
      <w:r w:rsidRPr="00B960D4">
        <w:rPr>
          <w:szCs w:val="24"/>
          <w:lang w:val="en-US"/>
        </w:rPr>
        <w:t xml:space="preserve"> </w:t>
      </w:r>
    </w:p>
    <w:p w:rsidR="00393C2B" w:rsidRPr="00B960D4" w:rsidRDefault="00393C2B" w:rsidP="00B960D4">
      <w:pPr>
        <w:jc w:val="both"/>
        <w:rPr>
          <w:szCs w:val="24"/>
          <w:lang w:val="en-US"/>
        </w:rPr>
      </w:pPr>
      <w:r w:rsidRPr="00B960D4">
        <w:rPr>
          <w:szCs w:val="24"/>
          <w:lang w:val="en-US"/>
        </w:rPr>
        <w:t xml:space="preserve">Currently No. 5.399 and No. </w:t>
      </w:r>
      <w:r w:rsidRPr="00B960D4">
        <w:rPr>
          <w:b/>
          <w:szCs w:val="24"/>
          <w:lang w:val="en-US"/>
        </w:rPr>
        <w:t>5.400</w:t>
      </w:r>
      <w:r w:rsidRPr="00B960D4">
        <w:rPr>
          <w:szCs w:val="24"/>
          <w:lang w:val="en-US"/>
        </w:rPr>
        <w:t xml:space="preserve"> ensures the protection of the radiolocation service stations. No. </w:t>
      </w:r>
      <w:r w:rsidRPr="00B960D4">
        <w:rPr>
          <w:b/>
          <w:szCs w:val="24"/>
          <w:lang w:val="en-US"/>
        </w:rPr>
        <w:t>5.400</w:t>
      </w:r>
      <w:r w:rsidRPr="00B960D4">
        <w:rPr>
          <w:szCs w:val="24"/>
          <w:lang w:val="en-US"/>
        </w:rPr>
        <w:t xml:space="preserve"> specifies that No. </w:t>
      </w:r>
      <w:r w:rsidRPr="00B960D4">
        <w:rPr>
          <w:b/>
          <w:szCs w:val="24"/>
          <w:lang w:val="en-US"/>
        </w:rPr>
        <w:t>9.21</w:t>
      </w:r>
      <w:r w:rsidRPr="00B960D4">
        <w:rPr>
          <w:szCs w:val="24"/>
          <w:lang w:val="en-US"/>
        </w:rPr>
        <w:t xml:space="preserve"> applies to the listed countries where the frequency band is allocated to RDSS on a primary basis. </w:t>
      </w:r>
    </w:p>
    <w:p w:rsidR="00393C2B" w:rsidRPr="00B960D4" w:rsidRDefault="00393C2B" w:rsidP="00B960D4">
      <w:pPr>
        <w:jc w:val="both"/>
        <w:rPr>
          <w:szCs w:val="24"/>
          <w:lang w:val="en-US"/>
        </w:rPr>
      </w:pPr>
      <w:r w:rsidRPr="00B960D4">
        <w:rPr>
          <w:szCs w:val="24"/>
          <w:lang w:val="en-US"/>
        </w:rPr>
        <w:t>Due to the fact that upgrading of the allocation status of the RDSS breaches the existing regulatory relation between the RDSS and the radiolocation service in Region 1 (see No. 5.</w:t>
      </w:r>
      <w:r w:rsidRPr="00B960D4">
        <w:rPr>
          <w:b/>
          <w:szCs w:val="24"/>
          <w:lang w:val="en-US"/>
        </w:rPr>
        <w:t>399</w:t>
      </w:r>
      <w:r w:rsidRPr="00B960D4">
        <w:rPr>
          <w:szCs w:val="24"/>
          <w:lang w:val="en-US"/>
        </w:rPr>
        <w:t xml:space="preserve">) and in Region 3 (see Table of frequency allocations), further consideration is needed in order to keep the current status for Region 3 and for the countries using Radiolocation in Region 1. In this case RLS protection would be provided by keeping the existing regulatory relation between RDSS and RLS in Region 1 subject to No. </w:t>
      </w:r>
      <w:r w:rsidRPr="00B960D4">
        <w:rPr>
          <w:b/>
          <w:szCs w:val="24"/>
          <w:lang w:val="en-US"/>
        </w:rPr>
        <w:t>5.399</w:t>
      </w:r>
      <w:r w:rsidRPr="00B960D4">
        <w:rPr>
          <w:szCs w:val="24"/>
          <w:lang w:val="en-US"/>
        </w:rPr>
        <w:t xml:space="preserve"> and by extending No. </w:t>
      </w:r>
      <w:r w:rsidRPr="00B960D4">
        <w:rPr>
          <w:b/>
          <w:szCs w:val="24"/>
          <w:lang w:val="en-US"/>
        </w:rPr>
        <w:t>5.399</w:t>
      </w:r>
      <w:r w:rsidRPr="00B960D4">
        <w:rPr>
          <w:szCs w:val="24"/>
          <w:lang w:val="en-US"/>
        </w:rPr>
        <w:t xml:space="preserve"> provisions to Region 3. CEPT might consider the fact that some administrations of Region 3 might also want to be included in No. </w:t>
      </w:r>
      <w:r w:rsidRPr="00B960D4">
        <w:rPr>
          <w:b/>
          <w:szCs w:val="24"/>
          <w:lang w:val="en-US"/>
        </w:rPr>
        <w:t>5.399</w:t>
      </w:r>
      <w:r w:rsidRPr="00B960D4">
        <w:rPr>
          <w:szCs w:val="24"/>
          <w:lang w:val="en-US"/>
        </w:rPr>
        <w:t xml:space="preserve"> for the protection of RLS on their territory.</w:t>
      </w:r>
    </w:p>
    <w:p w:rsidR="00393C2B" w:rsidRPr="00B960D4" w:rsidRDefault="00393C2B" w:rsidP="00B960D4">
      <w:pPr>
        <w:jc w:val="both"/>
        <w:rPr>
          <w:szCs w:val="24"/>
          <w:lang w:val="en-US"/>
        </w:rPr>
      </w:pPr>
    </w:p>
    <w:p w:rsidR="00393C2B" w:rsidRPr="00393C2B" w:rsidRDefault="00B43395" w:rsidP="00B960D4">
      <w:pPr>
        <w:jc w:val="both"/>
        <w:rPr>
          <w:rPrChange w:id="2" w:author="guerina" w:date="2011-09-07T16:09:00Z">
            <w:rPr>
              <w:lang w:val="en-US"/>
            </w:rPr>
          </w:rPrChange>
        </w:rPr>
      </w:pPr>
      <w:r w:rsidRPr="00B43395">
        <w:rPr>
          <w:rPrChange w:id="3" w:author="guerina" w:date="2011-09-07T16:09:00Z">
            <w:rPr>
              <w:lang w:val="en-US"/>
            </w:rPr>
          </w:rPrChange>
        </w:rPr>
        <w:t xml:space="preserve">One of the options in the current CPM text proposes a 4 dB relaxation in the current threshold coordination trigger level for MSS (-126dBW/m²/MHz). However, currently </w:t>
      </w:r>
      <w:del w:id="4" w:author="guerina" w:date="2011-09-07T16:06:00Z">
        <w:r w:rsidRPr="00B43395">
          <w:rPr>
            <w:rPrChange w:id="5" w:author="guerina" w:date="2011-09-07T16:09:00Z">
              <w:rPr>
                <w:lang w:val="en-US"/>
              </w:rPr>
            </w:rPrChange>
          </w:rPr>
          <w:delText xml:space="preserve">no </w:delText>
        </w:r>
      </w:del>
      <w:ins w:id="6" w:author="guerina" w:date="2011-09-07T16:06:00Z">
        <w:r w:rsidRPr="00B43395">
          <w:rPr>
            <w:rPrChange w:id="7" w:author="guerina" w:date="2011-09-07T16:09:00Z">
              <w:rPr>
                <w:lang w:val="en-US"/>
              </w:rPr>
            </w:rPrChange>
          </w:rPr>
          <w:t xml:space="preserve">not all </w:t>
        </w:r>
      </w:ins>
      <w:r w:rsidRPr="00B43395">
        <w:rPr>
          <w:rPrChange w:id="8" w:author="guerina" w:date="2011-09-07T16:09:00Z">
            <w:rPr>
              <w:lang w:val="en-US"/>
            </w:rPr>
          </w:rPrChange>
        </w:rPr>
        <w:t xml:space="preserve">studies have been provided to assess the feasibility of such relaxation, in relation with the existing services. </w:t>
      </w:r>
      <w:del w:id="9" w:author="guerina" w:date="2011-09-07T16:07:00Z">
        <w:r w:rsidRPr="00B43395">
          <w:rPr>
            <w:rPrChange w:id="10" w:author="guerina" w:date="2011-09-07T16:09:00Z">
              <w:rPr>
                <w:lang w:val="en-US"/>
              </w:rPr>
            </w:rPrChange>
          </w:rPr>
          <w:delText>Therefore some CEPT administrations propose to keep the coordination threshold for MSS unchanged. An action has been taken to determine whether CEPT can support this relaxation or not.</w:delText>
        </w:r>
      </w:del>
    </w:p>
    <w:p w:rsidR="00393C2B" w:rsidRPr="00B960D4" w:rsidRDefault="00B43395" w:rsidP="00B960D4">
      <w:pPr>
        <w:jc w:val="both"/>
      </w:pPr>
      <w:ins w:id="11" w:author="guerina" w:date="2011-09-07T16:07:00Z">
        <w:r>
          <w:t>CEPT believes that no change is required to the MSS coordination threshold. However, to reduce the slight degradation of Globalstar C/N, CEPT may be opened to discuss a limited increase of the MSS threshold provided that not more than 3dB difference between the RDSS and the MSS coordination threshold are introduced in the Appendix 5 of the RR.</w:t>
        </w:r>
      </w:ins>
    </w:p>
    <w:p w:rsidR="00393C2B" w:rsidRPr="00B960D4" w:rsidRDefault="00B43395" w:rsidP="00B960D4">
      <w:pPr>
        <w:jc w:val="both"/>
      </w:pPr>
      <w:r>
        <w:t xml:space="preserve">As changes to the RR are not retroactive unless explicitly defined, the CEPT proposals </w:t>
      </w:r>
      <w:r w:rsidR="00393C2B" w:rsidRPr="00B960D4">
        <w:t>will have no impact on existing RDSS systems in Region 3 or those already submitted to the ITU.</w:t>
      </w:r>
    </w:p>
    <w:p w:rsidR="00393C2B" w:rsidRPr="00B960D4" w:rsidRDefault="00393C2B" w:rsidP="00B960D4">
      <w:pPr>
        <w:jc w:val="both"/>
        <w:rPr>
          <w:szCs w:val="24"/>
        </w:rPr>
      </w:pPr>
    </w:p>
    <w:p w:rsidR="00393C2B" w:rsidRPr="00B960D4" w:rsidRDefault="00393C2B" w:rsidP="00B960D4">
      <w:pPr>
        <w:jc w:val="both"/>
        <w:rPr>
          <w:szCs w:val="24"/>
          <w:lang w:val="en-US"/>
        </w:rPr>
      </w:pPr>
    </w:p>
    <w:p w:rsidR="00393C2B" w:rsidRPr="00B960D4" w:rsidRDefault="00393C2B" w:rsidP="00B960D4">
      <w:pPr>
        <w:jc w:val="both"/>
        <w:rPr>
          <w:szCs w:val="24"/>
        </w:rPr>
      </w:pPr>
    </w:p>
    <w:p w:rsidR="00393C2B" w:rsidRPr="00B960D4" w:rsidRDefault="00393C2B" w:rsidP="00B960D4">
      <w:pPr>
        <w:jc w:val="both"/>
        <w:rPr>
          <w:b/>
          <w:szCs w:val="24"/>
        </w:rPr>
      </w:pPr>
      <w:r w:rsidRPr="00B960D4">
        <w:rPr>
          <w:b/>
          <w:szCs w:val="24"/>
        </w:rPr>
        <w:t>List of relevant documents</w:t>
      </w:r>
    </w:p>
    <w:p w:rsidR="00393C2B" w:rsidRPr="00B960D4" w:rsidRDefault="00393C2B" w:rsidP="00B960D4">
      <w:pPr>
        <w:jc w:val="both"/>
        <w:rPr>
          <w:szCs w:val="24"/>
        </w:rPr>
      </w:pPr>
      <w:r w:rsidRPr="00B960D4">
        <w:rPr>
          <w:szCs w:val="24"/>
        </w:rPr>
        <w:t>“Draft ECC Report 150 on compatibility studies between RDSS and other services in the band 2483.5-2500 MHz”</w:t>
      </w:r>
    </w:p>
    <w:p w:rsidR="00393C2B" w:rsidRPr="00B960D4" w:rsidRDefault="00393C2B" w:rsidP="00B960D4">
      <w:pPr>
        <w:jc w:val="both"/>
        <w:rPr>
          <w:szCs w:val="24"/>
        </w:rPr>
      </w:pPr>
      <w:r w:rsidRPr="00B960D4">
        <w:rPr>
          <w:szCs w:val="24"/>
        </w:rPr>
        <w:lastRenderedPageBreak/>
        <w:t>Annex 02 of document 4C/522: “Draft CPM text on WRC-12 Agenda item 1.18”</w:t>
      </w:r>
    </w:p>
    <w:p w:rsidR="00393C2B" w:rsidRPr="00B960D4" w:rsidRDefault="00393C2B" w:rsidP="00B960D4">
      <w:pPr>
        <w:jc w:val="both"/>
        <w:rPr>
          <w:szCs w:val="24"/>
        </w:rPr>
      </w:pPr>
    </w:p>
    <w:p w:rsidR="00393C2B" w:rsidRPr="00B960D4" w:rsidRDefault="00393C2B" w:rsidP="00B960D4">
      <w:pPr>
        <w:jc w:val="both"/>
        <w:rPr>
          <w:b/>
          <w:szCs w:val="24"/>
        </w:rPr>
      </w:pPr>
      <w:r w:rsidRPr="00B960D4">
        <w:rPr>
          <w:b/>
          <w:szCs w:val="24"/>
        </w:rPr>
        <w:t>Actions to be taken</w:t>
      </w:r>
    </w:p>
    <w:p w:rsidR="00393C2B" w:rsidRPr="00B960D4" w:rsidDel="00B960D4" w:rsidRDefault="00393C2B" w:rsidP="00B960D4">
      <w:pPr>
        <w:numPr>
          <w:ilvl w:val="0"/>
          <w:numId w:val="22"/>
          <w:numberingChange w:id="12" w:author="guerina" w:date="2011-09-07T16:03:00Z" w:original="-"/>
        </w:numPr>
        <w:suppressAutoHyphens/>
        <w:autoSpaceDN/>
        <w:adjustRightInd/>
        <w:jc w:val="both"/>
        <w:rPr>
          <w:del w:id="13" w:author="guerina" w:date="2011-09-07T16:09:00Z"/>
          <w:szCs w:val="24"/>
        </w:rPr>
      </w:pPr>
      <w:del w:id="14" w:author="guerina" w:date="2011-09-07T16:09:00Z">
        <w:r w:rsidRPr="00B960D4" w:rsidDel="00B960D4">
          <w:rPr>
            <w:szCs w:val="24"/>
          </w:rPr>
          <w:delText>Develop the ECP supporting the global RDSS allocation</w:delText>
        </w:r>
      </w:del>
    </w:p>
    <w:p w:rsidR="00393C2B" w:rsidRPr="00B960D4" w:rsidDel="00B960D4" w:rsidRDefault="00393C2B" w:rsidP="00B960D4">
      <w:pPr>
        <w:numPr>
          <w:ilvl w:val="0"/>
          <w:numId w:val="22"/>
          <w:numberingChange w:id="15" w:author="guerina" w:date="2011-09-07T16:03:00Z" w:original="-"/>
        </w:numPr>
        <w:suppressAutoHyphens/>
        <w:autoSpaceDN/>
        <w:adjustRightInd/>
        <w:jc w:val="both"/>
        <w:rPr>
          <w:del w:id="16" w:author="guerina" w:date="2011-09-07T16:09:00Z"/>
          <w:szCs w:val="24"/>
        </w:rPr>
      </w:pPr>
      <w:del w:id="17" w:author="guerina" w:date="2011-09-07T16:09:00Z">
        <w:r w:rsidRPr="00B960D4" w:rsidDel="00B960D4">
          <w:rPr>
            <w:szCs w:val="24"/>
          </w:rPr>
          <w:delText>Determine whether CEPT would support or not the increase of the MSS coordination threshold as asked by Globalstar. (Studies might be needed to assess the impact of such a decision)</w:delText>
        </w:r>
      </w:del>
    </w:p>
    <w:p w:rsidR="00393C2B" w:rsidRPr="00B960D4" w:rsidRDefault="00393C2B" w:rsidP="00B960D4">
      <w:pPr>
        <w:pStyle w:val="Heading2"/>
        <w:spacing w:before="120"/>
        <w:jc w:val="both"/>
        <w:rPr>
          <w:rFonts w:ascii="Times New Roman" w:hAnsi="Times New Roman"/>
          <w:sz w:val="24"/>
          <w:szCs w:val="24"/>
        </w:rPr>
      </w:pPr>
    </w:p>
    <w:p w:rsidR="00393C2B" w:rsidRPr="00B960D4" w:rsidRDefault="00393C2B" w:rsidP="00B960D4">
      <w:pPr>
        <w:pStyle w:val="Heading2"/>
        <w:spacing w:before="120"/>
        <w:rPr>
          <w:rFonts w:ascii="Times New Roman" w:hAnsi="Times New Roman"/>
          <w:sz w:val="24"/>
          <w:szCs w:val="24"/>
        </w:rPr>
      </w:pPr>
      <w:r w:rsidRPr="00B960D4">
        <w:rPr>
          <w:rFonts w:ascii="Times New Roman" w:hAnsi="Times New Roman"/>
          <w:sz w:val="24"/>
          <w:szCs w:val="24"/>
        </w:rPr>
        <w:t>Relevant information from outside CEPT</w:t>
      </w:r>
    </w:p>
    <w:p w:rsidR="00393C2B" w:rsidRPr="00B960D4" w:rsidRDefault="00393C2B" w:rsidP="00B960D4">
      <w:pPr>
        <w:rPr>
          <w:b/>
          <w:i/>
          <w:szCs w:val="24"/>
        </w:rPr>
      </w:pPr>
    </w:p>
    <w:p w:rsidR="00393C2B" w:rsidRPr="00B960D4" w:rsidRDefault="00393C2B" w:rsidP="00B960D4">
      <w:pPr>
        <w:rPr>
          <w:b/>
          <w:i/>
          <w:szCs w:val="24"/>
        </w:rPr>
      </w:pPr>
      <w:r w:rsidRPr="00B960D4">
        <w:rPr>
          <w:b/>
          <w:i/>
          <w:szCs w:val="24"/>
        </w:rPr>
        <w:t>European Union</w:t>
      </w:r>
    </w:p>
    <w:p w:rsidR="00393C2B" w:rsidRPr="00B960D4" w:rsidRDefault="00393C2B" w:rsidP="00B960D4">
      <w:pPr>
        <w:rPr>
          <w:szCs w:val="24"/>
        </w:rPr>
      </w:pPr>
      <w:r w:rsidRPr="00B960D4">
        <w:rPr>
          <w:szCs w:val="24"/>
        </w:rPr>
        <w:t>The European commission strongly supports the opening up of this band for use by Galileo and other RNSS systems.</w:t>
      </w:r>
    </w:p>
    <w:p w:rsidR="00393C2B" w:rsidRPr="00B960D4" w:rsidRDefault="00393C2B" w:rsidP="00B960D4">
      <w:pPr>
        <w:rPr>
          <w:b/>
          <w:i/>
          <w:szCs w:val="24"/>
        </w:rPr>
      </w:pPr>
      <w:r w:rsidRPr="00B960D4">
        <w:rPr>
          <w:b/>
          <w:i/>
          <w:szCs w:val="24"/>
        </w:rPr>
        <w:t>Regional telecommunication organisations</w:t>
      </w:r>
    </w:p>
    <w:p w:rsidR="00393C2B" w:rsidRPr="00B960D4" w:rsidRDefault="00393C2B" w:rsidP="00B960D4">
      <w:pPr>
        <w:rPr>
          <w:szCs w:val="24"/>
        </w:rPr>
      </w:pPr>
    </w:p>
    <w:p w:rsidR="00393C2B" w:rsidRPr="00B960D4" w:rsidRDefault="00393C2B" w:rsidP="00B960D4">
      <w:pPr>
        <w:rPr>
          <w:b/>
          <w:szCs w:val="24"/>
        </w:rPr>
      </w:pPr>
      <w:r w:rsidRPr="00B960D4">
        <w:rPr>
          <w:b/>
          <w:szCs w:val="24"/>
        </w:rPr>
        <w:t>APT (March 2010)</w:t>
      </w:r>
    </w:p>
    <w:p w:rsidR="00393C2B" w:rsidRPr="00B960D4" w:rsidRDefault="00393C2B" w:rsidP="00B960D4">
      <w:pPr>
        <w:rPr>
          <w:szCs w:val="24"/>
        </w:rPr>
      </w:pPr>
      <w:r w:rsidRPr="00B960D4">
        <w:rPr>
          <w:szCs w:val="24"/>
        </w:rPr>
        <w:t>The APT members support a worldwide primary radiodetermination-satellite service (space-to-Earth) allocation subject to the condition that ITU-R studies confirm that the required protection to incumbent services using existing primary allocations in the 2 483.5-2 500 MHz band can be met.</w:t>
      </w:r>
    </w:p>
    <w:p w:rsidR="00393C2B" w:rsidRPr="00B960D4" w:rsidRDefault="00393C2B" w:rsidP="00B960D4">
      <w:pPr>
        <w:rPr>
          <w:szCs w:val="24"/>
        </w:rPr>
      </w:pPr>
    </w:p>
    <w:p w:rsidR="00393C2B" w:rsidRPr="00B960D4" w:rsidRDefault="00393C2B" w:rsidP="00B960D4">
      <w:pPr>
        <w:rPr>
          <w:b/>
          <w:szCs w:val="24"/>
        </w:rPr>
      </w:pPr>
      <w:r w:rsidRPr="00B960D4">
        <w:rPr>
          <w:b/>
          <w:szCs w:val="24"/>
        </w:rPr>
        <w:t>ATU Preliminary views (September 2009)</w:t>
      </w:r>
    </w:p>
    <w:p w:rsidR="00393C2B" w:rsidRPr="00B960D4" w:rsidRDefault="00393C2B" w:rsidP="00B960D4">
      <w:pPr>
        <w:rPr>
          <w:szCs w:val="24"/>
        </w:rPr>
      </w:pPr>
      <w:r w:rsidRPr="00B960D4">
        <w:rPr>
          <w:b/>
          <w:szCs w:val="24"/>
        </w:rPr>
        <w:t xml:space="preserve">East Africa - </w:t>
      </w:r>
      <w:r w:rsidRPr="00B960D4">
        <w:rPr>
          <w:szCs w:val="24"/>
        </w:rPr>
        <w:t>Considering the importance of radiodetermination-satellite service (RDSS), the EAC administrations support  a global primary allocation for RDSS in the band 2 483.5-2 500 MHz (space-to-Earth), as long as further studies are done and demonstrate that RDSS won’t cause interference to the existing services.</w:t>
      </w:r>
    </w:p>
    <w:p w:rsidR="00393C2B" w:rsidRPr="00B960D4" w:rsidRDefault="00393C2B" w:rsidP="00B960D4">
      <w:pPr>
        <w:rPr>
          <w:szCs w:val="24"/>
        </w:rPr>
      </w:pPr>
      <w:r w:rsidRPr="00B960D4">
        <w:rPr>
          <w:b/>
          <w:bCs/>
          <w:szCs w:val="24"/>
        </w:rPr>
        <w:t>Southern Africa</w:t>
      </w:r>
      <w:r w:rsidRPr="00B960D4">
        <w:rPr>
          <w:szCs w:val="24"/>
        </w:rPr>
        <w:t xml:space="preserve"> - SADC could support the extension of the current Region 2/3 RDSS allocations to Region 1 provided that the existing systems are protected</w:t>
      </w:r>
    </w:p>
    <w:p w:rsidR="00393C2B" w:rsidRPr="00B960D4" w:rsidRDefault="00393C2B" w:rsidP="00B960D4">
      <w:pPr>
        <w:rPr>
          <w:szCs w:val="24"/>
        </w:rPr>
      </w:pPr>
    </w:p>
    <w:p w:rsidR="00393C2B" w:rsidRPr="00B960D4" w:rsidRDefault="00393C2B" w:rsidP="00B960D4">
      <w:pPr>
        <w:rPr>
          <w:b/>
          <w:szCs w:val="24"/>
        </w:rPr>
      </w:pPr>
      <w:r w:rsidRPr="00B960D4">
        <w:rPr>
          <w:b/>
          <w:szCs w:val="24"/>
        </w:rPr>
        <w:t>Arab Group (September 2009)</w:t>
      </w:r>
    </w:p>
    <w:p w:rsidR="00393C2B" w:rsidRPr="00B960D4" w:rsidRDefault="00393C2B" w:rsidP="00B960D4">
      <w:pPr>
        <w:rPr>
          <w:szCs w:val="24"/>
        </w:rPr>
      </w:pPr>
      <w:r w:rsidRPr="00B960D4">
        <w:rPr>
          <w:szCs w:val="24"/>
        </w:rPr>
        <w:t>Further studies on the feasibility of sharing between RDSS &amp; other primary services in this band</w:t>
      </w:r>
    </w:p>
    <w:p w:rsidR="00393C2B" w:rsidRPr="00B960D4" w:rsidRDefault="00393C2B" w:rsidP="00B960D4">
      <w:pPr>
        <w:rPr>
          <w:szCs w:val="24"/>
        </w:rPr>
      </w:pPr>
      <w:r w:rsidRPr="00B960D4">
        <w:rPr>
          <w:szCs w:val="24"/>
        </w:rPr>
        <w:t>Ensure adequate and appropriate protection of all the services in the mentioned band</w:t>
      </w:r>
    </w:p>
    <w:p w:rsidR="00393C2B" w:rsidRPr="00B960D4" w:rsidRDefault="00393C2B" w:rsidP="00B960D4">
      <w:pPr>
        <w:rPr>
          <w:szCs w:val="24"/>
        </w:rPr>
      </w:pPr>
    </w:p>
    <w:p w:rsidR="00393C2B" w:rsidRPr="00B960D4" w:rsidRDefault="00393C2B" w:rsidP="00B960D4">
      <w:pPr>
        <w:rPr>
          <w:szCs w:val="24"/>
        </w:rPr>
      </w:pPr>
      <w:r w:rsidRPr="00B960D4">
        <w:rPr>
          <w:b/>
          <w:bCs/>
          <w:szCs w:val="24"/>
        </w:rPr>
        <w:t>CITEL - (December 2010)</w:t>
      </w:r>
    </w:p>
    <w:p w:rsidR="00393C2B" w:rsidRPr="00B960D4" w:rsidRDefault="00393C2B" w:rsidP="00B960D4">
      <w:pPr>
        <w:rPr>
          <w:b/>
          <w:bCs/>
          <w:szCs w:val="24"/>
          <w:lang w:val="en-CA"/>
        </w:rPr>
      </w:pPr>
      <w:r w:rsidRPr="00B960D4">
        <w:rPr>
          <w:b/>
          <w:bCs/>
          <w:szCs w:val="24"/>
          <w:lang w:val="en-US"/>
        </w:rPr>
        <w:t xml:space="preserve">Draft Inter-American Proposal </w:t>
      </w:r>
      <w:r w:rsidRPr="00B960D4">
        <w:rPr>
          <w:b/>
          <w:bCs/>
          <w:szCs w:val="24"/>
          <w:lang w:val="en-CA"/>
        </w:rPr>
        <w:t>([CAN]Mexico</w:t>
      </w:r>
      <w:r w:rsidRPr="00B960D4">
        <w:rPr>
          <w:b/>
          <w:bCs/>
          <w:szCs w:val="24"/>
          <w:lang w:val="en-US"/>
        </w:rPr>
        <w:t>, USA)</w:t>
      </w:r>
    </w:p>
    <w:p w:rsidR="00393C2B" w:rsidRPr="00B960D4" w:rsidRDefault="00393C2B" w:rsidP="00B960D4">
      <w:pPr>
        <w:numPr>
          <w:ilvl w:val="0"/>
          <w:numId w:val="24"/>
        </w:numPr>
        <w:suppressAutoHyphens/>
        <w:autoSpaceDN/>
        <w:adjustRightInd/>
        <w:rPr>
          <w:szCs w:val="24"/>
          <w:lang w:val="en-AU"/>
        </w:rPr>
      </w:pPr>
      <w:r w:rsidRPr="00B960D4">
        <w:rPr>
          <w:szCs w:val="24"/>
          <w:lang w:val="en-AU"/>
        </w:rPr>
        <w:t xml:space="preserve">No </w:t>
      </w:r>
      <w:r w:rsidRPr="00B960D4">
        <w:rPr>
          <w:szCs w:val="24"/>
          <w:lang w:val="en-US"/>
        </w:rPr>
        <w:t>proposals are made with respect</w:t>
      </w:r>
      <w:r w:rsidRPr="00B960D4">
        <w:rPr>
          <w:szCs w:val="24"/>
          <w:lang w:val="en-AU"/>
        </w:rPr>
        <w:t xml:space="preserve"> to the Table of Frequency Allocations in the band 2483.5</w:t>
      </w:r>
      <w:r w:rsidRPr="00B960D4">
        <w:rPr>
          <w:szCs w:val="24"/>
          <w:lang w:val="en-AU"/>
        </w:rPr>
        <w:noBreakHyphen/>
        <w:t>2500 MHz because RDSS (s-e) is primary in Region 2, but it is presumed that WRC-12 under Agenda Item 1.18 will allocate this band to the Radiodetermination-satellite (space-to-Earth) on the primary bases in Regions 1 and 3</w:t>
      </w:r>
    </w:p>
    <w:p w:rsidR="00393C2B" w:rsidRPr="00B960D4" w:rsidRDefault="00393C2B" w:rsidP="00B960D4">
      <w:pPr>
        <w:numPr>
          <w:ilvl w:val="0"/>
          <w:numId w:val="24"/>
        </w:numPr>
        <w:suppressAutoHyphens/>
        <w:autoSpaceDN/>
        <w:adjustRightInd/>
        <w:rPr>
          <w:szCs w:val="24"/>
          <w:lang w:val="en-AU"/>
        </w:rPr>
      </w:pPr>
      <w:r w:rsidRPr="00B960D4">
        <w:rPr>
          <w:szCs w:val="24"/>
          <w:lang w:val="en-US"/>
        </w:rPr>
        <w:t>MOD the MSS (s-e) coordination trigger pfd in Table 5-2 of Annex 1 of Appendix 5</w:t>
      </w:r>
      <w:r w:rsidRPr="00B960D4">
        <w:rPr>
          <w:szCs w:val="24"/>
          <w:lang w:val="en-AU"/>
        </w:rPr>
        <w:t xml:space="preserve">.  RDSS (s-e) </w:t>
      </w:r>
      <w:r w:rsidRPr="00B960D4">
        <w:rPr>
          <w:szCs w:val="24"/>
          <w:lang w:val="en-US"/>
        </w:rPr>
        <w:t xml:space="preserve">could cause unacceptable interference to MSS (space-to-Earth), relaxation of </w:t>
      </w:r>
      <w:r w:rsidRPr="00B960D4">
        <w:rPr>
          <w:szCs w:val="24"/>
          <w:lang w:val="en-US"/>
        </w:rPr>
        <w:lastRenderedPageBreak/>
        <w:t xml:space="preserve">coordination trigger pfd in Table 5-2 of Annex 1 of Appendix 5, which would allow this potential interference to be overcome </w:t>
      </w:r>
    </w:p>
    <w:p w:rsidR="00393C2B" w:rsidRPr="00B960D4" w:rsidRDefault="00393C2B" w:rsidP="00B960D4">
      <w:pPr>
        <w:rPr>
          <w:szCs w:val="24"/>
        </w:rPr>
      </w:pPr>
      <w:r w:rsidRPr="00B960D4">
        <w:rPr>
          <w:szCs w:val="24"/>
        </w:rPr>
        <w:t xml:space="preserve">. </w:t>
      </w:r>
    </w:p>
    <w:p w:rsidR="00393C2B" w:rsidRPr="00B960D4" w:rsidRDefault="00393C2B" w:rsidP="00B960D4">
      <w:pPr>
        <w:rPr>
          <w:szCs w:val="24"/>
        </w:rPr>
      </w:pPr>
    </w:p>
    <w:p w:rsidR="00393C2B" w:rsidRPr="00B960D4" w:rsidRDefault="00393C2B" w:rsidP="00B960D4">
      <w:pPr>
        <w:jc w:val="both"/>
        <w:rPr>
          <w:b/>
          <w:i/>
          <w:szCs w:val="24"/>
        </w:rPr>
      </w:pPr>
      <w:r w:rsidRPr="00B960D4">
        <w:rPr>
          <w:b/>
          <w:szCs w:val="24"/>
          <w:lang w:val="en-US"/>
        </w:rPr>
        <w:t>RCC (October</w:t>
      </w:r>
      <w:r w:rsidRPr="00B960D4">
        <w:rPr>
          <w:b/>
          <w:szCs w:val="24"/>
        </w:rPr>
        <w:t xml:space="preserve">, </w:t>
      </w:r>
      <w:r w:rsidRPr="00B960D4">
        <w:rPr>
          <w:b/>
          <w:szCs w:val="24"/>
          <w:lang w:val="en-US"/>
        </w:rPr>
        <w:t>2010)</w:t>
      </w:r>
    </w:p>
    <w:p w:rsidR="00393C2B" w:rsidRPr="00B960D4" w:rsidRDefault="00393C2B" w:rsidP="00B960D4">
      <w:pPr>
        <w:pStyle w:val="Default"/>
        <w:rPr>
          <w:rFonts w:ascii="Times New Roman" w:hAnsi="Times New Roman" w:cs="Times New Roman"/>
          <w:lang w:val="en-US"/>
        </w:rPr>
      </w:pPr>
      <w:r w:rsidRPr="00B960D4">
        <w:rPr>
          <w:rFonts w:ascii="Times New Roman" w:hAnsi="Times New Roman" w:cs="Times New Roman"/>
          <w:lang w:val="en-GB"/>
        </w:rPr>
        <w:t>RCC believes that the upgrading allocation to radiodetermination satellite service (space-to-Earth) in the band 2483.5-2500 MHz up to the primary worldwide allocation is possible only on condition of ensuring protection of other services to which this frequency band has been allocated, in particular:</w:t>
      </w:r>
    </w:p>
    <w:p w:rsidR="00393C2B" w:rsidRPr="00B960D4" w:rsidRDefault="00393C2B" w:rsidP="00B960D4">
      <w:pPr>
        <w:pStyle w:val="Default"/>
        <w:rPr>
          <w:rFonts w:ascii="Times New Roman" w:hAnsi="Times New Roman" w:cs="Times New Roman"/>
          <w:lang w:val="en-US"/>
        </w:rPr>
      </w:pPr>
    </w:p>
    <w:p w:rsidR="00393C2B" w:rsidRPr="00B960D4" w:rsidRDefault="00393C2B" w:rsidP="00B960D4">
      <w:pPr>
        <w:pStyle w:val="Default"/>
        <w:numPr>
          <w:ilvl w:val="0"/>
          <w:numId w:val="25"/>
        </w:numPr>
        <w:ind w:right="840"/>
        <w:rPr>
          <w:rFonts w:ascii="Times New Roman" w:hAnsi="Times New Roman" w:cs="Times New Roman"/>
          <w:lang w:val="en-US"/>
        </w:rPr>
      </w:pPr>
      <w:r w:rsidRPr="00B960D4">
        <w:rPr>
          <w:rFonts w:ascii="Times New Roman" w:hAnsi="Times New Roman" w:cs="Times New Roman"/>
          <w:lang w:val="en-US"/>
        </w:rPr>
        <w:t>the protection of mobile, fixed and mobile satellite services will be ensured by pfd level -129 dB(W/m2) in any 1 MHz from one satellite of any radiodetermination satellite system;</w:t>
      </w:r>
    </w:p>
    <w:p w:rsidR="00393C2B" w:rsidRPr="00B960D4" w:rsidRDefault="00393C2B" w:rsidP="00B960D4">
      <w:pPr>
        <w:numPr>
          <w:ilvl w:val="0"/>
          <w:numId w:val="25"/>
        </w:numPr>
        <w:suppressAutoHyphens/>
        <w:autoSpaceDN/>
        <w:adjustRightInd/>
        <w:contextualSpacing/>
        <w:textAlignment w:val="auto"/>
        <w:rPr>
          <w:szCs w:val="24"/>
          <w:lang w:val="en-US"/>
        </w:rPr>
      </w:pPr>
      <w:r w:rsidRPr="00B960D4">
        <w:rPr>
          <w:szCs w:val="24"/>
          <w:lang w:val="en-US"/>
        </w:rPr>
        <w:t>the protection of radiolocation service will be ensured by retaining current regulatory status of radiolocation service in relation to radiodetermination satellite service in the Radio Regulations.</w:t>
      </w:r>
    </w:p>
    <w:p w:rsidR="00393C2B" w:rsidRPr="00B960D4" w:rsidRDefault="00393C2B" w:rsidP="00B960D4">
      <w:pPr>
        <w:tabs>
          <w:tab w:val="clear" w:pos="794"/>
          <w:tab w:val="clear" w:pos="1191"/>
          <w:tab w:val="clear" w:pos="1588"/>
          <w:tab w:val="clear" w:pos="1985"/>
        </w:tabs>
        <w:overflowPunct/>
        <w:spacing w:before="0"/>
        <w:textAlignment w:val="auto"/>
        <w:rPr>
          <w:color w:val="000000"/>
          <w:szCs w:val="24"/>
          <w:lang w:val="en-US" w:eastAsia="ru-RU"/>
        </w:rPr>
      </w:pPr>
    </w:p>
    <w:p w:rsidR="00393C2B" w:rsidRPr="00B960D4" w:rsidRDefault="00393C2B" w:rsidP="00B960D4">
      <w:pPr>
        <w:jc w:val="both"/>
        <w:rPr>
          <w:b/>
          <w:i/>
          <w:szCs w:val="24"/>
        </w:rPr>
      </w:pPr>
    </w:p>
    <w:p w:rsidR="00393C2B" w:rsidRPr="00B960D4" w:rsidRDefault="00393C2B" w:rsidP="00B960D4">
      <w:pPr>
        <w:rPr>
          <w:b/>
          <w:i/>
          <w:szCs w:val="24"/>
        </w:rPr>
      </w:pPr>
    </w:p>
    <w:p w:rsidR="00393C2B" w:rsidRPr="00B960D4" w:rsidRDefault="00393C2B" w:rsidP="00B960D4">
      <w:pPr>
        <w:rPr>
          <w:b/>
          <w:i/>
          <w:szCs w:val="24"/>
        </w:rPr>
      </w:pPr>
      <w:r w:rsidRPr="00B960D4">
        <w:rPr>
          <w:b/>
          <w:i/>
          <w:szCs w:val="24"/>
        </w:rPr>
        <w:t>International organisations</w:t>
      </w:r>
    </w:p>
    <w:p w:rsidR="00393C2B" w:rsidRPr="00B960D4" w:rsidRDefault="00393C2B" w:rsidP="00B960D4">
      <w:pPr>
        <w:rPr>
          <w:b/>
          <w:i/>
          <w:szCs w:val="24"/>
        </w:rPr>
      </w:pPr>
    </w:p>
    <w:p w:rsidR="00393C2B" w:rsidRPr="00B960D4" w:rsidRDefault="00393C2B" w:rsidP="00B960D4">
      <w:pPr>
        <w:rPr>
          <w:b/>
          <w:szCs w:val="24"/>
        </w:rPr>
      </w:pPr>
      <w:r w:rsidRPr="00B960D4">
        <w:rPr>
          <w:b/>
          <w:szCs w:val="24"/>
        </w:rPr>
        <w:t>ITU (CPM text – February 2011)</w:t>
      </w:r>
    </w:p>
    <w:p w:rsidR="00393C2B" w:rsidRPr="00B960D4" w:rsidRDefault="00393C2B" w:rsidP="00B960D4">
      <w:pPr>
        <w:ind w:right="-284"/>
        <w:rPr>
          <w:szCs w:val="24"/>
        </w:rPr>
      </w:pPr>
      <w:r w:rsidRPr="00B960D4">
        <w:rPr>
          <w:szCs w:val="24"/>
        </w:rPr>
        <w:t>CPM text proposes a single method to satisfy agenda item 1.18, which is to allocate RDSS globally with a pfd coordination threshold and add a new footnote with regard to protection of the RLS.</w:t>
      </w:r>
    </w:p>
    <w:p w:rsidR="00393C2B" w:rsidRPr="00B960D4" w:rsidRDefault="00393C2B" w:rsidP="00B960D4">
      <w:pPr>
        <w:ind w:right="-284"/>
        <w:rPr>
          <w:szCs w:val="24"/>
        </w:rPr>
      </w:pPr>
      <w:r w:rsidRPr="00B960D4">
        <w:rPr>
          <w:szCs w:val="24"/>
        </w:rPr>
        <w:t>There are consequential changes to some footnotes and new ones to be added as a result of the proposals making primary allocations for RDSS in Region 1 and 3 in the table of allocations.</w:t>
      </w:r>
    </w:p>
    <w:p w:rsidR="00393C2B" w:rsidRPr="00B960D4" w:rsidRDefault="00393C2B" w:rsidP="00B960D4">
      <w:pPr>
        <w:tabs>
          <w:tab w:val="right" w:pos="9923"/>
        </w:tabs>
        <w:ind w:right="-284"/>
        <w:rPr>
          <w:szCs w:val="24"/>
        </w:rPr>
      </w:pPr>
      <w:r w:rsidRPr="00B960D4">
        <w:rPr>
          <w:szCs w:val="24"/>
        </w:rPr>
        <w:t xml:space="preserve">In order to protect terrestrial services (except RLS) in the band 2 483.5-2 500 MHz, the per RDSS satellite coordination threshold level defined in RR Appendix </w:t>
      </w:r>
      <w:r w:rsidRPr="00B960D4">
        <w:rPr>
          <w:b/>
          <w:bCs/>
          <w:szCs w:val="24"/>
        </w:rPr>
        <w:t>5</w:t>
      </w:r>
      <w:r w:rsidRPr="00B960D4">
        <w:rPr>
          <w:szCs w:val="24"/>
        </w:rPr>
        <w:t xml:space="preserve"> is also proposed to be modified to −129dBW/(m².MHz).</w:t>
      </w:r>
    </w:p>
    <w:p w:rsidR="00393C2B" w:rsidRPr="00B960D4" w:rsidRDefault="00393C2B" w:rsidP="00B960D4">
      <w:pPr>
        <w:tabs>
          <w:tab w:val="right" w:pos="9923"/>
        </w:tabs>
        <w:ind w:right="-284"/>
        <w:rPr>
          <w:szCs w:val="24"/>
        </w:rPr>
      </w:pPr>
      <w:r w:rsidRPr="00B960D4">
        <w:rPr>
          <w:szCs w:val="24"/>
        </w:rPr>
        <w:t xml:space="preserve">It has also been proposed that the coordination threshold value in RR Appendix </w:t>
      </w:r>
      <w:r w:rsidRPr="00B960D4">
        <w:rPr>
          <w:b/>
          <w:szCs w:val="24"/>
        </w:rPr>
        <w:t xml:space="preserve">5 </w:t>
      </w:r>
      <w:r w:rsidRPr="00B960D4">
        <w:rPr>
          <w:szCs w:val="24"/>
        </w:rPr>
        <w:t>for MSS systems is increased from –126 dBW/(m².MHz) to –122 dBW/(m².MHz) to help MSS cope with additional interference from RDSS, but there is no agreement on this view and studies on the potential impacts to terrestrial services have not been performed.</w:t>
      </w:r>
    </w:p>
    <w:p w:rsidR="00393C2B" w:rsidRPr="00B960D4" w:rsidRDefault="00393C2B" w:rsidP="00B960D4">
      <w:pPr>
        <w:rPr>
          <w:b/>
          <w:i/>
          <w:szCs w:val="24"/>
        </w:rPr>
      </w:pPr>
    </w:p>
    <w:p w:rsidR="00393C2B" w:rsidRPr="00B960D4" w:rsidRDefault="00393C2B" w:rsidP="00B960D4">
      <w:pPr>
        <w:rPr>
          <w:b/>
          <w:szCs w:val="24"/>
        </w:rPr>
      </w:pPr>
      <w:r w:rsidRPr="00B960D4">
        <w:rPr>
          <w:b/>
          <w:szCs w:val="24"/>
        </w:rPr>
        <w:t>ICAO (June 2009)</w:t>
      </w:r>
    </w:p>
    <w:p w:rsidR="00393C2B" w:rsidRPr="00B960D4" w:rsidRDefault="00393C2B" w:rsidP="00B960D4">
      <w:pPr>
        <w:rPr>
          <w:szCs w:val="24"/>
        </w:rPr>
      </w:pPr>
      <w:r w:rsidRPr="00B960D4">
        <w:rPr>
          <w:szCs w:val="24"/>
        </w:rPr>
        <w:t>ICAO views that agenda item 1.18  has no impact on aviation.</w:t>
      </w:r>
    </w:p>
    <w:p w:rsidR="00393C2B" w:rsidRPr="00B960D4" w:rsidRDefault="00393C2B" w:rsidP="00B960D4">
      <w:pPr>
        <w:rPr>
          <w:szCs w:val="24"/>
        </w:rPr>
      </w:pPr>
    </w:p>
    <w:p w:rsidR="00393C2B" w:rsidRPr="00B960D4" w:rsidRDefault="00393C2B" w:rsidP="00B960D4">
      <w:pPr>
        <w:rPr>
          <w:b/>
          <w:szCs w:val="24"/>
        </w:rPr>
      </w:pPr>
      <w:r w:rsidRPr="00B960D4">
        <w:rPr>
          <w:b/>
          <w:szCs w:val="24"/>
        </w:rPr>
        <w:t>IMO (May 2010)</w:t>
      </w:r>
    </w:p>
    <w:p w:rsidR="00393C2B" w:rsidRPr="00B960D4" w:rsidRDefault="00393C2B" w:rsidP="00B960D4">
      <w:pPr>
        <w:rPr>
          <w:szCs w:val="24"/>
        </w:rPr>
      </w:pPr>
      <w:r w:rsidRPr="00B960D4">
        <w:rPr>
          <w:szCs w:val="24"/>
        </w:rPr>
        <w:t>The primary global allocation for the radiodetermination-satellite service (space</w:t>
      </w:r>
      <w:r w:rsidRPr="00B960D4">
        <w:rPr>
          <w:szCs w:val="24"/>
        </w:rPr>
        <w:noBreakHyphen/>
        <w:t>to</w:t>
      </w:r>
      <w:r w:rsidRPr="00B960D4">
        <w:rPr>
          <w:szCs w:val="24"/>
        </w:rPr>
        <w:noBreakHyphen/>
        <w:t>Earth) is supported because the system may have application for the precise positioning of ships.</w:t>
      </w:r>
    </w:p>
    <w:p w:rsidR="00393C2B" w:rsidRPr="00B960D4" w:rsidRDefault="00393C2B" w:rsidP="00B960D4">
      <w:pPr>
        <w:rPr>
          <w:b/>
          <w:szCs w:val="24"/>
        </w:rPr>
      </w:pPr>
    </w:p>
    <w:p w:rsidR="00393C2B" w:rsidRPr="00B960D4" w:rsidRDefault="00393C2B" w:rsidP="00B960D4">
      <w:pPr>
        <w:rPr>
          <w:b/>
          <w:szCs w:val="24"/>
        </w:rPr>
      </w:pPr>
      <w:r w:rsidRPr="00B960D4">
        <w:rPr>
          <w:b/>
          <w:szCs w:val="24"/>
        </w:rPr>
        <w:lastRenderedPageBreak/>
        <w:t>NATO (August 2010 )</w:t>
      </w:r>
    </w:p>
    <w:p w:rsidR="00393C2B" w:rsidRPr="00B960D4" w:rsidRDefault="00393C2B" w:rsidP="00B960D4">
      <w:pPr>
        <w:pStyle w:val="Subtitle1"/>
        <w:spacing w:before="0" w:after="0"/>
        <w:jc w:val="left"/>
        <w:rPr>
          <w:rFonts w:ascii="Times New Roman" w:hAnsi="Times New Roman"/>
          <w:lang w:val="en-GB"/>
        </w:rPr>
      </w:pPr>
      <w:r w:rsidRPr="00B960D4">
        <w:rPr>
          <w:rFonts w:ascii="Times New Roman" w:hAnsi="Times New Roman"/>
          <w:lang w:val="en-GB"/>
        </w:rPr>
        <w:t>Preliminary NATO Military Position</w:t>
      </w:r>
    </w:p>
    <w:p w:rsidR="00393C2B" w:rsidRPr="00B960D4" w:rsidRDefault="00393C2B" w:rsidP="00B960D4">
      <w:pPr>
        <w:spacing w:before="0"/>
        <w:rPr>
          <w:szCs w:val="24"/>
        </w:rPr>
      </w:pPr>
    </w:p>
    <w:p w:rsidR="00393C2B" w:rsidRPr="00B960D4" w:rsidRDefault="00393C2B" w:rsidP="00B960D4">
      <w:pPr>
        <w:spacing w:before="0"/>
        <w:rPr>
          <w:szCs w:val="24"/>
        </w:rPr>
      </w:pPr>
      <w:r w:rsidRPr="00B960D4">
        <w:rPr>
          <w:szCs w:val="24"/>
        </w:rPr>
        <w:t>NATO supports a global primary allocation to RDSS in the 2 483.5 – 2 500 MHz band as long as ITU-R studies show conclusively that the operation of RDSS systems are compatible with the existing services in this band.</w:t>
      </w:r>
    </w:p>
    <w:p w:rsidR="00393C2B" w:rsidRPr="00B960D4" w:rsidRDefault="00393C2B" w:rsidP="00B960D4">
      <w:pPr>
        <w:spacing w:before="0"/>
        <w:rPr>
          <w:szCs w:val="24"/>
        </w:rPr>
      </w:pPr>
    </w:p>
    <w:p w:rsidR="00393C2B" w:rsidRPr="00B960D4" w:rsidRDefault="00393C2B" w:rsidP="00B960D4">
      <w:pPr>
        <w:spacing w:before="0"/>
        <w:rPr>
          <w:szCs w:val="24"/>
        </w:rPr>
      </w:pPr>
      <w:r w:rsidRPr="00B960D4">
        <w:rPr>
          <w:b/>
          <w:szCs w:val="24"/>
        </w:rPr>
        <w:t xml:space="preserve">Military Importance:  </w:t>
      </w:r>
      <w:r w:rsidRPr="00B960D4">
        <w:rPr>
          <w:szCs w:val="24"/>
        </w:rPr>
        <w:t>Low.</w:t>
      </w:r>
    </w:p>
    <w:p w:rsidR="00393C2B" w:rsidRPr="00B960D4" w:rsidRDefault="00393C2B" w:rsidP="00B960D4">
      <w:pPr>
        <w:rPr>
          <w:b/>
          <w:szCs w:val="24"/>
        </w:rPr>
      </w:pPr>
    </w:p>
    <w:p w:rsidR="00393C2B" w:rsidRPr="00B960D4" w:rsidRDefault="00393C2B" w:rsidP="00B960D4">
      <w:pPr>
        <w:rPr>
          <w:szCs w:val="24"/>
        </w:rPr>
      </w:pPr>
      <w:r w:rsidRPr="00B960D4">
        <w:rPr>
          <w:b/>
          <w:szCs w:val="24"/>
        </w:rPr>
        <w:t xml:space="preserve">SFCG </w:t>
      </w:r>
    </w:p>
    <w:p w:rsidR="00393C2B" w:rsidRPr="00B960D4" w:rsidRDefault="00393C2B" w:rsidP="00B960D4">
      <w:pPr>
        <w:rPr>
          <w:b/>
          <w:szCs w:val="24"/>
        </w:rPr>
      </w:pPr>
    </w:p>
    <w:p w:rsidR="00393C2B" w:rsidRPr="00B960D4" w:rsidRDefault="00393C2B" w:rsidP="00B960D4">
      <w:pPr>
        <w:rPr>
          <w:b/>
          <w:i/>
          <w:szCs w:val="24"/>
        </w:rPr>
      </w:pPr>
      <w:r w:rsidRPr="00B960D4">
        <w:rPr>
          <w:b/>
          <w:i/>
          <w:szCs w:val="24"/>
        </w:rPr>
        <w:t>Regional organisations</w:t>
      </w:r>
    </w:p>
    <w:p w:rsidR="00393C2B" w:rsidRPr="00B960D4" w:rsidRDefault="00393C2B" w:rsidP="00B960D4">
      <w:pPr>
        <w:rPr>
          <w:szCs w:val="24"/>
        </w:rPr>
      </w:pPr>
    </w:p>
    <w:p w:rsidR="00393C2B" w:rsidRPr="00B960D4" w:rsidRDefault="00393C2B" w:rsidP="00B960D4">
      <w:pPr>
        <w:rPr>
          <w:b/>
          <w:szCs w:val="24"/>
        </w:rPr>
      </w:pPr>
      <w:r w:rsidRPr="00B960D4">
        <w:rPr>
          <w:b/>
          <w:szCs w:val="24"/>
        </w:rPr>
        <w:t>[ESA (date of proposal)]</w:t>
      </w:r>
    </w:p>
    <w:p w:rsidR="00393C2B" w:rsidRPr="00B960D4" w:rsidRDefault="00393C2B" w:rsidP="00B960D4">
      <w:pPr>
        <w:rPr>
          <w:b/>
          <w:szCs w:val="24"/>
        </w:rPr>
      </w:pPr>
    </w:p>
    <w:p w:rsidR="00393C2B" w:rsidRPr="00B960D4" w:rsidRDefault="00393C2B" w:rsidP="00B960D4">
      <w:pPr>
        <w:rPr>
          <w:b/>
          <w:szCs w:val="24"/>
        </w:rPr>
      </w:pPr>
      <w:r w:rsidRPr="00B960D4">
        <w:rPr>
          <w:b/>
          <w:szCs w:val="24"/>
        </w:rPr>
        <w:t>[Eumetnet (date of proposal)]</w:t>
      </w:r>
    </w:p>
    <w:p w:rsidR="00393C2B" w:rsidRPr="00B960D4" w:rsidRDefault="00393C2B" w:rsidP="00B960D4">
      <w:pPr>
        <w:rPr>
          <w:b/>
          <w:szCs w:val="24"/>
        </w:rPr>
      </w:pPr>
    </w:p>
    <w:p w:rsidR="00393C2B" w:rsidRPr="00B960D4" w:rsidRDefault="00393C2B" w:rsidP="00B960D4">
      <w:pPr>
        <w:rPr>
          <w:b/>
          <w:szCs w:val="24"/>
        </w:rPr>
      </w:pPr>
      <w:r w:rsidRPr="00B960D4">
        <w:rPr>
          <w:b/>
          <w:szCs w:val="24"/>
        </w:rPr>
        <w:t>[Eurocontrol (date of proposal)]</w:t>
      </w:r>
    </w:p>
    <w:p w:rsidR="00393C2B" w:rsidRPr="00B960D4" w:rsidRDefault="00393C2B" w:rsidP="00B960D4">
      <w:pPr>
        <w:rPr>
          <w:szCs w:val="24"/>
        </w:rPr>
      </w:pPr>
    </w:p>
    <w:p w:rsidR="00393C2B" w:rsidRPr="00B960D4" w:rsidRDefault="00393C2B" w:rsidP="00B960D4">
      <w:pPr>
        <w:rPr>
          <w:b/>
          <w:i/>
          <w:szCs w:val="24"/>
        </w:rPr>
      </w:pPr>
      <w:r w:rsidRPr="00B960D4">
        <w:rPr>
          <w:b/>
          <w:i/>
          <w:szCs w:val="24"/>
        </w:rPr>
        <w:t>[Other relevant information]</w:t>
      </w:r>
    </w:p>
    <w:p w:rsidR="00393C2B" w:rsidRPr="00B960D4" w:rsidRDefault="00393C2B" w:rsidP="00B960D4">
      <w:pPr>
        <w:pStyle w:val="AnnexNoTitle0"/>
        <w:ind w:right="-142"/>
        <w:jc w:val="left"/>
        <w:rPr>
          <w:color w:val="000000"/>
          <w:sz w:val="24"/>
          <w:szCs w:val="24"/>
          <w:lang w:val="en-AU"/>
        </w:rPr>
      </w:pPr>
    </w:p>
    <w:p w:rsidR="00393C2B" w:rsidRPr="00B960D4" w:rsidRDefault="00393C2B" w:rsidP="00B960D4">
      <w:pPr>
        <w:rPr>
          <w:szCs w:val="24"/>
        </w:rPr>
      </w:pPr>
    </w:p>
    <w:p w:rsidR="00393C2B" w:rsidRPr="00B960D4" w:rsidRDefault="00393C2B">
      <w:pPr>
        <w:rPr>
          <w:b/>
          <w:szCs w:val="24"/>
        </w:rPr>
      </w:pPr>
    </w:p>
    <w:sectPr w:rsidR="00393C2B" w:rsidRPr="00B960D4" w:rsidSect="008C1A1E">
      <w:headerReference w:type="first" r:id="rId8"/>
      <w:footerReference w:type="first" r:id="rId9"/>
      <w:pgSz w:w="11907" w:h="16834" w:code="9"/>
      <w:pgMar w:top="1418" w:right="1134" w:bottom="1418" w:left="1134" w:header="567"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BEE" w:rsidRDefault="002B5BEE">
      <w:r>
        <w:separator/>
      </w:r>
    </w:p>
  </w:endnote>
  <w:endnote w:type="continuationSeparator" w:id="1">
    <w:p w:rsidR="002B5BEE" w:rsidRDefault="002B5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2B" w:rsidRDefault="00393C2B">
    <w:pPr>
      <w:pStyle w:val="Footer"/>
      <w:tabs>
        <w:tab w:val="clear" w:pos="5954"/>
        <w:tab w:val="left" w:pos="42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BEE" w:rsidRDefault="002B5BEE">
      <w:r>
        <w:t>____________________</w:t>
      </w:r>
    </w:p>
  </w:footnote>
  <w:footnote w:type="continuationSeparator" w:id="1">
    <w:p w:rsidR="002B5BEE" w:rsidRDefault="002B5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C2B" w:rsidRPr="00610AF8" w:rsidRDefault="00393C2B" w:rsidP="00342A90">
    <w:pPr>
      <w:jc w:val="right"/>
      <w:rPr>
        <w:b/>
      </w:rPr>
    </w:pPr>
  </w:p>
  <w:p w:rsidR="00393C2B" w:rsidRDefault="00393C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sz w:val="16"/>
      </w:rPr>
    </w:lvl>
  </w:abstractNum>
  <w:abstractNum w:abstractNumId="1">
    <w:nsid w:val="01B94561"/>
    <w:multiLevelType w:val="hybridMultilevel"/>
    <w:tmpl w:val="DD3E1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002804"/>
    <w:multiLevelType w:val="hybridMultilevel"/>
    <w:tmpl w:val="C9F4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536771"/>
    <w:multiLevelType w:val="hybridMultilevel"/>
    <w:tmpl w:val="4E98A2C8"/>
    <w:lvl w:ilvl="0" w:tplc="EB722B02">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63265D3"/>
    <w:multiLevelType w:val="hybridMultilevel"/>
    <w:tmpl w:val="3684A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6B1623C"/>
    <w:multiLevelType w:val="hybridMultilevel"/>
    <w:tmpl w:val="232E05EE"/>
    <w:lvl w:ilvl="0" w:tplc="34F2AD20">
      <w:start w:val="1"/>
      <w:numFmt w:val="lowerLetter"/>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6">
    <w:nsid w:val="3DDE2E69"/>
    <w:multiLevelType w:val="hybridMultilevel"/>
    <w:tmpl w:val="F35E01E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3E9B721F"/>
    <w:multiLevelType w:val="hybridMultilevel"/>
    <w:tmpl w:val="74380956"/>
    <w:lvl w:ilvl="0" w:tplc="34D42AE8">
      <w:start w:val="1"/>
      <w:numFmt w:val="decimal"/>
      <w:lvlText w:val="%1"/>
      <w:lvlJc w:val="left"/>
      <w:pPr>
        <w:tabs>
          <w:tab w:val="num" w:pos="1155"/>
        </w:tabs>
        <w:ind w:left="1155" w:hanging="795"/>
      </w:pPr>
      <w:rPr>
        <w:rFonts w:cs="Times New Roman" w:hint="default"/>
        <w:sz w:val="16"/>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8">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12A2C2C"/>
    <w:multiLevelType w:val="hybridMultilevel"/>
    <w:tmpl w:val="9D9AACEC"/>
    <w:lvl w:ilvl="0" w:tplc="FFFFFFFF">
      <w:start w:val="1"/>
      <w:numFmt w:val="bullet"/>
      <w:lvlText w:val=""/>
      <w:lvlJc w:val="left"/>
      <w:pPr>
        <w:tabs>
          <w:tab w:val="num" w:pos="587"/>
        </w:tabs>
        <w:ind w:left="64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47EA155B"/>
    <w:multiLevelType w:val="hybridMultilevel"/>
    <w:tmpl w:val="E938C1EC"/>
    <w:lvl w:ilvl="0" w:tplc="EE2A44EC">
      <w:start w:val="1"/>
      <w:numFmt w:val="bullet"/>
      <w:lvlText w:val="•"/>
      <w:lvlJc w:val="left"/>
      <w:pPr>
        <w:tabs>
          <w:tab w:val="num" w:pos="720"/>
        </w:tabs>
        <w:ind w:left="720" w:hanging="360"/>
      </w:pPr>
      <w:rPr>
        <w:rFonts w:ascii="Arial" w:hAnsi="Arial" w:hint="default"/>
      </w:rPr>
    </w:lvl>
    <w:lvl w:ilvl="1" w:tplc="5F38462C" w:tentative="1">
      <w:start w:val="1"/>
      <w:numFmt w:val="bullet"/>
      <w:lvlText w:val="•"/>
      <w:lvlJc w:val="left"/>
      <w:pPr>
        <w:tabs>
          <w:tab w:val="num" w:pos="1440"/>
        </w:tabs>
        <w:ind w:left="1440" w:hanging="360"/>
      </w:pPr>
      <w:rPr>
        <w:rFonts w:ascii="Arial" w:hAnsi="Arial" w:hint="default"/>
      </w:rPr>
    </w:lvl>
    <w:lvl w:ilvl="2" w:tplc="78E45950" w:tentative="1">
      <w:start w:val="1"/>
      <w:numFmt w:val="bullet"/>
      <w:lvlText w:val="•"/>
      <w:lvlJc w:val="left"/>
      <w:pPr>
        <w:tabs>
          <w:tab w:val="num" w:pos="2160"/>
        </w:tabs>
        <w:ind w:left="2160" w:hanging="360"/>
      </w:pPr>
      <w:rPr>
        <w:rFonts w:ascii="Arial" w:hAnsi="Arial" w:hint="default"/>
      </w:rPr>
    </w:lvl>
    <w:lvl w:ilvl="3" w:tplc="C3785934" w:tentative="1">
      <w:start w:val="1"/>
      <w:numFmt w:val="bullet"/>
      <w:lvlText w:val="•"/>
      <w:lvlJc w:val="left"/>
      <w:pPr>
        <w:tabs>
          <w:tab w:val="num" w:pos="2880"/>
        </w:tabs>
        <w:ind w:left="2880" w:hanging="360"/>
      </w:pPr>
      <w:rPr>
        <w:rFonts w:ascii="Arial" w:hAnsi="Arial" w:hint="default"/>
      </w:rPr>
    </w:lvl>
    <w:lvl w:ilvl="4" w:tplc="B784D236" w:tentative="1">
      <w:start w:val="1"/>
      <w:numFmt w:val="bullet"/>
      <w:lvlText w:val="•"/>
      <w:lvlJc w:val="left"/>
      <w:pPr>
        <w:tabs>
          <w:tab w:val="num" w:pos="3600"/>
        </w:tabs>
        <w:ind w:left="3600" w:hanging="360"/>
      </w:pPr>
      <w:rPr>
        <w:rFonts w:ascii="Arial" w:hAnsi="Arial" w:hint="default"/>
      </w:rPr>
    </w:lvl>
    <w:lvl w:ilvl="5" w:tplc="F8322CD8" w:tentative="1">
      <w:start w:val="1"/>
      <w:numFmt w:val="bullet"/>
      <w:lvlText w:val="•"/>
      <w:lvlJc w:val="left"/>
      <w:pPr>
        <w:tabs>
          <w:tab w:val="num" w:pos="4320"/>
        </w:tabs>
        <w:ind w:left="4320" w:hanging="360"/>
      </w:pPr>
      <w:rPr>
        <w:rFonts w:ascii="Arial" w:hAnsi="Arial" w:hint="default"/>
      </w:rPr>
    </w:lvl>
    <w:lvl w:ilvl="6" w:tplc="E6CCCCB2" w:tentative="1">
      <w:start w:val="1"/>
      <w:numFmt w:val="bullet"/>
      <w:lvlText w:val="•"/>
      <w:lvlJc w:val="left"/>
      <w:pPr>
        <w:tabs>
          <w:tab w:val="num" w:pos="5040"/>
        </w:tabs>
        <w:ind w:left="5040" w:hanging="360"/>
      </w:pPr>
      <w:rPr>
        <w:rFonts w:ascii="Arial" w:hAnsi="Arial" w:hint="default"/>
      </w:rPr>
    </w:lvl>
    <w:lvl w:ilvl="7" w:tplc="7C5A2F70" w:tentative="1">
      <w:start w:val="1"/>
      <w:numFmt w:val="bullet"/>
      <w:lvlText w:val="•"/>
      <w:lvlJc w:val="left"/>
      <w:pPr>
        <w:tabs>
          <w:tab w:val="num" w:pos="5760"/>
        </w:tabs>
        <w:ind w:left="5760" w:hanging="360"/>
      </w:pPr>
      <w:rPr>
        <w:rFonts w:ascii="Arial" w:hAnsi="Arial" w:hint="default"/>
      </w:rPr>
    </w:lvl>
    <w:lvl w:ilvl="8" w:tplc="47D05C62" w:tentative="1">
      <w:start w:val="1"/>
      <w:numFmt w:val="bullet"/>
      <w:lvlText w:val="•"/>
      <w:lvlJc w:val="left"/>
      <w:pPr>
        <w:tabs>
          <w:tab w:val="num" w:pos="6480"/>
        </w:tabs>
        <w:ind w:left="6480" w:hanging="360"/>
      </w:pPr>
      <w:rPr>
        <w:rFonts w:ascii="Arial" w:hAnsi="Arial" w:hint="default"/>
      </w:rPr>
    </w:lvl>
  </w:abstractNum>
  <w:abstractNum w:abstractNumId="11">
    <w:nsid w:val="4EF25C1B"/>
    <w:multiLevelType w:val="hybridMultilevel"/>
    <w:tmpl w:val="6A98AC9C"/>
    <w:lvl w:ilvl="0" w:tplc="538A6FCE">
      <w:start w:val="1"/>
      <w:numFmt w:val="bullet"/>
      <w:lvlText w:val="•"/>
      <w:lvlJc w:val="left"/>
      <w:pPr>
        <w:tabs>
          <w:tab w:val="num" w:pos="720"/>
        </w:tabs>
        <w:ind w:left="720" w:hanging="360"/>
      </w:pPr>
      <w:rPr>
        <w:rFonts w:ascii="Arial" w:hAnsi="Arial" w:hint="default"/>
      </w:rPr>
    </w:lvl>
    <w:lvl w:ilvl="1" w:tplc="C5DAD324">
      <w:start w:val="171"/>
      <w:numFmt w:val="bullet"/>
      <w:lvlText w:val=""/>
      <w:lvlJc w:val="left"/>
      <w:pPr>
        <w:tabs>
          <w:tab w:val="num" w:pos="1440"/>
        </w:tabs>
        <w:ind w:left="1440" w:hanging="360"/>
      </w:pPr>
      <w:rPr>
        <w:rFonts w:ascii="Wingdings" w:hAnsi="Wingdings" w:hint="default"/>
      </w:rPr>
    </w:lvl>
    <w:lvl w:ilvl="2" w:tplc="AB3EF10C" w:tentative="1">
      <w:start w:val="1"/>
      <w:numFmt w:val="bullet"/>
      <w:lvlText w:val="•"/>
      <w:lvlJc w:val="left"/>
      <w:pPr>
        <w:tabs>
          <w:tab w:val="num" w:pos="2160"/>
        </w:tabs>
        <w:ind w:left="2160" w:hanging="360"/>
      </w:pPr>
      <w:rPr>
        <w:rFonts w:ascii="Arial" w:hAnsi="Arial" w:hint="default"/>
      </w:rPr>
    </w:lvl>
    <w:lvl w:ilvl="3" w:tplc="0052B97C" w:tentative="1">
      <w:start w:val="1"/>
      <w:numFmt w:val="bullet"/>
      <w:lvlText w:val="•"/>
      <w:lvlJc w:val="left"/>
      <w:pPr>
        <w:tabs>
          <w:tab w:val="num" w:pos="2880"/>
        </w:tabs>
        <w:ind w:left="2880" w:hanging="360"/>
      </w:pPr>
      <w:rPr>
        <w:rFonts w:ascii="Arial" w:hAnsi="Arial" w:hint="default"/>
      </w:rPr>
    </w:lvl>
    <w:lvl w:ilvl="4" w:tplc="5D504750" w:tentative="1">
      <w:start w:val="1"/>
      <w:numFmt w:val="bullet"/>
      <w:lvlText w:val="•"/>
      <w:lvlJc w:val="left"/>
      <w:pPr>
        <w:tabs>
          <w:tab w:val="num" w:pos="3600"/>
        </w:tabs>
        <w:ind w:left="3600" w:hanging="360"/>
      </w:pPr>
      <w:rPr>
        <w:rFonts w:ascii="Arial" w:hAnsi="Arial" w:hint="default"/>
      </w:rPr>
    </w:lvl>
    <w:lvl w:ilvl="5" w:tplc="2CEA6690" w:tentative="1">
      <w:start w:val="1"/>
      <w:numFmt w:val="bullet"/>
      <w:lvlText w:val="•"/>
      <w:lvlJc w:val="left"/>
      <w:pPr>
        <w:tabs>
          <w:tab w:val="num" w:pos="4320"/>
        </w:tabs>
        <w:ind w:left="4320" w:hanging="360"/>
      </w:pPr>
      <w:rPr>
        <w:rFonts w:ascii="Arial" w:hAnsi="Arial" w:hint="default"/>
      </w:rPr>
    </w:lvl>
    <w:lvl w:ilvl="6" w:tplc="3EC6A110" w:tentative="1">
      <w:start w:val="1"/>
      <w:numFmt w:val="bullet"/>
      <w:lvlText w:val="•"/>
      <w:lvlJc w:val="left"/>
      <w:pPr>
        <w:tabs>
          <w:tab w:val="num" w:pos="5040"/>
        </w:tabs>
        <w:ind w:left="5040" w:hanging="360"/>
      </w:pPr>
      <w:rPr>
        <w:rFonts w:ascii="Arial" w:hAnsi="Arial" w:hint="default"/>
      </w:rPr>
    </w:lvl>
    <w:lvl w:ilvl="7" w:tplc="62E2F5C6" w:tentative="1">
      <w:start w:val="1"/>
      <w:numFmt w:val="bullet"/>
      <w:lvlText w:val="•"/>
      <w:lvlJc w:val="left"/>
      <w:pPr>
        <w:tabs>
          <w:tab w:val="num" w:pos="5760"/>
        </w:tabs>
        <w:ind w:left="5760" w:hanging="360"/>
      </w:pPr>
      <w:rPr>
        <w:rFonts w:ascii="Arial" w:hAnsi="Arial" w:hint="default"/>
      </w:rPr>
    </w:lvl>
    <w:lvl w:ilvl="8" w:tplc="61EE3D68" w:tentative="1">
      <w:start w:val="1"/>
      <w:numFmt w:val="bullet"/>
      <w:lvlText w:val="•"/>
      <w:lvlJc w:val="left"/>
      <w:pPr>
        <w:tabs>
          <w:tab w:val="num" w:pos="6480"/>
        </w:tabs>
        <w:ind w:left="6480" w:hanging="360"/>
      </w:pPr>
      <w:rPr>
        <w:rFonts w:ascii="Arial" w:hAnsi="Arial" w:hint="default"/>
      </w:rPr>
    </w:lvl>
  </w:abstractNum>
  <w:abstractNum w:abstractNumId="12">
    <w:nsid w:val="50075256"/>
    <w:multiLevelType w:val="hybridMultilevel"/>
    <w:tmpl w:val="5E7EA51C"/>
    <w:lvl w:ilvl="0" w:tplc="C9183AA6">
      <w:numFmt w:val="bullet"/>
      <w:lvlText w:val="–"/>
      <w:lvlJc w:val="left"/>
      <w:pPr>
        <w:ind w:left="1155" w:hanging="795"/>
      </w:pPr>
      <w:rPr>
        <w:rFonts w:ascii="Times New Roman" w:eastAsia="Batang"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E2454C0"/>
    <w:multiLevelType w:val="hybridMultilevel"/>
    <w:tmpl w:val="375A05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5E342AAA"/>
    <w:multiLevelType w:val="hybridMultilevel"/>
    <w:tmpl w:val="0D1ADF08"/>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F142A11"/>
    <w:multiLevelType w:val="hybridMultilevel"/>
    <w:tmpl w:val="16E0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33101CF"/>
    <w:multiLevelType w:val="hybridMultilevel"/>
    <w:tmpl w:val="3FECC2E8"/>
    <w:lvl w:ilvl="0" w:tplc="F75889CE">
      <w:start w:val="1"/>
      <w:numFmt w:val="bullet"/>
      <w:lvlText w:val="•"/>
      <w:lvlJc w:val="left"/>
      <w:pPr>
        <w:tabs>
          <w:tab w:val="num" w:pos="720"/>
        </w:tabs>
        <w:ind w:left="720" w:hanging="360"/>
      </w:pPr>
      <w:rPr>
        <w:rFonts w:ascii="Arial" w:hAnsi="Arial" w:hint="default"/>
      </w:rPr>
    </w:lvl>
    <w:lvl w:ilvl="1" w:tplc="15300F38" w:tentative="1">
      <w:start w:val="1"/>
      <w:numFmt w:val="bullet"/>
      <w:lvlText w:val="•"/>
      <w:lvlJc w:val="left"/>
      <w:pPr>
        <w:tabs>
          <w:tab w:val="num" w:pos="1440"/>
        </w:tabs>
        <w:ind w:left="1440" w:hanging="360"/>
      </w:pPr>
      <w:rPr>
        <w:rFonts w:ascii="Arial" w:hAnsi="Arial" w:hint="default"/>
      </w:rPr>
    </w:lvl>
    <w:lvl w:ilvl="2" w:tplc="34E22820" w:tentative="1">
      <w:start w:val="1"/>
      <w:numFmt w:val="bullet"/>
      <w:lvlText w:val="•"/>
      <w:lvlJc w:val="left"/>
      <w:pPr>
        <w:tabs>
          <w:tab w:val="num" w:pos="2160"/>
        </w:tabs>
        <w:ind w:left="2160" w:hanging="360"/>
      </w:pPr>
      <w:rPr>
        <w:rFonts w:ascii="Arial" w:hAnsi="Arial" w:hint="default"/>
      </w:rPr>
    </w:lvl>
    <w:lvl w:ilvl="3" w:tplc="AD0C236C" w:tentative="1">
      <w:start w:val="1"/>
      <w:numFmt w:val="bullet"/>
      <w:lvlText w:val="•"/>
      <w:lvlJc w:val="left"/>
      <w:pPr>
        <w:tabs>
          <w:tab w:val="num" w:pos="2880"/>
        </w:tabs>
        <w:ind w:left="2880" w:hanging="360"/>
      </w:pPr>
      <w:rPr>
        <w:rFonts w:ascii="Arial" w:hAnsi="Arial" w:hint="default"/>
      </w:rPr>
    </w:lvl>
    <w:lvl w:ilvl="4" w:tplc="30FCC05E" w:tentative="1">
      <w:start w:val="1"/>
      <w:numFmt w:val="bullet"/>
      <w:lvlText w:val="•"/>
      <w:lvlJc w:val="left"/>
      <w:pPr>
        <w:tabs>
          <w:tab w:val="num" w:pos="3600"/>
        </w:tabs>
        <w:ind w:left="3600" w:hanging="360"/>
      </w:pPr>
      <w:rPr>
        <w:rFonts w:ascii="Arial" w:hAnsi="Arial" w:hint="default"/>
      </w:rPr>
    </w:lvl>
    <w:lvl w:ilvl="5" w:tplc="61208DC8" w:tentative="1">
      <w:start w:val="1"/>
      <w:numFmt w:val="bullet"/>
      <w:lvlText w:val="•"/>
      <w:lvlJc w:val="left"/>
      <w:pPr>
        <w:tabs>
          <w:tab w:val="num" w:pos="4320"/>
        </w:tabs>
        <w:ind w:left="4320" w:hanging="360"/>
      </w:pPr>
      <w:rPr>
        <w:rFonts w:ascii="Arial" w:hAnsi="Arial" w:hint="default"/>
      </w:rPr>
    </w:lvl>
    <w:lvl w:ilvl="6" w:tplc="976C7F2A" w:tentative="1">
      <w:start w:val="1"/>
      <w:numFmt w:val="bullet"/>
      <w:lvlText w:val="•"/>
      <w:lvlJc w:val="left"/>
      <w:pPr>
        <w:tabs>
          <w:tab w:val="num" w:pos="5040"/>
        </w:tabs>
        <w:ind w:left="5040" w:hanging="360"/>
      </w:pPr>
      <w:rPr>
        <w:rFonts w:ascii="Arial" w:hAnsi="Arial" w:hint="default"/>
      </w:rPr>
    </w:lvl>
    <w:lvl w:ilvl="7" w:tplc="D660C304" w:tentative="1">
      <w:start w:val="1"/>
      <w:numFmt w:val="bullet"/>
      <w:lvlText w:val="•"/>
      <w:lvlJc w:val="left"/>
      <w:pPr>
        <w:tabs>
          <w:tab w:val="num" w:pos="5760"/>
        </w:tabs>
        <w:ind w:left="5760" w:hanging="360"/>
      </w:pPr>
      <w:rPr>
        <w:rFonts w:ascii="Arial" w:hAnsi="Arial" w:hint="default"/>
      </w:rPr>
    </w:lvl>
    <w:lvl w:ilvl="8" w:tplc="E88E3608" w:tentative="1">
      <w:start w:val="1"/>
      <w:numFmt w:val="bullet"/>
      <w:lvlText w:val="•"/>
      <w:lvlJc w:val="left"/>
      <w:pPr>
        <w:tabs>
          <w:tab w:val="num" w:pos="6480"/>
        </w:tabs>
        <w:ind w:left="6480" w:hanging="360"/>
      </w:pPr>
      <w:rPr>
        <w:rFonts w:ascii="Arial" w:hAnsi="Arial" w:hint="default"/>
      </w:rPr>
    </w:lvl>
  </w:abstractNum>
  <w:abstractNum w:abstractNumId="22">
    <w:nsid w:val="785C33D0"/>
    <w:multiLevelType w:val="hybridMultilevel"/>
    <w:tmpl w:val="FCFCE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8D54823"/>
    <w:multiLevelType w:val="hybridMultilevel"/>
    <w:tmpl w:val="72C098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7BC575B8"/>
    <w:multiLevelType w:val="hybridMultilevel"/>
    <w:tmpl w:val="C09C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7"/>
  </w:num>
  <w:num w:numId="4">
    <w:abstractNumId w:val="14"/>
  </w:num>
  <w:num w:numId="5">
    <w:abstractNumId w:val="13"/>
  </w:num>
  <w:num w:numId="6">
    <w:abstractNumId w:val="8"/>
  </w:num>
  <w:num w:numId="7">
    <w:abstractNumId w:val="7"/>
  </w:num>
  <w:num w:numId="8">
    <w:abstractNumId w:val="18"/>
  </w:num>
  <w:num w:numId="9">
    <w:abstractNumId w:val="16"/>
  </w:num>
  <w:num w:numId="10">
    <w:abstractNumId w:val="9"/>
  </w:num>
  <w:num w:numId="11">
    <w:abstractNumId w:val="4"/>
  </w:num>
  <w:num w:numId="12">
    <w:abstractNumId w:val="15"/>
  </w:num>
  <w:num w:numId="13">
    <w:abstractNumId w:val="2"/>
  </w:num>
  <w:num w:numId="14">
    <w:abstractNumId w:val="19"/>
  </w:num>
  <w:num w:numId="15">
    <w:abstractNumId w:val="23"/>
  </w:num>
  <w:num w:numId="16">
    <w:abstractNumId w:val="24"/>
  </w:num>
  <w:num w:numId="17">
    <w:abstractNumId w:val="12"/>
  </w:num>
  <w:num w:numId="18">
    <w:abstractNumId w:val="5"/>
  </w:num>
  <w:num w:numId="19">
    <w:abstractNumId w:val="21"/>
  </w:num>
  <w:num w:numId="20">
    <w:abstractNumId w:val="10"/>
  </w:num>
  <w:num w:numId="21">
    <w:abstractNumId w:val="1"/>
  </w:num>
  <w:num w:numId="22">
    <w:abstractNumId w:val="0"/>
  </w:num>
  <w:num w:numId="23">
    <w:abstractNumId w:val="22"/>
  </w:num>
  <w:num w:numId="24">
    <w:abstractNumId w:val="11"/>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1F05DF"/>
    <w:rsid w:val="000001ED"/>
    <w:rsid w:val="000008FF"/>
    <w:rsid w:val="000040FF"/>
    <w:rsid w:val="00004581"/>
    <w:rsid w:val="00006778"/>
    <w:rsid w:val="00006A77"/>
    <w:rsid w:val="00012B9B"/>
    <w:rsid w:val="0001538F"/>
    <w:rsid w:val="0001673D"/>
    <w:rsid w:val="00020A6F"/>
    <w:rsid w:val="00020F31"/>
    <w:rsid w:val="00021903"/>
    <w:rsid w:val="00027664"/>
    <w:rsid w:val="00035F2B"/>
    <w:rsid w:val="0003728B"/>
    <w:rsid w:val="00037A3D"/>
    <w:rsid w:val="00043AE6"/>
    <w:rsid w:val="00047969"/>
    <w:rsid w:val="00051D17"/>
    <w:rsid w:val="0005433D"/>
    <w:rsid w:val="00055288"/>
    <w:rsid w:val="00055F4C"/>
    <w:rsid w:val="000565A5"/>
    <w:rsid w:val="000607D5"/>
    <w:rsid w:val="00063542"/>
    <w:rsid w:val="00063882"/>
    <w:rsid w:val="00063C24"/>
    <w:rsid w:val="0006543C"/>
    <w:rsid w:val="00066B8A"/>
    <w:rsid w:val="00066D85"/>
    <w:rsid w:val="00067482"/>
    <w:rsid w:val="00070C29"/>
    <w:rsid w:val="00072F57"/>
    <w:rsid w:val="000773B5"/>
    <w:rsid w:val="0007767B"/>
    <w:rsid w:val="00082432"/>
    <w:rsid w:val="000829C8"/>
    <w:rsid w:val="00082CE7"/>
    <w:rsid w:val="000904AC"/>
    <w:rsid w:val="00090DBA"/>
    <w:rsid w:val="0009174E"/>
    <w:rsid w:val="00094649"/>
    <w:rsid w:val="00096E47"/>
    <w:rsid w:val="00097764"/>
    <w:rsid w:val="000A0361"/>
    <w:rsid w:val="000A0EF3"/>
    <w:rsid w:val="000A0FF7"/>
    <w:rsid w:val="000A11E3"/>
    <w:rsid w:val="000A11F2"/>
    <w:rsid w:val="000A1DDB"/>
    <w:rsid w:val="000A23E9"/>
    <w:rsid w:val="000A3523"/>
    <w:rsid w:val="000A3E83"/>
    <w:rsid w:val="000A48DD"/>
    <w:rsid w:val="000B37A7"/>
    <w:rsid w:val="000B38A4"/>
    <w:rsid w:val="000B3D09"/>
    <w:rsid w:val="000B5D98"/>
    <w:rsid w:val="000B6BD8"/>
    <w:rsid w:val="000B7AAF"/>
    <w:rsid w:val="000C0C2C"/>
    <w:rsid w:val="000C0CC8"/>
    <w:rsid w:val="000C0FB6"/>
    <w:rsid w:val="000C166C"/>
    <w:rsid w:val="000C2A5C"/>
    <w:rsid w:val="000C4714"/>
    <w:rsid w:val="000C4CCA"/>
    <w:rsid w:val="000D02DC"/>
    <w:rsid w:val="000D0685"/>
    <w:rsid w:val="000D1436"/>
    <w:rsid w:val="000D2AB2"/>
    <w:rsid w:val="000D45B5"/>
    <w:rsid w:val="000D58C7"/>
    <w:rsid w:val="000D7295"/>
    <w:rsid w:val="000E0335"/>
    <w:rsid w:val="000E1891"/>
    <w:rsid w:val="000E2B3D"/>
    <w:rsid w:val="000E4FDA"/>
    <w:rsid w:val="000E562A"/>
    <w:rsid w:val="000E6298"/>
    <w:rsid w:val="000E6DAF"/>
    <w:rsid w:val="000F1137"/>
    <w:rsid w:val="000F5F13"/>
    <w:rsid w:val="000F69E2"/>
    <w:rsid w:val="000F6A06"/>
    <w:rsid w:val="000F6BD6"/>
    <w:rsid w:val="000F7262"/>
    <w:rsid w:val="001013A0"/>
    <w:rsid w:val="00101BE2"/>
    <w:rsid w:val="00101F05"/>
    <w:rsid w:val="001023FB"/>
    <w:rsid w:val="00103838"/>
    <w:rsid w:val="001039DD"/>
    <w:rsid w:val="00103E1D"/>
    <w:rsid w:val="00104C8F"/>
    <w:rsid w:val="00105B8B"/>
    <w:rsid w:val="00110FC4"/>
    <w:rsid w:val="00114B06"/>
    <w:rsid w:val="001156F5"/>
    <w:rsid w:val="00115B21"/>
    <w:rsid w:val="00117598"/>
    <w:rsid w:val="001222FA"/>
    <w:rsid w:val="00130BA8"/>
    <w:rsid w:val="00131293"/>
    <w:rsid w:val="001312EB"/>
    <w:rsid w:val="001330CD"/>
    <w:rsid w:val="001349B7"/>
    <w:rsid w:val="001357CA"/>
    <w:rsid w:val="001364AB"/>
    <w:rsid w:val="0013764C"/>
    <w:rsid w:val="001400C3"/>
    <w:rsid w:val="00142654"/>
    <w:rsid w:val="00142FE8"/>
    <w:rsid w:val="00143D95"/>
    <w:rsid w:val="00143F2B"/>
    <w:rsid w:val="0014440B"/>
    <w:rsid w:val="001505CB"/>
    <w:rsid w:val="00150684"/>
    <w:rsid w:val="00154B14"/>
    <w:rsid w:val="00157AC9"/>
    <w:rsid w:val="00160CF0"/>
    <w:rsid w:val="00161535"/>
    <w:rsid w:val="00161B9F"/>
    <w:rsid w:val="00164704"/>
    <w:rsid w:val="001651BA"/>
    <w:rsid w:val="00166C76"/>
    <w:rsid w:val="00167905"/>
    <w:rsid w:val="00167CE4"/>
    <w:rsid w:val="00174CBA"/>
    <w:rsid w:val="001756E1"/>
    <w:rsid w:val="00175F65"/>
    <w:rsid w:val="001809B0"/>
    <w:rsid w:val="00182546"/>
    <w:rsid w:val="00185207"/>
    <w:rsid w:val="00185F55"/>
    <w:rsid w:val="00190589"/>
    <w:rsid w:val="00190B20"/>
    <w:rsid w:val="00190C14"/>
    <w:rsid w:val="00190E00"/>
    <w:rsid w:val="00193495"/>
    <w:rsid w:val="0019416C"/>
    <w:rsid w:val="00194A67"/>
    <w:rsid w:val="00196CDF"/>
    <w:rsid w:val="00197107"/>
    <w:rsid w:val="001A026D"/>
    <w:rsid w:val="001A2363"/>
    <w:rsid w:val="001A3F29"/>
    <w:rsid w:val="001A408C"/>
    <w:rsid w:val="001A5507"/>
    <w:rsid w:val="001B14E8"/>
    <w:rsid w:val="001B14FE"/>
    <w:rsid w:val="001B2995"/>
    <w:rsid w:val="001B2AA6"/>
    <w:rsid w:val="001B3FCF"/>
    <w:rsid w:val="001B426D"/>
    <w:rsid w:val="001B7F08"/>
    <w:rsid w:val="001C1138"/>
    <w:rsid w:val="001C2455"/>
    <w:rsid w:val="001C2B8A"/>
    <w:rsid w:val="001C41AF"/>
    <w:rsid w:val="001C5D28"/>
    <w:rsid w:val="001D0B7D"/>
    <w:rsid w:val="001D0C3A"/>
    <w:rsid w:val="001D165D"/>
    <w:rsid w:val="001D3E28"/>
    <w:rsid w:val="001D53A4"/>
    <w:rsid w:val="001E06DB"/>
    <w:rsid w:val="001E1830"/>
    <w:rsid w:val="001E2B70"/>
    <w:rsid w:val="001E30A5"/>
    <w:rsid w:val="001E74E3"/>
    <w:rsid w:val="001E7B8A"/>
    <w:rsid w:val="001F05DF"/>
    <w:rsid w:val="001F25A5"/>
    <w:rsid w:val="001F2610"/>
    <w:rsid w:val="001F3296"/>
    <w:rsid w:val="001F4E6C"/>
    <w:rsid w:val="001F606F"/>
    <w:rsid w:val="001F639A"/>
    <w:rsid w:val="00200AE6"/>
    <w:rsid w:val="00202EF9"/>
    <w:rsid w:val="00203117"/>
    <w:rsid w:val="00213E24"/>
    <w:rsid w:val="002140EC"/>
    <w:rsid w:val="002157A0"/>
    <w:rsid w:val="00216022"/>
    <w:rsid w:val="002208F8"/>
    <w:rsid w:val="00223D45"/>
    <w:rsid w:val="00233C1B"/>
    <w:rsid w:val="00236816"/>
    <w:rsid w:val="002369C9"/>
    <w:rsid w:val="00240AFC"/>
    <w:rsid w:val="002466C2"/>
    <w:rsid w:val="002466F8"/>
    <w:rsid w:val="002467E5"/>
    <w:rsid w:val="00247C8F"/>
    <w:rsid w:val="0025336A"/>
    <w:rsid w:val="00254BB0"/>
    <w:rsid w:val="00254DEC"/>
    <w:rsid w:val="00261435"/>
    <w:rsid w:val="00261C32"/>
    <w:rsid w:val="002630D6"/>
    <w:rsid w:val="002644C8"/>
    <w:rsid w:val="0027209B"/>
    <w:rsid w:val="002759A8"/>
    <w:rsid w:val="00282325"/>
    <w:rsid w:val="00283C34"/>
    <w:rsid w:val="00284A99"/>
    <w:rsid w:val="00285C7F"/>
    <w:rsid w:val="00285FBF"/>
    <w:rsid w:val="002863DE"/>
    <w:rsid w:val="002922A1"/>
    <w:rsid w:val="002929F4"/>
    <w:rsid w:val="0029318D"/>
    <w:rsid w:val="0029347E"/>
    <w:rsid w:val="00293EF3"/>
    <w:rsid w:val="00294870"/>
    <w:rsid w:val="0029489F"/>
    <w:rsid w:val="00294A38"/>
    <w:rsid w:val="00295AF1"/>
    <w:rsid w:val="002A0D8A"/>
    <w:rsid w:val="002A4906"/>
    <w:rsid w:val="002A6E66"/>
    <w:rsid w:val="002A6FAF"/>
    <w:rsid w:val="002B2366"/>
    <w:rsid w:val="002B2924"/>
    <w:rsid w:val="002B2D8F"/>
    <w:rsid w:val="002B5534"/>
    <w:rsid w:val="002B554A"/>
    <w:rsid w:val="002B5BEE"/>
    <w:rsid w:val="002B6C62"/>
    <w:rsid w:val="002C20B2"/>
    <w:rsid w:val="002C2C25"/>
    <w:rsid w:val="002C5C33"/>
    <w:rsid w:val="002C789D"/>
    <w:rsid w:val="002D0AFC"/>
    <w:rsid w:val="002D1E2C"/>
    <w:rsid w:val="002D6D87"/>
    <w:rsid w:val="002E0AB5"/>
    <w:rsid w:val="002E2A79"/>
    <w:rsid w:val="002E43A8"/>
    <w:rsid w:val="002E60F6"/>
    <w:rsid w:val="002F1775"/>
    <w:rsid w:val="002F1BE0"/>
    <w:rsid w:val="002F1F16"/>
    <w:rsid w:val="002F5B95"/>
    <w:rsid w:val="002F6E48"/>
    <w:rsid w:val="00300916"/>
    <w:rsid w:val="00300971"/>
    <w:rsid w:val="003022A8"/>
    <w:rsid w:val="00302D0E"/>
    <w:rsid w:val="00304953"/>
    <w:rsid w:val="00306057"/>
    <w:rsid w:val="00306748"/>
    <w:rsid w:val="00306C26"/>
    <w:rsid w:val="00310E7E"/>
    <w:rsid w:val="00313C12"/>
    <w:rsid w:val="003141D9"/>
    <w:rsid w:val="0032020E"/>
    <w:rsid w:val="00320AD5"/>
    <w:rsid w:val="003227AA"/>
    <w:rsid w:val="00323435"/>
    <w:rsid w:val="003252F4"/>
    <w:rsid w:val="00325827"/>
    <w:rsid w:val="00326F91"/>
    <w:rsid w:val="00330E57"/>
    <w:rsid w:val="003322BA"/>
    <w:rsid w:val="0033234D"/>
    <w:rsid w:val="0033366B"/>
    <w:rsid w:val="00333F57"/>
    <w:rsid w:val="00333F85"/>
    <w:rsid w:val="003345D3"/>
    <w:rsid w:val="00334EE9"/>
    <w:rsid w:val="00335CB2"/>
    <w:rsid w:val="0033734B"/>
    <w:rsid w:val="00342A90"/>
    <w:rsid w:val="003456F1"/>
    <w:rsid w:val="0035003D"/>
    <w:rsid w:val="00350AC3"/>
    <w:rsid w:val="00352A64"/>
    <w:rsid w:val="00352A7D"/>
    <w:rsid w:val="003571AD"/>
    <w:rsid w:val="00357EF0"/>
    <w:rsid w:val="003613FF"/>
    <w:rsid w:val="003619B1"/>
    <w:rsid w:val="00361F1D"/>
    <w:rsid w:val="003645D9"/>
    <w:rsid w:val="00366743"/>
    <w:rsid w:val="00366D02"/>
    <w:rsid w:val="00367B40"/>
    <w:rsid w:val="00370329"/>
    <w:rsid w:val="003707F0"/>
    <w:rsid w:val="00373AD9"/>
    <w:rsid w:val="0037564C"/>
    <w:rsid w:val="00375731"/>
    <w:rsid w:val="00380070"/>
    <w:rsid w:val="0038091B"/>
    <w:rsid w:val="0038222F"/>
    <w:rsid w:val="003826D8"/>
    <w:rsid w:val="00383A3F"/>
    <w:rsid w:val="00383E2C"/>
    <w:rsid w:val="00385147"/>
    <w:rsid w:val="00385F95"/>
    <w:rsid w:val="00391ABE"/>
    <w:rsid w:val="00393058"/>
    <w:rsid w:val="00393445"/>
    <w:rsid w:val="00393C2B"/>
    <w:rsid w:val="00394855"/>
    <w:rsid w:val="0039495F"/>
    <w:rsid w:val="0039556C"/>
    <w:rsid w:val="003958E1"/>
    <w:rsid w:val="00396FA5"/>
    <w:rsid w:val="003A35F9"/>
    <w:rsid w:val="003A3A94"/>
    <w:rsid w:val="003A429A"/>
    <w:rsid w:val="003A4773"/>
    <w:rsid w:val="003A6EE6"/>
    <w:rsid w:val="003B0F96"/>
    <w:rsid w:val="003B4676"/>
    <w:rsid w:val="003B5527"/>
    <w:rsid w:val="003C1462"/>
    <w:rsid w:val="003C20AC"/>
    <w:rsid w:val="003C3ECE"/>
    <w:rsid w:val="003C4C30"/>
    <w:rsid w:val="003C528B"/>
    <w:rsid w:val="003D00E1"/>
    <w:rsid w:val="003D086B"/>
    <w:rsid w:val="003D32E1"/>
    <w:rsid w:val="003D4E87"/>
    <w:rsid w:val="003D7C68"/>
    <w:rsid w:val="003D7F06"/>
    <w:rsid w:val="003E18A5"/>
    <w:rsid w:val="003E332D"/>
    <w:rsid w:val="003E36A4"/>
    <w:rsid w:val="003E3BE8"/>
    <w:rsid w:val="003F15FC"/>
    <w:rsid w:val="003F2DB4"/>
    <w:rsid w:val="003F376E"/>
    <w:rsid w:val="003F62BA"/>
    <w:rsid w:val="003F6A11"/>
    <w:rsid w:val="00402A38"/>
    <w:rsid w:val="00403BA9"/>
    <w:rsid w:val="004049EC"/>
    <w:rsid w:val="00406DDC"/>
    <w:rsid w:val="00406F4B"/>
    <w:rsid w:val="00410D18"/>
    <w:rsid w:val="00413AD0"/>
    <w:rsid w:val="00413C84"/>
    <w:rsid w:val="0041558E"/>
    <w:rsid w:val="00415ACC"/>
    <w:rsid w:val="00417A0C"/>
    <w:rsid w:val="00417EBC"/>
    <w:rsid w:val="00417F15"/>
    <w:rsid w:val="004232DF"/>
    <w:rsid w:val="00423C9D"/>
    <w:rsid w:val="0042410C"/>
    <w:rsid w:val="00424150"/>
    <w:rsid w:val="00424461"/>
    <w:rsid w:val="0042724E"/>
    <w:rsid w:val="004272B2"/>
    <w:rsid w:val="00427E25"/>
    <w:rsid w:val="00431E88"/>
    <w:rsid w:val="0044007E"/>
    <w:rsid w:val="00441D03"/>
    <w:rsid w:val="00442717"/>
    <w:rsid w:val="00442BDA"/>
    <w:rsid w:val="004431AE"/>
    <w:rsid w:val="0044433D"/>
    <w:rsid w:val="0044437C"/>
    <w:rsid w:val="004443EF"/>
    <w:rsid w:val="00446483"/>
    <w:rsid w:val="004508C8"/>
    <w:rsid w:val="00452CF9"/>
    <w:rsid w:val="00453F82"/>
    <w:rsid w:val="0045694E"/>
    <w:rsid w:val="00462355"/>
    <w:rsid w:val="004628C4"/>
    <w:rsid w:val="004639C9"/>
    <w:rsid w:val="00463D87"/>
    <w:rsid w:val="004655D6"/>
    <w:rsid w:val="004656E1"/>
    <w:rsid w:val="00465CF1"/>
    <w:rsid w:val="00467350"/>
    <w:rsid w:val="00471054"/>
    <w:rsid w:val="0047165F"/>
    <w:rsid w:val="00472DC9"/>
    <w:rsid w:val="00473C7A"/>
    <w:rsid w:val="00474764"/>
    <w:rsid w:val="004748C0"/>
    <w:rsid w:val="00474A71"/>
    <w:rsid w:val="004751FF"/>
    <w:rsid w:val="00477FC1"/>
    <w:rsid w:val="004828FF"/>
    <w:rsid w:val="00482D0C"/>
    <w:rsid w:val="00487A7D"/>
    <w:rsid w:val="00493D48"/>
    <w:rsid w:val="00494840"/>
    <w:rsid w:val="004954EE"/>
    <w:rsid w:val="004A1B47"/>
    <w:rsid w:val="004A2A9A"/>
    <w:rsid w:val="004A2F58"/>
    <w:rsid w:val="004A3CCB"/>
    <w:rsid w:val="004A3EA7"/>
    <w:rsid w:val="004B020C"/>
    <w:rsid w:val="004B0DC6"/>
    <w:rsid w:val="004B3053"/>
    <w:rsid w:val="004B3617"/>
    <w:rsid w:val="004B4522"/>
    <w:rsid w:val="004B45E1"/>
    <w:rsid w:val="004B6E11"/>
    <w:rsid w:val="004B7A99"/>
    <w:rsid w:val="004C081E"/>
    <w:rsid w:val="004C2AE8"/>
    <w:rsid w:val="004C3E11"/>
    <w:rsid w:val="004D0CFD"/>
    <w:rsid w:val="004D103C"/>
    <w:rsid w:val="004D2FF6"/>
    <w:rsid w:val="004D57DB"/>
    <w:rsid w:val="004D5B65"/>
    <w:rsid w:val="004E05EB"/>
    <w:rsid w:val="004E109C"/>
    <w:rsid w:val="004E19E5"/>
    <w:rsid w:val="004E1A74"/>
    <w:rsid w:val="004E1DAB"/>
    <w:rsid w:val="004E3005"/>
    <w:rsid w:val="004E32B8"/>
    <w:rsid w:val="004E53B5"/>
    <w:rsid w:val="004E56CD"/>
    <w:rsid w:val="004E5DE0"/>
    <w:rsid w:val="004E6A0A"/>
    <w:rsid w:val="004F38DF"/>
    <w:rsid w:val="004F4105"/>
    <w:rsid w:val="004F51AA"/>
    <w:rsid w:val="004F6C5A"/>
    <w:rsid w:val="004F7047"/>
    <w:rsid w:val="0050046D"/>
    <w:rsid w:val="005008B9"/>
    <w:rsid w:val="00503E1E"/>
    <w:rsid w:val="00504080"/>
    <w:rsid w:val="00505157"/>
    <w:rsid w:val="00510127"/>
    <w:rsid w:val="00510840"/>
    <w:rsid w:val="00510F4C"/>
    <w:rsid w:val="00511A8A"/>
    <w:rsid w:val="00512479"/>
    <w:rsid w:val="005131A1"/>
    <w:rsid w:val="00516C95"/>
    <w:rsid w:val="00516F01"/>
    <w:rsid w:val="005179BF"/>
    <w:rsid w:val="005208A8"/>
    <w:rsid w:val="00521012"/>
    <w:rsid w:val="005214D6"/>
    <w:rsid w:val="005216B9"/>
    <w:rsid w:val="00521BBD"/>
    <w:rsid w:val="005224E1"/>
    <w:rsid w:val="00523472"/>
    <w:rsid w:val="00523493"/>
    <w:rsid w:val="00523E77"/>
    <w:rsid w:val="00524E90"/>
    <w:rsid w:val="005321AC"/>
    <w:rsid w:val="00532716"/>
    <w:rsid w:val="005366DD"/>
    <w:rsid w:val="00537727"/>
    <w:rsid w:val="00545F94"/>
    <w:rsid w:val="00546436"/>
    <w:rsid w:val="00546E42"/>
    <w:rsid w:val="00552F47"/>
    <w:rsid w:val="00552FC1"/>
    <w:rsid w:val="00553987"/>
    <w:rsid w:val="00554408"/>
    <w:rsid w:val="00554A01"/>
    <w:rsid w:val="00554E3B"/>
    <w:rsid w:val="00560522"/>
    <w:rsid w:val="005706C9"/>
    <w:rsid w:val="00572B65"/>
    <w:rsid w:val="00572E42"/>
    <w:rsid w:val="00573DEF"/>
    <w:rsid w:val="005744D2"/>
    <w:rsid w:val="005751E2"/>
    <w:rsid w:val="00575A76"/>
    <w:rsid w:val="00580A83"/>
    <w:rsid w:val="005813D6"/>
    <w:rsid w:val="00582B8A"/>
    <w:rsid w:val="005839AA"/>
    <w:rsid w:val="00583A67"/>
    <w:rsid w:val="00583B54"/>
    <w:rsid w:val="005840B9"/>
    <w:rsid w:val="00584F95"/>
    <w:rsid w:val="005901F5"/>
    <w:rsid w:val="00593318"/>
    <w:rsid w:val="00593AD1"/>
    <w:rsid w:val="00595B5E"/>
    <w:rsid w:val="00595C7E"/>
    <w:rsid w:val="00597B6F"/>
    <w:rsid w:val="005A09C3"/>
    <w:rsid w:val="005A203D"/>
    <w:rsid w:val="005A2055"/>
    <w:rsid w:val="005A22CC"/>
    <w:rsid w:val="005A319A"/>
    <w:rsid w:val="005A5B26"/>
    <w:rsid w:val="005A6774"/>
    <w:rsid w:val="005A7964"/>
    <w:rsid w:val="005B3CD2"/>
    <w:rsid w:val="005B4BC9"/>
    <w:rsid w:val="005B566F"/>
    <w:rsid w:val="005C110A"/>
    <w:rsid w:val="005C48BB"/>
    <w:rsid w:val="005C4C02"/>
    <w:rsid w:val="005C52B2"/>
    <w:rsid w:val="005D0A9C"/>
    <w:rsid w:val="005D23B5"/>
    <w:rsid w:val="005D61CB"/>
    <w:rsid w:val="005D6336"/>
    <w:rsid w:val="005D6BC1"/>
    <w:rsid w:val="005E16A6"/>
    <w:rsid w:val="005E2DA5"/>
    <w:rsid w:val="005E3DAA"/>
    <w:rsid w:val="005E3F98"/>
    <w:rsid w:val="005E494A"/>
    <w:rsid w:val="005E532A"/>
    <w:rsid w:val="005E78D4"/>
    <w:rsid w:val="005E7CE2"/>
    <w:rsid w:val="005F11C2"/>
    <w:rsid w:val="005F1D2D"/>
    <w:rsid w:val="005F264F"/>
    <w:rsid w:val="005F3931"/>
    <w:rsid w:val="005F504F"/>
    <w:rsid w:val="005F6AE9"/>
    <w:rsid w:val="005F7575"/>
    <w:rsid w:val="00600B1F"/>
    <w:rsid w:val="00610484"/>
    <w:rsid w:val="00610AF8"/>
    <w:rsid w:val="00610E5B"/>
    <w:rsid w:val="006121F4"/>
    <w:rsid w:val="00620601"/>
    <w:rsid w:val="006210F8"/>
    <w:rsid w:val="00621226"/>
    <w:rsid w:val="00622B1A"/>
    <w:rsid w:val="00623015"/>
    <w:rsid w:val="006234A5"/>
    <w:rsid w:val="00625755"/>
    <w:rsid w:val="00626C82"/>
    <w:rsid w:val="0062788D"/>
    <w:rsid w:val="00631402"/>
    <w:rsid w:val="00635849"/>
    <w:rsid w:val="00637334"/>
    <w:rsid w:val="00637499"/>
    <w:rsid w:val="006439E0"/>
    <w:rsid w:val="006461D8"/>
    <w:rsid w:val="00646D5D"/>
    <w:rsid w:val="0064748C"/>
    <w:rsid w:val="00647E70"/>
    <w:rsid w:val="006507B0"/>
    <w:rsid w:val="00653F43"/>
    <w:rsid w:val="006577EF"/>
    <w:rsid w:val="00657B02"/>
    <w:rsid w:val="00661A49"/>
    <w:rsid w:val="00662895"/>
    <w:rsid w:val="00670998"/>
    <w:rsid w:val="00671272"/>
    <w:rsid w:val="00680DBE"/>
    <w:rsid w:val="00680EE1"/>
    <w:rsid w:val="00684376"/>
    <w:rsid w:val="006859EF"/>
    <w:rsid w:val="00685C7E"/>
    <w:rsid w:val="00687486"/>
    <w:rsid w:val="006875A8"/>
    <w:rsid w:val="00691407"/>
    <w:rsid w:val="00691557"/>
    <w:rsid w:val="006929D3"/>
    <w:rsid w:val="00693824"/>
    <w:rsid w:val="006948CE"/>
    <w:rsid w:val="006A2665"/>
    <w:rsid w:val="006A2AE3"/>
    <w:rsid w:val="006B222B"/>
    <w:rsid w:val="006B79C0"/>
    <w:rsid w:val="006B79CB"/>
    <w:rsid w:val="006B7D27"/>
    <w:rsid w:val="006C0B4E"/>
    <w:rsid w:val="006C1D22"/>
    <w:rsid w:val="006C1F69"/>
    <w:rsid w:val="006C2553"/>
    <w:rsid w:val="006C3387"/>
    <w:rsid w:val="006C3EA6"/>
    <w:rsid w:val="006C48E8"/>
    <w:rsid w:val="006C4E2F"/>
    <w:rsid w:val="006C4F49"/>
    <w:rsid w:val="006D0B2D"/>
    <w:rsid w:val="006D14CE"/>
    <w:rsid w:val="006D520D"/>
    <w:rsid w:val="006D6872"/>
    <w:rsid w:val="006E2DB5"/>
    <w:rsid w:val="006E302A"/>
    <w:rsid w:val="006E3708"/>
    <w:rsid w:val="006E7F5A"/>
    <w:rsid w:val="006F01DB"/>
    <w:rsid w:val="006F0F00"/>
    <w:rsid w:val="006F3D62"/>
    <w:rsid w:val="007003FA"/>
    <w:rsid w:val="00702288"/>
    <w:rsid w:val="00702C65"/>
    <w:rsid w:val="00702E3C"/>
    <w:rsid w:val="007041FE"/>
    <w:rsid w:val="00704D51"/>
    <w:rsid w:val="00705BCD"/>
    <w:rsid w:val="00706453"/>
    <w:rsid w:val="0071550C"/>
    <w:rsid w:val="0071592C"/>
    <w:rsid w:val="00717589"/>
    <w:rsid w:val="00720F15"/>
    <w:rsid w:val="00720FD0"/>
    <w:rsid w:val="007231D8"/>
    <w:rsid w:val="007237F1"/>
    <w:rsid w:val="00725022"/>
    <w:rsid w:val="00726C5D"/>
    <w:rsid w:val="007303C9"/>
    <w:rsid w:val="00734D90"/>
    <w:rsid w:val="00735F59"/>
    <w:rsid w:val="0073640E"/>
    <w:rsid w:val="00736698"/>
    <w:rsid w:val="00736A39"/>
    <w:rsid w:val="00741208"/>
    <w:rsid w:val="00743336"/>
    <w:rsid w:val="007438E7"/>
    <w:rsid w:val="00743A2C"/>
    <w:rsid w:val="0074534B"/>
    <w:rsid w:val="00746AE9"/>
    <w:rsid w:val="00754EC2"/>
    <w:rsid w:val="007553D6"/>
    <w:rsid w:val="0075577D"/>
    <w:rsid w:val="00756078"/>
    <w:rsid w:val="007602C1"/>
    <w:rsid w:val="0076455D"/>
    <w:rsid w:val="00764DC9"/>
    <w:rsid w:val="00765041"/>
    <w:rsid w:val="00765C0A"/>
    <w:rsid w:val="007661FB"/>
    <w:rsid w:val="00766900"/>
    <w:rsid w:val="00767920"/>
    <w:rsid w:val="007708A1"/>
    <w:rsid w:val="00770E07"/>
    <w:rsid w:val="0077552B"/>
    <w:rsid w:val="007772BC"/>
    <w:rsid w:val="007827DB"/>
    <w:rsid w:val="00785C3C"/>
    <w:rsid w:val="00786D54"/>
    <w:rsid w:val="00787B1A"/>
    <w:rsid w:val="00791190"/>
    <w:rsid w:val="00794ED1"/>
    <w:rsid w:val="007951A7"/>
    <w:rsid w:val="007A716D"/>
    <w:rsid w:val="007B083F"/>
    <w:rsid w:val="007B510D"/>
    <w:rsid w:val="007B63B8"/>
    <w:rsid w:val="007B7167"/>
    <w:rsid w:val="007C0575"/>
    <w:rsid w:val="007C0C07"/>
    <w:rsid w:val="007C0D90"/>
    <w:rsid w:val="007C15E6"/>
    <w:rsid w:val="007C1B73"/>
    <w:rsid w:val="007C1F33"/>
    <w:rsid w:val="007E1468"/>
    <w:rsid w:val="007E1F63"/>
    <w:rsid w:val="007E4CC4"/>
    <w:rsid w:val="007E59CC"/>
    <w:rsid w:val="007E6152"/>
    <w:rsid w:val="007E6A1F"/>
    <w:rsid w:val="007E6B40"/>
    <w:rsid w:val="007F237A"/>
    <w:rsid w:val="007F3A3C"/>
    <w:rsid w:val="007F3C5D"/>
    <w:rsid w:val="007F7B7C"/>
    <w:rsid w:val="0080112C"/>
    <w:rsid w:val="008063CF"/>
    <w:rsid w:val="00806A68"/>
    <w:rsid w:val="00806B5D"/>
    <w:rsid w:val="00807062"/>
    <w:rsid w:val="00810774"/>
    <w:rsid w:val="00813FF1"/>
    <w:rsid w:val="00814062"/>
    <w:rsid w:val="0081426A"/>
    <w:rsid w:val="00814EA9"/>
    <w:rsid w:val="0081546E"/>
    <w:rsid w:val="008160AC"/>
    <w:rsid w:val="008169FE"/>
    <w:rsid w:val="00816B32"/>
    <w:rsid w:val="008212DB"/>
    <w:rsid w:val="00822350"/>
    <w:rsid w:val="0082788B"/>
    <w:rsid w:val="00830609"/>
    <w:rsid w:val="00830C16"/>
    <w:rsid w:val="00833578"/>
    <w:rsid w:val="00833701"/>
    <w:rsid w:val="00836F06"/>
    <w:rsid w:val="008374C3"/>
    <w:rsid w:val="00841133"/>
    <w:rsid w:val="008423C1"/>
    <w:rsid w:val="0084290E"/>
    <w:rsid w:val="0084381A"/>
    <w:rsid w:val="00843BB1"/>
    <w:rsid w:val="00845936"/>
    <w:rsid w:val="0084620C"/>
    <w:rsid w:val="00851ED0"/>
    <w:rsid w:val="00851F15"/>
    <w:rsid w:val="00856BF6"/>
    <w:rsid w:val="00865C0B"/>
    <w:rsid w:val="008676D1"/>
    <w:rsid w:val="00871D68"/>
    <w:rsid w:val="00873993"/>
    <w:rsid w:val="00874257"/>
    <w:rsid w:val="0087510A"/>
    <w:rsid w:val="008818BD"/>
    <w:rsid w:val="00882919"/>
    <w:rsid w:val="00887F32"/>
    <w:rsid w:val="008907F9"/>
    <w:rsid w:val="00891975"/>
    <w:rsid w:val="00891DA9"/>
    <w:rsid w:val="00891F54"/>
    <w:rsid w:val="00894238"/>
    <w:rsid w:val="008967CB"/>
    <w:rsid w:val="00897A0C"/>
    <w:rsid w:val="008A4580"/>
    <w:rsid w:val="008A639C"/>
    <w:rsid w:val="008A6EF6"/>
    <w:rsid w:val="008A7487"/>
    <w:rsid w:val="008A7873"/>
    <w:rsid w:val="008B0C92"/>
    <w:rsid w:val="008B0DFE"/>
    <w:rsid w:val="008B1A16"/>
    <w:rsid w:val="008B4CC5"/>
    <w:rsid w:val="008B4EC1"/>
    <w:rsid w:val="008B64E5"/>
    <w:rsid w:val="008B781F"/>
    <w:rsid w:val="008C0846"/>
    <w:rsid w:val="008C0A43"/>
    <w:rsid w:val="008C150B"/>
    <w:rsid w:val="008C1A1E"/>
    <w:rsid w:val="008C31C0"/>
    <w:rsid w:val="008C43CB"/>
    <w:rsid w:val="008D55C3"/>
    <w:rsid w:val="008E0069"/>
    <w:rsid w:val="008E18EF"/>
    <w:rsid w:val="008E1E1B"/>
    <w:rsid w:val="008E5771"/>
    <w:rsid w:val="008E5D3E"/>
    <w:rsid w:val="008E6D0C"/>
    <w:rsid w:val="008E785A"/>
    <w:rsid w:val="008E7EBC"/>
    <w:rsid w:val="008F00A4"/>
    <w:rsid w:val="008F0AB5"/>
    <w:rsid w:val="008F1B49"/>
    <w:rsid w:val="008F204D"/>
    <w:rsid w:val="008F4D63"/>
    <w:rsid w:val="008F5BF8"/>
    <w:rsid w:val="008F5BFF"/>
    <w:rsid w:val="008F5DE5"/>
    <w:rsid w:val="008F672D"/>
    <w:rsid w:val="008F7810"/>
    <w:rsid w:val="00900D93"/>
    <w:rsid w:val="00904D48"/>
    <w:rsid w:val="00905505"/>
    <w:rsid w:val="00907433"/>
    <w:rsid w:val="00912424"/>
    <w:rsid w:val="0091312F"/>
    <w:rsid w:val="009136C5"/>
    <w:rsid w:val="009139F7"/>
    <w:rsid w:val="0091418F"/>
    <w:rsid w:val="00914CDF"/>
    <w:rsid w:val="00915411"/>
    <w:rsid w:val="00916CBC"/>
    <w:rsid w:val="0092017E"/>
    <w:rsid w:val="00920487"/>
    <w:rsid w:val="0092359F"/>
    <w:rsid w:val="0092447D"/>
    <w:rsid w:val="00924C9C"/>
    <w:rsid w:val="0093392E"/>
    <w:rsid w:val="009364DC"/>
    <w:rsid w:val="00940661"/>
    <w:rsid w:val="00940C32"/>
    <w:rsid w:val="00944264"/>
    <w:rsid w:val="00944DEF"/>
    <w:rsid w:val="0094567B"/>
    <w:rsid w:val="00945B15"/>
    <w:rsid w:val="00945DB6"/>
    <w:rsid w:val="00946643"/>
    <w:rsid w:val="009501D9"/>
    <w:rsid w:val="00952E0D"/>
    <w:rsid w:val="0095413A"/>
    <w:rsid w:val="00954227"/>
    <w:rsid w:val="0095449A"/>
    <w:rsid w:val="0095653E"/>
    <w:rsid w:val="00962199"/>
    <w:rsid w:val="00962A6D"/>
    <w:rsid w:val="00962F82"/>
    <w:rsid w:val="00965231"/>
    <w:rsid w:val="00965893"/>
    <w:rsid w:val="009661CD"/>
    <w:rsid w:val="009663B5"/>
    <w:rsid w:val="00966F97"/>
    <w:rsid w:val="0097147D"/>
    <w:rsid w:val="00971E68"/>
    <w:rsid w:val="0097427A"/>
    <w:rsid w:val="00975F39"/>
    <w:rsid w:val="009760D3"/>
    <w:rsid w:val="00980AFD"/>
    <w:rsid w:val="0098106A"/>
    <w:rsid w:val="0098203C"/>
    <w:rsid w:val="00982CBA"/>
    <w:rsid w:val="009833F2"/>
    <w:rsid w:val="00986F9B"/>
    <w:rsid w:val="009915C9"/>
    <w:rsid w:val="009952DD"/>
    <w:rsid w:val="009A0920"/>
    <w:rsid w:val="009A1122"/>
    <w:rsid w:val="009A173C"/>
    <w:rsid w:val="009A262D"/>
    <w:rsid w:val="009A4061"/>
    <w:rsid w:val="009A492D"/>
    <w:rsid w:val="009A4F0B"/>
    <w:rsid w:val="009A6313"/>
    <w:rsid w:val="009B04BE"/>
    <w:rsid w:val="009B1A27"/>
    <w:rsid w:val="009B2061"/>
    <w:rsid w:val="009B35ED"/>
    <w:rsid w:val="009B6409"/>
    <w:rsid w:val="009B66E8"/>
    <w:rsid w:val="009C1889"/>
    <w:rsid w:val="009C1AC5"/>
    <w:rsid w:val="009C2DA3"/>
    <w:rsid w:val="009C77C6"/>
    <w:rsid w:val="009D356B"/>
    <w:rsid w:val="009D3660"/>
    <w:rsid w:val="009D7525"/>
    <w:rsid w:val="009E1733"/>
    <w:rsid w:val="009E342B"/>
    <w:rsid w:val="009E6D03"/>
    <w:rsid w:val="009E72DD"/>
    <w:rsid w:val="009F063A"/>
    <w:rsid w:val="009F1BD4"/>
    <w:rsid w:val="009F335D"/>
    <w:rsid w:val="009F4302"/>
    <w:rsid w:val="009F4CFD"/>
    <w:rsid w:val="009F5E07"/>
    <w:rsid w:val="009F623E"/>
    <w:rsid w:val="00A01625"/>
    <w:rsid w:val="00A024F9"/>
    <w:rsid w:val="00A03A5D"/>
    <w:rsid w:val="00A049C7"/>
    <w:rsid w:val="00A07B17"/>
    <w:rsid w:val="00A10316"/>
    <w:rsid w:val="00A10A70"/>
    <w:rsid w:val="00A10FA7"/>
    <w:rsid w:val="00A11DDD"/>
    <w:rsid w:val="00A12C58"/>
    <w:rsid w:val="00A20E13"/>
    <w:rsid w:val="00A21227"/>
    <w:rsid w:val="00A231E2"/>
    <w:rsid w:val="00A312A2"/>
    <w:rsid w:val="00A3237B"/>
    <w:rsid w:val="00A3267E"/>
    <w:rsid w:val="00A32BC3"/>
    <w:rsid w:val="00A34C1A"/>
    <w:rsid w:val="00A35B09"/>
    <w:rsid w:val="00A37B68"/>
    <w:rsid w:val="00A419C1"/>
    <w:rsid w:val="00A4299B"/>
    <w:rsid w:val="00A43638"/>
    <w:rsid w:val="00A43CB0"/>
    <w:rsid w:val="00A456C1"/>
    <w:rsid w:val="00A45ADC"/>
    <w:rsid w:val="00A47064"/>
    <w:rsid w:val="00A50EAE"/>
    <w:rsid w:val="00A50EFA"/>
    <w:rsid w:val="00A525F0"/>
    <w:rsid w:val="00A53AF0"/>
    <w:rsid w:val="00A53FC1"/>
    <w:rsid w:val="00A63938"/>
    <w:rsid w:val="00A64388"/>
    <w:rsid w:val="00A70029"/>
    <w:rsid w:val="00A71BBF"/>
    <w:rsid w:val="00A72A32"/>
    <w:rsid w:val="00A72B53"/>
    <w:rsid w:val="00A74421"/>
    <w:rsid w:val="00A74A3E"/>
    <w:rsid w:val="00A751E2"/>
    <w:rsid w:val="00A76055"/>
    <w:rsid w:val="00A7735D"/>
    <w:rsid w:val="00A77C7F"/>
    <w:rsid w:val="00A77C9F"/>
    <w:rsid w:val="00A80721"/>
    <w:rsid w:val="00A814ED"/>
    <w:rsid w:val="00A81545"/>
    <w:rsid w:val="00A82C85"/>
    <w:rsid w:val="00A83966"/>
    <w:rsid w:val="00A83C31"/>
    <w:rsid w:val="00A8495C"/>
    <w:rsid w:val="00A8657F"/>
    <w:rsid w:val="00A86C88"/>
    <w:rsid w:val="00A91D0C"/>
    <w:rsid w:val="00A91E19"/>
    <w:rsid w:val="00A9298A"/>
    <w:rsid w:val="00A92ED2"/>
    <w:rsid w:val="00A94C14"/>
    <w:rsid w:val="00AA1986"/>
    <w:rsid w:val="00AA1F33"/>
    <w:rsid w:val="00AA3849"/>
    <w:rsid w:val="00AA3CDE"/>
    <w:rsid w:val="00AA61BF"/>
    <w:rsid w:val="00AA7847"/>
    <w:rsid w:val="00AB2746"/>
    <w:rsid w:val="00AB6AE9"/>
    <w:rsid w:val="00AB78EA"/>
    <w:rsid w:val="00AC0C02"/>
    <w:rsid w:val="00AC2CD0"/>
    <w:rsid w:val="00AC3CDE"/>
    <w:rsid w:val="00AD4AEE"/>
    <w:rsid w:val="00AD770C"/>
    <w:rsid w:val="00AE0A5C"/>
    <w:rsid w:val="00AE2491"/>
    <w:rsid w:val="00AE67C6"/>
    <w:rsid w:val="00AE75B7"/>
    <w:rsid w:val="00AF0D37"/>
    <w:rsid w:val="00AF1185"/>
    <w:rsid w:val="00AF1295"/>
    <w:rsid w:val="00AF1903"/>
    <w:rsid w:val="00AF1EBA"/>
    <w:rsid w:val="00AF2C16"/>
    <w:rsid w:val="00AF3093"/>
    <w:rsid w:val="00AF3545"/>
    <w:rsid w:val="00AF3AA0"/>
    <w:rsid w:val="00AF4AA5"/>
    <w:rsid w:val="00AF4F16"/>
    <w:rsid w:val="00AF7E24"/>
    <w:rsid w:val="00B03154"/>
    <w:rsid w:val="00B03B18"/>
    <w:rsid w:val="00B12853"/>
    <w:rsid w:val="00B17620"/>
    <w:rsid w:val="00B217DF"/>
    <w:rsid w:val="00B22A6B"/>
    <w:rsid w:val="00B23005"/>
    <w:rsid w:val="00B255CD"/>
    <w:rsid w:val="00B3081C"/>
    <w:rsid w:val="00B325CF"/>
    <w:rsid w:val="00B332D5"/>
    <w:rsid w:val="00B340E0"/>
    <w:rsid w:val="00B34309"/>
    <w:rsid w:val="00B35CB0"/>
    <w:rsid w:val="00B368B8"/>
    <w:rsid w:val="00B42B31"/>
    <w:rsid w:val="00B43395"/>
    <w:rsid w:val="00B469FF"/>
    <w:rsid w:val="00B47D3A"/>
    <w:rsid w:val="00B500B0"/>
    <w:rsid w:val="00B51631"/>
    <w:rsid w:val="00B5177F"/>
    <w:rsid w:val="00B5445F"/>
    <w:rsid w:val="00B5502C"/>
    <w:rsid w:val="00B563AC"/>
    <w:rsid w:val="00B60D2B"/>
    <w:rsid w:val="00B61F0C"/>
    <w:rsid w:val="00B64CFA"/>
    <w:rsid w:val="00B65123"/>
    <w:rsid w:val="00B65D9B"/>
    <w:rsid w:val="00B66495"/>
    <w:rsid w:val="00B67EDC"/>
    <w:rsid w:val="00B71D52"/>
    <w:rsid w:val="00B75670"/>
    <w:rsid w:val="00B75A0A"/>
    <w:rsid w:val="00B76E4A"/>
    <w:rsid w:val="00B802ED"/>
    <w:rsid w:val="00B81081"/>
    <w:rsid w:val="00B82597"/>
    <w:rsid w:val="00B848DF"/>
    <w:rsid w:val="00B84E25"/>
    <w:rsid w:val="00B85D12"/>
    <w:rsid w:val="00B866EC"/>
    <w:rsid w:val="00B8722E"/>
    <w:rsid w:val="00B928D8"/>
    <w:rsid w:val="00B93349"/>
    <w:rsid w:val="00B9339D"/>
    <w:rsid w:val="00B9392F"/>
    <w:rsid w:val="00B960D4"/>
    <w:rsid w:val="00B964CC"/>
    <w:rsid w:val="00B97190"/>
    <w:rsid w:val="00BA1757"/>
    <w:rsid w:val="00BA4BB6"/>
    <w:rsid w:val="00BA6E2F"/>
    <w:rsid w:val="00BB1921"/>
    <w:rsid w:val="00BB1A00"/>
    <w:rsid w:val="00BB4E4A"/>
    <w:rsid w:val="00BB5221"/>
    <w:rsid w:val="00BC095E"/>
    <w:rsid w:val="00BC1970"/>
    <w:rsid w:val="00BC4799"/>
    <w:rsid w:val="00BC78B6"/>
    <w:rsid w:val="00BD1EBE"/>
    <w:rsid w:val="00BD1F8C"/>
    <w:rsid w:val="00BD2218"/>
    <w:rsid w:val="00BD2364"/>
    <w:rsid w:val="00BD2407"/>
    <w:rsid w:val="00BD440D"/>
    <w:rsid w:val="00BD4B7B"/>
    <w:rsid w:val="00BD5F0D"/>
    <w:rsid w:val="00BD6396"/>
    <w:rsid w:val="00BD6C1A"/>
    <w:rsid w:val="00BE06DA"/>
    <w:rsid w:val="00BE5BB5"/>
    <w:rsid w:val="00BE7F8A"/>
    <w:rsid w:val="00BF17E6"/>
    <w:rsid w:val="00BF261F"/>
    <w:rsid w:val="00BF30C7"/>
    <w:rsid w:val="00BF4B2F"/>
    <w:rsid w:val="00BF4D18"/>
    <w:rsid w:val="00BF5CDE"/>
    <w:rsid w:val="00BF6C5A"/>
    <w:rsid w:val="00C0019C"/>
    <w:rsid w:val="00C012A6"/>
    <w:rsid w:val="00C01CE3"/>
    <w:rsid w:val="00C04F32"/>
    <w:rsid w:val="00C05071"/>
    <w:rsid w:val="00C06388"/>
    <w:rsid w:val="00C06C9D"/>
    <w:rsid w:val="00C10292"/>
    <w:rsid w:val="00C143EE"/>
    <w:rsid w:val="00C16443"/>
    <w:rsid w:val="00C21D2D"/>
    <w:rsid w:val="00C23CEC"/>
    <w:rsid w:val="00C26434"/>
    <w:rsid w:val="00C26D04"/>
    <w:rsid w:val="00C31B38"/>
    <w:rsid w:val="00C32253"/>
    <w:rsid w:val="00C3346E"/>
    <w:rsid w:val="00C34D62"/>
    <w:rsid w:val="00C35C08"/>
    <w:rsid w:val="00C40221"/>
    <w:rsid w:val="00C41561"/>
    <w:rsid w:val="00C423E6"/>
    <w:rsid w:val="00C4304F"/>
    <w:rsid w:val="00C437B2"/>
    <w:rsid w:val="00C43F06"/>
    <w:rsid w:val="00C47545"/>
    <w:rsid w:val="00C50287"/>
    <w:rsid w:val="00C50CA7"/>
    <w:rsid w:val="00C52106"/>
    <w:rsid w:val="00C52AEA"/>
    <w:rsid w:val="00C53C83"/>
    <w:rsid w:val="00C55270"/>
    <w:rsid w:val="00C56644"/>
    <w:rsid w:val="00C56925"/>
    <w:rsid w:val="00C5716C"/>
    <w:rsid w:val="00C575C7"/>
    <w:rsid w:val="00C579A1"/>
    <w:rsid w:val="00C6352D"/>
    <w:rsid w:val="00C63C6B"/>
    <w:rsid w:val="00C63DB9"/>
    <w:rsid w:val="00C64DF1"/>
    <w:rsid w:val="00C66DD1"/>
    <w:rsid w:val="00C6727E"/>
    <w:rsid w:val="00C6784D"/>
    <w:rsid w:val="00C67AB8"/>
    <w:rsid w:val="00C73AC7"/>
    <w:rsid w:val="00C73B06"/>
    <w:rsid w:val="00C779A3"/>
    <w:rsid w:val="00C77AB6"/>
    <w:rsid w:val="00C80030"/>
    <w:rsid w:val="00C80422"/>
    <w:rsid w:val="00C81C8D"/>
    <w:rsid w:val="00C83BC2"/>
    <w:rsid w:val="00C858CB"/>
    <w:rsid w:val="00C8623E"/>
    <w:rsid w:val="00C878FC"/>
    <w:rsid w:val="00C90889"/>
    <w:rsid w:val="00C927E6"/>
    <w:rsid w:val="00C93B55"/>
    <w:rsid w:val="00C954F4"/>
    <w:rsid w:val="00C9773A"/>
    <w:rsid w:val="00CA41AB"/>
    <w:rsid w:val="00CA4BF6"/>
    <w:rsid w:val="00CA6D7A"/>
    <w:rsid w:val="00CB1A4C"/>
    <w:rsid w:val="00CB1CF2"/>
    <w:rsid w:val="00CB312B"/>
    <w:rsid w:val="00CB372F"/>
    <w:rsid w:val="00CB52DD"/>
    <w:rsid w:val="00CB68F8"/>
    <w:rsid w:val="00CB7D3C"/>
    <w:rsid w:val="00CC4F4F"/>
    <w:rsid w:val="00CD0027"/>
    <w:rsid w:val="00CD014F"/>
    <w:rsid w:val="00CD043C"/>
    <w:rsid w:val="00CD260F"/>
    <w:rsid w:val="00CD3BA9"/>
    <w:rsid w:val="00CE0D33"/>
    <w:rsid w:val="00CE5630"/>
    <w:rsid w:val="00CE5643"/>
    <w:rsid w:val="00CE59C5"/>
    <w:rsid w:val="00CE6B71"/>
    <w:rsid w:val="00CF18C7"/>
    <w:rsid w:val="00CF1FA7"/>
    <w:rsid w:val="00CF259B"/>
    <w:rsid w:val="00CF2A7E"/>
    <w:rsid w:val="00CF2F46"/>
    <w:rsid w:val="00CF383D"/>
    <w:rsid w:val="00CF3EED"/>
    <w:rsid w:val="00CF5AE3"/>
    <w:rsid w:val="00CF7059"/>
    <w:rsid w:val="00CF7779"/>
    <w:rsid w:val="00CF7DDE"/>
    <w:rsid w:val="00D002C3"/>
    <w:rsid w:val="00D0055B"/>
    <w:rsid w:val="00D00AD8"/>
    <w:rsid w:val="00D033F2"/>
    <w:rsid w:val="00D03427"/>
    <w:rsid w:val="00D04D27"/>
    <w:rsid w:val="00D06303"/>
    <w:rsid w:val="00D1221B"/>
    <w:rsid w:val="00D141FE"/>
    <w:rsid w:val="00D16B3F"/>
    <w:rsid w:val="00D17EE7"/>
    <w:rsid w:val="00D20313"/>
    <w:rsid w:val="00D20918"/>
    <w:rsid w:val="00D21C87"/>
    <w:rsid w:val="00D2469C"/>
    <w:rsid w:val="00D254A9"/>
    <w:rsid w:val="00D25AB4"/>
    <w:rsid w:val="00D273AB"/>
    <w:rsid w:val="00D2747A"/>
    <w:rsid w:val="00D32F4F"/>
    <w:rsid w:val="00D35B13"/>
    <w:rsid w:val="00D36804"/>
    <w:rsid w:val="00D369F6"/>
    <w:rsid w:val="00D41BAB"/>
    <w:rsid w:val="00D442EB"/>
    <w:rsid w:val="00D45EAD"/>
    <w:rsid w:val="00D47221"/>
    <w:rsid w:val="00D479C4"/>
    <w:rsid w:val="00D50E07"/>
    <w:rsid w:val="00D52075"/>
    <w:rsid w:val="00D5240A"/>
    <w:rsid w:val="00D52E5C"/>
    <w:rsid w:val="00D55BC7"/>
    <w:rsid w:val="00D5767B"/>
    <w:rsid w:val="00D60820"/>
    <w:rsid w:val="00D61033"/>
    <w:rsid w:val="00D6177C"/>
    <w:rsid w:val="00D61F43"/>
    <w:rsid w:val="00D64670"/>
    <w:rsid w:val="00D659C0"/>
    <w:rsid w:val="00D66AFE"/>
    <w:rsid w:val="00D71A18"/>
    <w:rsid w:val="00D7227C"/>
    <w:rsid w:val="00D72BEF"/>
    <w:rsid w:val="00D75FE1"/>
    <w:rsid w:val="00D768A6"/>
    <w:rsid w:val="00D7734F"/>
    <w:rsid w:val="00D803F8"/>
    <w:rsid w:val="00D831DD"/>
    <w:rsid w:val="00D833DE"/>
    <w:rsid w:val="00D83CDD"/>
    <w:rsid w:val="00D83E75"/>
    <w:rsid w:val="00D84470"/>
    <w:rsid w:val="00D84C66"/>
    <w:rsid w:val="00D86B0D"/>
    <w:rsid w:val="00D86F1C"/>
    <w:rsid w:val="00D920A5"/>
    <w:rsid w:val="00D928ED"/>
    <w:rsid w:val="00D92A7F"/>
    <w:rsid w:val="00D92B7B"/>
    <w:rsid w:val="00D935A8"/>
    <w:rsid w:val="00D9557F"/>
    <w:rsid w:val="00DA060A"/>
    <w:rsid w:val="00DA0EEE"/>
    <w:rsid w:val="00DA1497"/>
    <w:rsid w:val="00DA15B8"/>
    <w:rsid w:val="00DA1B3B"/>
    <w:rsid w:val="00DA1D9A"/>
    <w:rsid w:val="00DA2E10"/>
    <w:rsid w:val="00DA2FE4"/>
    <w:rsid w:val="00DA4EC5"/>
    <w:rsid w:val="00DA5EA7"/>
    <w:rsid w:val="00DA72EA"/>
    <w:rsid w:val="00DA7CFC"/>
    <w:rsid w:val="00DB033C"/>
    <w:rsid w:val="00DB3B24"/>
    <w:rsid w:val="00DB3CA9"/>
    <w:rsid w:val="00DB4510"/>
    <w:rsid w:val="00DB5104"/>
    <w:rsid w:val="00DB5FF3"/>
    <w:rsid w:val="00DC0BF6"/>
    <w:rsid w:val="00DC7472"/>
    <w:rsid w:val="00DD076F"/>
    <w:rsid w:val="00DD11A8"/>
    <w:rsid w:val="00DD1FF8"/>
    <w:rsid w:val="00DD225E"/>
    <w:rsid w:val="00DE03DD"/>
    <w:rsid w:val="00DE081F"/>
    <w:rsid w:val="00DE0B10"/>
    <w:rsid w:val="00DE1DA4"/>
    <w:rsid w:val="00DE2543"/>
    <w:rsid w:val="00DE4781"/>
    <w:rsid w:val="00DE5BAF"/>
    <w:rsid w:val="00DE5EB6"/>
    <w:rsid w:val="00DE72D9"/>
    <w:rsid w:val="00DE7DC8"/>
    <w:rsid w:val="00DF1B11"/>
    <w:rsid w:val="00DF2793"/>
    <w:rsid w:val="00DF311A"/>
    <w:rsid w:val="00DF3FEA"/>
    <w:rsid w:val="00DF7092"/>
    <w:rsid w:val="00DF7FF6"/>
    <w:rsid w:val="00E009F0"/>
    <w:rsid w:val="00E02754"/>
    <w:rsid w:val="00E0523A"/>
    <w:rsid w:val="00E05F75"/>
    <w:rsid w:val="00E0722E"/>
    <w:rsid w:val="00E120F5"/>
    <w:rsid w:val="00E153EA"/>
    <w:rsid w:val="00E1543F"/>
    <w:rsid w:val="00E15C6D"/>
    <w:rsid w:val="00E20A01"/>
    <w:rsid w:val="00E21F83"/>
    <w:rsid w:val="00E240E5"/>
    <w:rsid w:val="00E26978"/>
    <w:rsid w:val="00E27393"/>
    <w:rsid w:val="00E2743C"/>
    <w:rsid w:val="00E31208"/>
    <w:rsid w:val="00E31765"/>
    <w:rsid w:val="00E3461B"/>
    <w:rsid w:val="00E35252"/>
    <w:rsid w:val="00E3569E"/>
    <w:rsid w:val="00E35A6B"/>
    <w:rsid w:val="00E366F5"/>
    <w:rsid w:val="00E41B4E"/>
    <w:rsid w:val="00E41BC0"/>
    <w:rsid w:val="00E461C6"/>
    <w:rsid w:val="00E47061"/>
    <w:rsid w:val="00E514CB"/>
    <w:rsid w:val="00E51CC5"/>
    <w:rsid w:val="00E53415"/>
    <w:rsid w:val="00E572C6"/>
    <w:rsid w:val="00E578AD"/>
    <w:rsid w:val="00E6196E"/>
    <w:rsid w:val="00E61D2C"/>
    <w:rsid w:val="00E62CB1"/>
    <w:rsid w:val="00E6468B"/>
    <w:rsid w:val="00E70EFF"/>
    <w:rsid w:val="00E714D2"/>
    <w:rsid w:val="00E73DB3"/>
    <w:rsid w:val="00E74C12"/>
    <w:rsid w:val="00E75AD3"/>
    <w:rsid w:val="00E75C52"/>
    <w:rsid w:val="00E8240B"/>
    <w:rsid w:val="00E840EC"/>
    <w:rsid w:val="00E84197"/>
    <w:rsid w:val="00E84727"/>
    <w:rsid w:val="00E849ED"/>
    <w:rsid w:val="00E873AF"/>
    <w:rsid w:val="00E95F1D"/>
    <w:rsid w:val="00E97E79"/>
    <w:rsid w:val="00EA0531"/>
    <w:rsid w:val="00EA3B30"/>
    <w:rsid w:val="00EA469E"/>
    <w:rsid w:val="00EA58AC"/>
    <w:rsid w:val="00EA671B"/>
    <w:rsid w:val="00EA6A8F"/>
    <w:rsid w:val="00EA70B7"/>
    <w:rsid w:val="00EA791D"/>
    <w:rsid w:val="00EB2A33"/>
    <w:rsid w:val="00EB3720"/>
    <w:rsid w:val="00EB3F8B"/>
    <w:rsid w:val="00EB65CF"/>
    <w:rsid w:val="00EC111D"/>
    <w:rsid w:val="00EC124F"/>
    <w:rsid w:val="00EC1B9D"/>
    <w:rsid w:val="00EC1FDF"/>
    <w:rsid w:val="00EC2E59"/>
    <w:rsid w:val="00EC4087"/>
    <w:rsid w:val="00EC52F9"/>
    <w:rsid w:val="00EC633A"/>
    <w:rsid w:val="00EC6678"/>
    <w:rsid w:val="00EC675D"/>
    <w:rsid w:val="00ED2F97"/>
    <w:rsid w:val="00ED2FDC"/>
    <w:rsid w:val="00ED300E"/>
    <w:rsid w:val="00ED7D6A"/>
    <w:rsid w:val="00EE19DD"/>
    <w:rsid w:val="00EE205D"/>
    <w:rsid w:val="00EE2322"/>
    <w:rsid w:val="00EE3530"/>
    <w:rsid w:val="00EE3BA0"/>
    <w:rsid w:val="00EE59D7"/>
    <w:rsid w:val="00EE64F1"/>
    <w:rsid w:val="00EE662B"/>
    <w:rsid w:val="00EF17F1"/>
    <w:rsid w:val="00EF3299"/>
    <w:rsid w:val="00EF5984"/>
    <w:rsid w:val="00EF7A46"/>
    <w:rsid w:val="00F0707E"/>
    <w:rsid w:val="00F07BA4"/>
    <w:rsid w:val="00F103BE"/>
    <w:rsid w:val="00F110BA"/>
    <w:rsid w:val="00F13899"/>
    <w:rsid w:val="00F16FB2"/>
    <w:rsid w:val="00F20A17"/>
    <w:rsid w:val="00F24C0E"/>
    <w:rsid w:val="00F24CC2"/>
    <w:rsid w:val="00F26BA8"/>
    <w:rsid w:val="00F27236"/>
    <w:rsid w:val="00F27437"/>
    <w:rsid w:val="00F27673"/>
    <w:rsid w:val="00F2782A"/>
    <w:rsid w:val="00F32113"/>
    <w:rsid w:val="00F322FB"/>
    <w:rsid w:val="00F33A2B"/>
    <w:rsid w:val="00F36FF6"/>
    <w:rsid w:val="00F37D94"/>
    <w:rsid w:val="00F408E7"/>
    <w:rsid w:val="00F453CD"/>
    <w:rsid w:val="00F462A3"/>
    <w:rsid w:val="00F47121"/>
    <w:rsid w:val="00F50EBC"/>
    <w:rsid w:val="00F52EAB"/>
    <w:rsid w:val="00F54083"/>
    <w:rsid w:val="00F559A1"/>
    <w:rsid w:val="00F56B0D"/>
    <w:rsid w:val="00F6348F"/>
    <w:rsid w:val="00F644E2"/>
    <w:rsid w:val="00F65E98"/>
    <w:rsid w:val="00F667C4"/>
    <w:rsid w:val="00F717E0"/>
    <w:rsid w:val="00F74154"/>
    <w:rsid w:val="00F74ACE"/>
    <w:rsid w:val="00F75B29"/>
    <w:rsid w:val="00F75F64"/>
    <w:rsid w:val="00F77D17"/>
    <w:rsid w:val="00F80A76"/>
    <w:rsid w:val="00F81D9C"/>
    <w:rsid w:val="00F834E1"/>
    <w:rsid w:val="00F84B92"/>
    <w:rsid w:val="00F854F0"/>
    <w:rsid w:val="00F87F7E"/>
    <w:rsid w:val="00F90D5E"/>
    <w:rsid w:val="00F9115E"/>
    <w:rsid w:val="00F916E1"/>
    <w:rsid w:val="00F9272F"/>
    <w:rsid w:val="00F927FA"/>
    <w:rsid w:val="00F93FC0"/>
    <w:rsid w:val="00F97525"/>
    <w:rsid w:val="00F97A64"/>
    <w:rsid w:val="00FA19B3"/>
    <w:rsid w:val="00FA3623"/>
    <w:rsid w:val="00FA5BA3"/>
    <w:rsid w:val="00FB1C7F"/>
    <w:rsid w:val="00FB2476"/>
    <w:rsid w:val="00FB33C5"/>
    <w:rsid w:val="00FB3425"/>
    <w:rsid w:val="00FB5254"/>
    <w:rsid w:val="00FB54BC"/>
    <w:rsid w:val="00FB6889"/>
    <w:rsid w:val="00FB68AF"/>
    <w:rsid w:val="00FB6A90"/>
    <w:rsid w:val="00FC00AD"/>
    <w:rsid w:val="00FC089E"/>
    <w:rsid w:val="00FC08BB"/>
    <w:rsid w:val="00FC09F7"/>
    <w:rsid w:val="00FC1C26"/>
    <w:rsid w:val="00FC247B"/>
    <w:rsid w:val="00FC5A2F"/>
    <w:rsid w:val="00FC5FB1"/>
    <w:rsid w:val="00FD416E"/>
    <w:rsid w:val="00FD47D6"/>
    <w:rsid w:val="00FD6B25"/>
    <w:rsid w:val="00FE0B98"/>
    <w:rsid w:val="00FE36D1"/>
    <w:rsid w:val="00FE41A2"/>
    <w:rsid w:val="00FE5672"/>
    <w:rsid w:val="00FF0241"/>
    <w:rsid w:val="00FF5D2E"/>
    <w:rsid w:val="00FF6A08"/>
    <w:rsid w:val="00FF6B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640E"/>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eastAsia="en-US"/>
    </w:rPr>
  </w:style>
  <w:style w:type="paragraph" w:styleId="Heading1">
    <w:name w:val="heading 1"/>
    <w:aliases w:val="título 1,h1,Section of paper,1st level,Chapter Style,level 1,H1,h11,h12,h13,h14,h15,h16,h17,h111,h121,h131,h141,h151,h161,h18,h112,h122,h132,h142,h152,h162,h19,h113,h123,h133,h143,h153,h163,NMP Heading 1,1,H1-TS"/>
    <w:basedOn w:val="Normal"/>
    <w:next w:val="Normal"/>
    <w:link w:val="Heading1Char"/>
    <w:uiPriority w:val="99"/>
    <w:qFormat/>
    <w:rsid w:val="0073640E"/>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bCs/>
      <w:kern w:val="32"/>
      <w:sz w:val="32"/>
      <w:szCs w:val="32"/>
    </w:rPr>
  </w:style>
  <w:style w:type="paragraph" w:styleId="Heading2">
    <w:name w:val="heading 2"/>
    <w:aliases w:val="título 2,l2,h2,Sub-section,UNDERRUBRIK 1-2,2nd level,2,Header 2,H2,h21,Heading Two,R2"/>
    <w:basedOn w:val="Heading1"/>
    <w:next w:val="Normal"/>
    <w:link w:val="Heading2Char"/>
    <w:uiPriority w:val="99"/>
    <w:qFormat/>
    <w:rsid w:val="0073640E"/>
    <w:pPr>
      <w:spacing w:before="320"/>
      <w:ind w:left="0" w:firstLine="0"/>
      <w:outlineLvl w:val="1"/>
    </w:pPr>
    <w:rPr>
      <w:bCs w:val="0"/>
      <w:i/>
      <w:iCs/>
      <w:szCs w:val="28"/>
    </w:rPr>
  </w:style>
  <w:style w:type="paragraph" w:styleId="Heading3">
    <w:name w:val="heading 3"/>
    <w:aliases w:val="título 3,h3,3,sub 2,Memo Heading 3,H3,h31,??? 3,l3"/>
    <w:basedOn w:val="Heading1"/>
    <w:next w:val="Normal"/>
    <w:link w:val="Heading3Char"/>
    <w:uiPriority w:val="99"/>
    <w:qFormat/>
    <w:rsid w:val="0073640E"/>
    <w:pPr>
      <w:spacing w:before="200"/>
      <w:ind w:left="0" w:firstLine="0"/>
      <w:outlineLvl w:val="2"/>
    </w:pPr>
    <w:rPr>
      <w:bCs w:val="0"/>
      <w:sz w:val="26"/>
      <w:szCs w:val="26"/>
    </w:rPr>
  </w:style>
  <w:style w:type="paragraph" w:styleId="Heading4">
    <w:name w:val="heading 4"/>
    <w:basedOn w:val="Heading3"/>
    <w:next w:val="Normal"/>
    <w:link w:val="Heading4Char"/>
    <w:uiPriority w:val="99"/>
    <w:qFormat/>
    <w:rsid w:val="0073640E"/>
    <w:pPr>
      <w:tabs>
        <w:tab w:val="clear" w:pos="794"/>
        <w:tab w:val="left" w:pos="1191"/>
      </w:tabs>
      <w:outlineLvl w:val="3"/>
    </w:pPr>
    <w:rPr>
      <w:rFonts w:ascii="Calibri" w:hAnsi="Calibri"/>
      <w:bCs/>
      <w:i/>
      <w:sz w:val="28"/>
      <w:szCs w:val="28"/>
    </w:rPr>
  </w:style>
  <w:style w:type="paragraph" w:styleId="Heading5">
    <w:name w:val="heading 5"/>
    <w:basedOn w:val="Heading4"/>
    <w:next w:val="Normal"/>
    <w:link w:val="Heading5Char"/>
    <w:uiPriority w:val="99"/>
    <w:qFormat/>
    <w:rsid w:val="0073640E"/>
    <w:pPr>
      <w:outlineLvl w:val="4"/>
    </w:pPr>
    <w:rPr>
      <w:b w:val="0"/>
      <w:bCs w:val="0"/>
      <w:iCs/>
      <w:sz w:val="26"/>
      <w:szCs w:val="26"/>
    </w:rPr>
  </w:style>
  <w:style w:type="paragraph" w:styleId="Heading6">
    <w:name w:val="heading 6"/>
    <w:basedOn w:val="Heading4"/>
    <w:next w:val="Normal"/>
    <w:link w:val="Heading6Char"/>
    <w:uiPriority w:val="99"/>
    <w:qFormat/>
    <w:rsid w:val="0073640E"/>
    <w:pPr>
      <w:outlineLvl w:val="5"/>
    </w:pPr>
    <w:rPr>
      <w:b w:val="0"/>
      <w:bCs w:val="0"/>
      <w:i w:val="0"/>
      <w:sz w:val="20"/>
    </w:rPr>
  </w:style>
  <w:style w:type="paragraph" w:styleId="Heading7">
    <w:name w:val="heading 7"/>
    <w:basedOn w:val="Heading4"/>
    <w:next w:val="Normal"/>
    <w:link w:val="Heading7Char"/>
    <w:uiPriority w:val="99"/>
    <w:qFormat/>
    <w:rsid w:val="0073640E"/>
    <w:pPr>
      <w:outlineLvl w:val="6"/>
    </w:pPr>
    <w:rPr>
      <w:i w:val="0"/>
      <w:szCs w:val="24"/>
    </w:rPr>
  </w:style>
  <w:style w:type="paragraph" w:styleId="Heading8">
    <w:name w:val="heading 8"/>
    <w:basedOn w:val="Heading4"/>
    <w:next w:val="Normal"/>
    <w:link w:val="Heading8Char"/>
    <w:uiPriority w:val="99"/>
    <w:qFormat/>
    <w:rsid w:val="0073640E"/>
    <w:pPr>
      <w:outlineLvl w:val="7"/>
    </w:pPr>
    <w:rPr>
      <w:iCs/>
      <w:szCs w:val="24"/>
    </w:rPr>
  </w:style>
  <w:style w:type="paragraph" w:styleId="Heading9">
    <w:name w:val="heading 9"/>
    <w:basedOn w:val="Heading4"/>
    <w:next w:val="Normal"/>
    <w:link w:val="Heading9Char"/>
    <w:uiPriority w:val="99"/>
    <w:qFormat/>
    <w:rsid w:val="0073640E"/>
    <w:pPr>
      <w:outlineLvl w:val="8"/>
    </w:pPr>
    <w:rPr>
      <w:rFonts w:ascii="Cambria" w:hAnsi="Cambria"/>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Section of paper Char,1st level Char,Chapter Style Char,level 1 Char,H1 Char,h11 Char,h12 Char,h13 Char,h14 Char,h15 Char,h16 Char,h17 Char,h111 Char,h121 Char,h131 Char,h141 Char,h151 Char,h161 Char,h18 Char,1 Char"/>
    <w:basedOn w:val="DefaultParagraphFont"/>
    <w:link w:val="Heading1"/>
    <w:uiPriority w:val="99"/>
    <w:locked/>
    <w:rsid w:val="00DB5FF3"/>
    <w:rPr>
      <w:rFonts w:ascii="Cambria" w:hAnsi="Cambria" w:cs="Times New Roman"/>
      <w:b/>
      <w:kern w:val="32"/>
      <w:sz w:val="32"/>
      <w:lang w:val="en-GB" w:eastAsia="en-US"/>
    </w:rPr>
  </w:style>
  <w:style w:type="character" w:customStyle="1" w:styleId="Heading2Char">
    <w:name w:val="Heading 2 Char"/>
    <w:aliases w:val="título 2 Char,l2 Char,h2 Char,Sub-section Char,UNDERRUBRIK 1-2 Char,2nd level Char,2 Char,Header 2 Char,H2 Char,h21 Char,Heading Two Char,R2 Char"/>
    <w:basedOn w:val="DefaultParagraphFont"/>
    <w:link w:val="Heading2"/>
    <w:uiPriority w:val="99"/>
    <w:semiHidden/>
    <w:locked/>
    <w:rsid w:val="00DB5FF3"/>
    <w:rPr>
      <w:rFonts w:ascii="Cambria" w:hAnsi="Cambria" w:cs="Times New Roman"/>
      <w:b/>
      <w:i/>
      <w:sz w:val="28"/>
      <w:lang w:val="en-GB" w:eastAsia="en-US"/>
    </w:rPr>
  </w:style>
  <w:style w:type="character" w:customStyle="1" w:styleId="Heading3Char">
    <w:name w:val="Heading 3 Char"/>
    <w:aliases w:val="título 3 Char,h3 Char,3 Char,sub 2 Char,Memo Heading 3 Char,H3 Char,h31 Char,??? 3 Char,l3 Char"/>
    <w:basedOn w:val="DefaultParagraphFont"/>
    <w:link w:val="Heading3"/>
    <w:uiPriority w:val="99"/>
    <w:semiHidden/>
    <w:locked/>
    <w:rsid w:val="00DB5FF3"/>
    <w:rPr>
      <w:rFonts w:ascii="Cambria" w:hAnsi="Cambria" w:cs="Times New Roman"/>
      <w:b/>
      <w:sz w:val="26"/>
      <w:lang w:val="en-GB" w:eastAsia="en-US"/>
    </w:rPr>
  </w:style>
  <w:style w:type="character" w:customStyle="1" w:styleId="Heading4Char">
    <w:name w:val="Heading 4 Char"/>
    <w:basedOn w:val="DefaultParagraphFont"/>
    <w:link w:val="Heading4"/>
    <w:uiPriority w:val="99"/>
    <w:semiHidden/>
    <w:locked/>
    <w:rsid w:val="00DB5FF3"/>
    <w:rPr>
      <w:rFonts w:ascii="Calibri" w:hAnsi="Calibri" w:cs="Times New Roman"/>
      <w:b/>
      <w:sz w:val="28"/>
      <w:lang w:val="en-GB" w:eastAsia="en-US"/>
    </w:rPr>
  </w:style>
  <w:style w:type="character" w:customStyle="1" w:styleId="Heading5Char">
    <w:name w:val="Heading 5 Char"/>
    <w:basedOn w:val="DefaultParagraphFont"/>
    <w:link w:val="Heading5"/>
    <w:uiPriority w:val="99"/>
    <w:semiHidden/>
    <w:locked/>
    <w:rsid w:val="00DB5FF3"/>
    <w:rPr>
      <w:rFonts w:ascii="Calibri" w:hAnsi="Calibri" w:cs="Times New Roman"/>
      <w:b/>
      <w:i/>
      <w:sz w:val="26"/>
      <w:lang w:val="en-GB" w:eastAsia="en-US"/>
    </w:rPr>
  </w:style>
  <w:style w:type="character" w:customStyle="1" w:styleId="Heading6Char">
    <w:name w:val="Heading 6 Char"/>
    <w:basedOn w:val="DefaultParagraphFont"/>
    <w:link w:val="Heading6"/>
    <w:uiPriority w:val="99"/>
    <w:semiHidden/>
    <w:locked/>
    <w:rsid w:val="00DB5FF3"/>
    <w:rPr>
      <w:rFonts w:ascii="Calibri" w:hAnsi="Calibri" w:cs="Times New Roman"/>
      <w:b/>
      <w:lang w:val="en-GB" w:eastAsia="en-US"/>
    </w:rPr>
  </w:style>
  <w:style w:type="character" w:customStyle="1" w:styleId="Heading7Char">
    <w:name w:val="Heading 7 Char"/>
    <w:basedOn w:val="DefaultParagraphFont"/>
    <w:link w:val="Heading7"/>
    <w:uiPriority w:val="99"/>
    <w:semiHidden/>
    <w:locked/>
    <w:rsid w:val="00DB5FF3"/>
    <w:rPr>
      <w:rFonts w:ascii="Calibri" w:hAnsi="Calibri" w:cs="Times New Roman"/>
      <w:sz w:val="24"/>
      <w:lang w:val="en-GB" w:eastAsia="en-US"/>
    </w:rPr>
  </w:style>
  <w:style w:type="character" w:customStyle="1" w:styleId="Heading8Char">
    <w:name w:val="Heading 8 Char"/>
    <w:basedOn w:val="DefaultParagraphFont"/>
    <w:link w:val="Heading8"/>
    <w:uiPriority w:val="99"/>
    <w:semiHidden/>
    <w:locked/>
    <w:rsid w:val="00DB5FF3"/>
    <w:rPr>
      <w:rFonts w:ascii="Calibri" w:hAnsi="Calibri" w:cs="Times New Roman"/>
      <w:i/>
      <w:sz w:val="24"/>
      <w:lang w:val="en-GB" w:eastAsia="en-US"/>
    </w:rPr>
  </w:style>
  <w:style w:type="character" w:customStyle="1" w:styleId="Heading9Char">
    <w:name w:val="Heading 9 Char"/>
    <w:basedOn w:val="DefaultParagraphFont"/>
    <w:link w:val="Heading9"/>
    <w:uiPriority w:val="99"/>
    <w:semiHidden/>
    <w:locked/>
    <w:rsid w:val="00DB5FF3"/>
    <w:rPr>
      <w:rFonts w:ascii="Cambria" w:hAnsi="Cambria" w:cs="Times New Roman"/>
      <w:lang w:val="en-GB" w:eastAsia="en-US"/>
    </w:rPr>
  </w:style>
  <w:style w:type="paragraph" w:styleId="TOC8">
    <w:name w:val="toc 8"/>
    <w:basedOn w:val="TOC3"/>
    <w:next w:val="Normal"/>
    <w:uiPriority w:val="99"/>
    <w:semiHidden/>
    <w:rsid w:val="0073640E"/>
  </w:style>
  <w:style w:type="paragraph" w:styleId="TOC3">
    <w:name w:val="toc 3"/>
    <w:basedOn w:val="TOC2"/>
    <w:next w:val="Normal"/>
    <w:uiPriority w:val="99"/>
    <w:semiHidden/>
    <w:rsid w:val="0073640E"/>
    <w:pPr>
      <w:spacing w:before="80"/>
    </w:pPr>
  </w:style>
  <w:style w:type="paragraph" w:styleId="TOC2">
    <w:name w:val="toc 2"/>
    <w:basedOn w:val="TOC1"/>
    <w:next w:val="Normal"/>
    <w:uiPriority w:val="99"/>
    <w:semiHidden/>
    <w:rsid w:val="0073640E"/>
    <w:pPr>
      <w:spacing w:before="120"/>
    </w:pPr>
  </w:style>
  <w:style w:type="paragraph" w:styleId="TOC1">
    <w:name w:val="toc 1"/>
    <w:basedOn w:val="Normal"/>
    <w:uiPriority w:val="99"/>
    <w:semiHidden/>
    <w:rsid w:val="0073640E"/>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uiPriority w:val="99"/>
    <w:semiHidden/>
    <w:rsid w:val="0073640E"/>
  </w:style>
  <w:style w:type="paragraph" w:styleId="TOC6">
    <w:name w:val="toc 6"/>
    <w:basedOn w:val="TOC3"/>
    <w:next w:val="Normal"/>
    <w:uiPriority w:val="99"/>
    <w:semiHidden/>
    <w:rsid w:val="0073640E"/>
  </w:style>
  <w:style w:type="paragraph" w:styleId="TOC5">
    <w:name w:val="toc 5"/>
    <w:basedOn w:val="TOC3"/>
    <w:next w:val="Normal"/>
    <w:uiPriority w:val="99"/>
    <w:semiHidden/>
    <w:rsid w:val="0073640E"/>
  </w:style>
  <w:style w:type="paragraph" w:styleId="TOC4">
    <w:name w:val="toc 4"/>
    <w:basedOn w:val="TOC3"/>
    <w:next w:val="Normal"/>
    <w:uiPriority w:val="99"/>
    <w:semiHidden/>
    <w:rsid w:val="0073640E"/>
  </w:style>
  <w:style w:type="paragraph" w:styleId="Index7">
    <w:name w:val="index 7"/>
    <w:basedOn w:val="Normal"/>
    <w:next w:val="Normal"/>
    <w:uiPriority w:val="99"/>
    <w:semiHidden/>
    <w:rsid w:val="0073640E"/>
    <w:pPr>
      <w:ind w:left="1698"/>
    </w:pPr>
  </w:style>
  <w:style w:type="paragraph" w:styleId="Index6">
    <w:name w:val="index 6"/>
    <w:basedOn w:val="Normal"/>
    <w:next w:val="Normal"/>
    <w:uiPriority w:val="99"/>
    <w:semiHidden/>
    <w:rsid w:val="0073640E"/>
    <w:pPr>
      <w:ind w:left="1415"/>
    </w:pPr>
  </w:style>
  <w:style w:type="paragraph" w:styleId="Index5">
    <w:name w:val="index 5"/>
    <w:basedOn w:val="Normal"/>
    <w:next w:val="Normal"/>
    <w:uiPriority w:val="99"/>
    <w:semiHidden/>
    <w:rsid w:val="0073640E"/>
    <w:pPr>
      <w:ind w:left="1132"/>
    </w:pPr>
  </w:style>
  <w:style w:type="paragraph" w:styleId="Index4">
    <w:name w:val="index 4"/>
    <w:basedOn w:val="Normal"/>
    <w:next w:val="Normal"/>
    <w:uiPriority w:val="99"/>
    <w:semiHidden/>
    <w:rsid w:val="0073640E"/>
    <w:pPr>
      <w:ind w:left="851"/>
    </w:pPr>
  </w:style>
  <w:style w:type="paragraph" w:styleId="Index3">
    <w:name w:val="index 3"/>
    <w:basedOn w:val="Normal"/>
    <w:next w:val="Normal"/>
    <w:uiPriority w:val="99"/>
    <w:semiHidden/>
    <w:rsid w:val="0073640E"/>
    <w:pPr>
      <w:ind w:left="567"/>
    </w:pPr>
  </w:style>
  <w:style w:type="paragraph" w:styleId="Index2">
    <w:name w:val="index 2"/>
    <w:basedOn w:val="Normal"/>
    <w:next w:val="Normal"/>
    <w:uiPriority w:val="99"/>
    <w:semiHidden/>
    <w:rsid w:val="0073640E"/>
    <w:pPr>
      <w:ind w:left="284"/>
    </w:pPr>
  </w:style>
  <w:style w:type="paragraph" w:styleId="Index1">
    <w:name w:val="index 1"/>
    <w:basedOn w:val="Normal"/>
    <w:next w:val="Normal"/>
    <w:uiPriority w:val="99"/>
    <w:semiHidden/>
    <w:rsid w:val="0073640E"/>
  </w:style>
  <w:style w:type="character" w:styleId="LineNumber">
    <w:name w:val="line number"/>
    <w:basedOn w:val="DefaultParagraphFont"/>
    <w:uiPriority w:val="99"/>
    <w:rsid w:val="0073640E"/>
    <w:rPr>
      <w:rFonts w:cs="Times New Roman"/>
    </w:rPr>
  </w:style>
  <w:style w:type="paragraph" w:styleId="IndexHeading">
    <w:name w:val="index heading"/>
    <w:basedOn w:val="Normal"/>
    <w:next w:val="Normal"/>
    <w:uiPriority w:val="99"/>
    <w:semiHidden/>
    <w:rsid w:val="0073640E"/>
  </w:style>
  <w:style w:type="paragraph" w:styleId="Footer">
    <w:name w:val="footer"/>
    <w:aliases w:val="pie de página,footer odd"/>
    <w:basedOn w:val="Normal"/>
    <w:link w:val="FooterChar"/>
    <w:uiPriority w:val="99"/>
    <w:rsid w:val="0073640E"/>
    <w:pPr>
      <w:tabs>
        <w:tab w:val="clear" w:pos="794"/>
        <w:tab w:val="clear" w:pos="1191"/>
        <w:tab w:val="clear" w:pos="1588"/>
        <w:tab w:val="clear" w:pos="1985"/>
        <w:tab w:val="left" w:pos="5954"/>
        <w:tab w:val="right" w:pos="9639"/>
      </w:tabs>
      <w:spacing w:before="0"/>
    </w:pPr>
    <w:rPr>
      <w:sz w:val="20"/>
    </w:rPr>
  </w:style>
  <w:style w:type="character" w:customStyle="1" w:styleId="FooterChar">
    <w:name w:val="Footer Char"/>
    <w:aliases w:val="pie de página Char,footer odd Char"/>
    <w:basedOn w:val="DefaultParagraphFont"/>
    <w:link w:val="Footer"/>
    <w:uiPriority w:val="99"/>
    <w:semiHidden/>
    <w:locked/>
    <w:rsid w:val="00DB5FF3"/>
    <w:rPr>
      <w:rFonts w:cs="Times New Roman"/>
      <w:sz w:val="20"/>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first"/>
    <w:basedOn w:val="Normal"/>
    <w:link w:val="HeaderChar1"/>
    <w:uiPriority w:val="99"/>
    <w:rsid w:val="0073640E"/>
    <w:pPr>
      <w:tabs>
        <w:tab w:val="clear" w:pos="794"/>
        <w:tab w:val="clear" w:pos="1191"/>
        <w:tab w:val="clear" w:pos="1588"/>
        <w:tab w:val="clear" w:pos="1985"/>
      </w:tabs>
      <w:spacing w:before="0"/>
      <w:jc w:val="center"/>
    </w:pPr>
    <w:rPr>
      <w:sz w:val="22"/>
      <w:lang w:val="fr-FR"/>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locked/>
    <w:rsid w:val="00DB5FF3"/>
    <w:rPr>
      <w:rFonts w:cs="Times New Roman"/>
      <w:sz w:val="20"/>
      <w:lang w:val="en-GB" w:eastAsia="en-US"/>
    </w:rPr>
  </w:style>
  <w:style w:type="character" w:styleId="FootnoteReference">
    <w:name w:val="footnote reference"/>
    <w:aliases w:val="Appel note de bas de p,Footnote Reference/,Footnote symbol,Style 12,(NECG) Footnote Reference,Style 124"/>
    <w:basedOn w:val="DefaultParagraphFont"/>
    <w:uiPriority w:val="99"/>
    <w:rsid w:val="0073640E"/>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FootnoteTextChar2"/>
    <w:uiPriority w:val="99"/>
    <w:rsid w:val="0073640E"/>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DefaultParagraphFont"/>
    <w:link w:val="FootnoteText"/>
    <w:uiPriority w:val="99"/>
    <w:locked/>
    <w:rsid w:val="0029347E"/>
    <w:rPr>
      <w:rFonts w:cs="Times New Roman"/>
      <w:sz w:val="22"/>
      <w:lang w:val="en-GB" w:eastAsia="en-US"/>
    </w:rPr>
  </w:style>
  <w:style w:type="paragraph" w:styleId="NormalIndent">
    <w:name w:val="Normal Indent"/>
    <w:basedOn w:val="Normal"/>
    <w:uiPriority w:val="99"/>
    <w:rsid w:val="0073640E"/>
    <w:pPr>
      <w:ind w:left="794"/>
    </w:pPr>
  </w:style>
  <w:style w:type="paragraph" w:customStyle="1" w:styleId="TableLegend">
    <w:name w:val="Table_Legend"/>
    <w:basedOn w:val="TableText"/>
    <w:uiPriority w:val="99"/>
    <w:rsid w:val="0073640E"/>
    <w:pPr>
      <w:spacing w:before="120"/>
    </w:pPr>
  </w:style>
  <w:style w:type="paragraph" w:customStyle="1" w:styleId="TableText">
    <w:name w:val="Table_Text"/>
    <w:basedOn w:val="Normal"/>
    <w:uiPriority w:val="99"/>
    <w:rsid w:val="0073640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73640E"/>
    <w:pPr>
      <w:keepLines/>
      <w:spacing w:before="0"/>
    </w:pPr>
    <w:rPr>
      <w:b/>
      <w:caps w:val="0"/>
    </w:rPr>
  </w:style>
  <w:style w:type="paragraph" w:customStyle="1" w:styleId="Table">
    <w:name w:val="Table_#"/>
    <w:basedOn w:val="Normal"/>
    <w:next w:val="TableTitle"/>
    <w:uiPriority w:val="99"/>
    <w:rsid w:val="0073640E"/>
    <w:pPr>
      <w:keepNext/>
      <w:spacing w:before="560" w:after="120"/>
      <w:jc w:val="center"/>
    </w:pPr>
    <w:rPr>
      <w:caps/>
    </w:rPr>
  </w:style>
  <w:style w:type="paragraph" w:customStyle="1" w:styleId="enumlev1">
    <w:name w:val="enumlev1"/>
    <w:basedOn w:val="Normal"/>
    <w:link w:val="enumlev1Char"/>
    <w:uiPriority w:val="99"/>
    <w:rsid w:val="0073640E"/>
    <w:pPr>
      <w:spacing w:before="80"/>
      <w:ind w:left="794" w:hanging="794"/>
    </w:pPr>
    <w:rPr>
      <w:lang w:val="fr-FR"/>
    </w:rPr>
  </w:style>
  <w:style w:type="paragraph" w:customStyle="1" w:styleId="enumlev2">
    <w:name w:val="enumlev2"/>
    <w:basedOn w:val="enumlev1"/>
    <w:uiPriority w:val="99"/>
    <w:rsid w:val="0073640E"/>
    <w:pPr>
      <w:ind w:left="1191" w:hanging="397"/>
    </w:pPr>
  </w:style>
  <w:style w:type="paragraph" w:customStyle="1" w:styleId="enumlev3">
    <w:name w:val="enumlev3"/>
    <w:basedOn w:val="enumlev2"/>
    <w:uiPriority w:val="99"/>
    <w:rsid w:val="0073640E"/>
    <w:pPr>
      <w:ind w:left="1588"/>
    </w:pPr>
  </w:style>
  <w:style w:type="paragraph" w:customStyle="1" w:styleId="TableHead">
    <w:name w:val="Table_Head"/>
    <w:basedOn w:val="TableText"/>
    <w:uiPriority w:val="99"/>
    <w:rsid w:val="0073640E"/>
    <w:pPr>
      <w:keepNext/>
      <w:spacing w:before="80" w:after="80"/>
      <w:jc w:val="center"/>
    </w:pPr>
    <w:rPr>
      <w:b/>
    </w:rPr>
  </w:style>
  <w:style w:type="paragraph" w:customStyle="1" w:styleId="FigureLegend">
    <w:name w:val="Figure_Legend"/>
    <w:basedOn w:val="Normal"/>
    <w:uiPriority w:val="99"/>
    <w:rsid w:val="0073640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73640E"/>
    <w:pPr>
      <w:spacing w:before="480"/>
    </w:pPr>
  </w:style>
  <w:style w:type="paragraph" w:customStyle="1" w:styleId="FigureTitle">
    <w:name w:val="Figure_Title"/>
    <w:basedOn w:val="TableTitle"/>
    <w:next w:val="Normal"/>
    <w:uiPriority w:val="99"/>
    <w:rsid w:val="0073640E"/>
    <w:pPr>
      <w:keepNext w:val="0"/>
      <w:spacing w:after="480"/>
    </w:pPr>
  </w:style>
  <w:style w:type="paragraph" w:customStyle="1" w:styleId="Normalaftertitle">
    <w:name w:val="Normal after title"/>
    <w:basedOn w:val="Normal"/>
    <w:next w:val="Normal"/>
    <w:link w:val="NormalaftertitleChar"/>
    <w:uiPriority w:val="99"/>
    <w:rsid w:val="0073640E"/>
    <w:pPr>
      <w:spacing w:before="320"/>
    </w:pPr>
    <w:rPr>
      <w:lang w:val="fr-FR"/>
    </w:rPr>
  </w:style>
  <w:style w:type="paragraph" w:customStyle="1" w:styleId="Annex">
    <w:name w:val="Annex_#"/>
    <w:basedOn w:val="Normal"/>
    <w:next w:val="AnnexRef"/>
    <w:uiPriority w:val="99"/>
    <w:rsid w:val="0073640E"/>
    <w:pPr>
      <w:keepNext/>
      <w:keepLines/>
      <w:spacing w:before="480" w:after="80"/>
      <w:jc w:val="center"/>
    </w:pPr>
    <w:rPr>
      <w:caps/>
      <w:sz w:val="28"/>
    </w:rPr>
  </w:style>
  <w:style w:type="paragraph" w:customStyle="1" w:styleId="AnnexRef">
    <w:name w:val="Annex_Ref"/>
    <w:basedOn w:val="Normal"/>
    <w:next w:val="AnnexTitle"/>
    <w:uiPriority w:val="99"/>
    <w:rsid w:val="0073640E"/>
    <w:pPr>
      <w:keepNext/>
      <w:keepLines/>
      <w:jc w:val="center"/>
    </w:pPr>
  </w:style>
  <w:style w:type="paragraph" w:customStyle="1" w:styleId="AnnexTitle">
    <w:name w:val="Annex_Title"/>
    <w:basedOn w:val="Normal"/>
    <w:next w:val="Normalaftertitle"/>
    <w:uiPriority w:val="99"/>
    <w:rsid w:val="0073640E"/>
    <w:pPr>
      <w:keepNext/>
      <w:keepLines/>
      <w:spacing w:before="240" w:after="280"/>
      <w:jc w:val="center"/>
    </w:pPr>
    <w:rPr>
      <w:b/>
      <w:sz w:val="28"/>
    </w:rPr>
  </w:style>
  <w:style w:type="paragraph" w:customStyle="1" w:styleId="Appendix">
    <w:name w:val="Appendix_#"/>
    <w:basedOn w:val="Annex"/>
    <w:next w:val="AppendixRef"/>
    <w:uiPriority w:val="99"/>
    <w:rsid w:val="0073640E"/>
  </w:style>
  <w:style w:type="paragraph" w:customStyle="1" w:styleId="AppendixRef">
    <w:name w:val="Appendix_Ref"/>
    <w:basedOn w:val="AnnexRef"/>
    <w:next w:val="AppendixTitle"/>
    <w:uiPriority w:val="99"/>
    <w:rsid w:val="0073640E"/>
  </w:style>
  <w:style w:type="paragraph" w:customStyle="1" w:styleId="AppendixTitle">
    <w:name w:val="Appendix_Title"/>
    <w:basedOn w:val="AnnexTitle"/>
    <w:next w:val="Normalaftertitle"/>
    <w:uiPriority w:val="99"/>
    <w:rsid w:val="0073640E"/>
  </w:style>
  <w:style w:type="paragraph" w:customStyle="1" w:styleId="RefTitle">
    <w:name w:val="Ref_Title"/>
    <w:basedOn w:val="Normal"/>
    <w:next w:val="RefText"/>
    <w:uiPriority w:val="99"/>
    <w:rsid w:val="0073640E"/>
    <w:pPr>
      <w:spacing w:before="480"/>
      <w:jc w:val="center"/>
    </w:pPr>
    <w:rPr>
      <w:caps/>
    </w:rPr>
  </w:style>
  <w:style w:type="paragraph" w:customStyle="1" w:styleId="RefText">
    <w:name w:val="Ref_Text"/>
    <w:basedOn w:val="Normal"/>
    <w:uiPriority w:val="99"/>
    <w:rsid w:val="0073640E"/>
    <w:pPr>
      <w:ind w:left="794" w:hanging="794"/>
    </w:pPr>
  </w:style>
  <w:style w:type="paragraph" w:customStyle="1" w:styleId="Equation">
    <w:name w:val="Equation"/>
    <w:basedOn w:val="Normal"/>
    <w:uiPriority w:val="99"/>
    <w:rsid w:val="0073640E"/>
    <w:pPr>
      <w:tabs>
        <w:tab w:val="clear" w:pos="1191"/>
        <w:tab w:val="clear" w:pos="1588"/>
        <w:tab w:val="clear" w:pos="1985"/>
        <w:tab w:val="center" w:pos="4876"/>
        <w:tab w:val="right" w:pos="9752"/>
      </w:tabs>
    </w:pPr>
  </w:style>
  <w:style w:type="paragraph" w:customStyle="1" w:styleId="Head">
    <w:name w:val="Head"/>
    <w:basedOn w:val="Normal"/>
    <w:uiPriority w:val="99"/>
    <w:rsid w:val="0073640E"/>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73640E"/>
    <w:pPr>
      <w:keepNext/>
      <w:keepLines/>
      <w:spacing w:before="240"/>
      <w:jc w:val="center"/>
    </w:pPr>
    <w:rPr>
      <w:b/>
      <w:caps/>
      <w:sz w:val="28"/>
    </w:rPr>
  </w:style>
  <w:style w:type="paragraph" w:customStyle="1" w:styleId="call">
    <w:name w:val="call"/>
    <w:basedOn w:val="Normal"/>
    <w:next w:val="Normal"/>
    <w:uiPriority w:val="99"/>
    <w:rsid w:val="0073640E"/>
    <w:pPr>
      <w:keepNext/>
      <w:keepLines/>
      <w:spacing w:before="160"/>
      <w:ind w:left="794"/>
    </w:pPr>
    <w:rPr>
      <w:i/>
    </w:rPr>
  </w:style>
  <w:style w:type="paragraph" w:customStyle="1" w:styleId="Rec">
    <w:name w:val="Rec_#"/>
    <w:basedOn w:val="Normal"/>
    <w:next w:val="RecTitle"/>
    <w:uiPriority w:val="99"/>
    <w:rsid w:val="0073640E"/>
    <w:pPr>
      <w:keepNext/>
      <w:keepLines/>
      <w:spacing w:before="480"/>
      <w:jc w:val="center"/>
    </w:pPr>
    <w:rPr>
      <w:caps/>
      <w:sz w:val="28"/>
    </w:rPr>
  </w:style>
  <w:style w:type="paragraph" w:customStyle="1" w:styleId="toc0">
    <w:name w:val="toc 0"/>
    <w:basedOn w:val="Normal"/>
    <w:next w:val="TOC1"/>
    <w:uiPriority w:val="99"/>
    <w:rsid w:val="0073640E"/>
    <w:pPr>
      <w:tabs>
        <w:tab w:val="clear" w:pos="794"/>
        <w:tab w:val="clear" w:pos="1191"/>
        <w:tab w:val="clear" w:pos="1588"/>
        <w:tab w:val="clear" w:pos="1985"/>
        <w:tab w:val="right" w:pos="9781"/>
      </w:tabs>
    </w:pPr>
    <w:rPr>
      <w:b/>
    </w:rPr>
  </w:style>
  <w:style w:type="paragraph" w:styleId="List">
    <w:name w:val="List"/>
    <w:basedOn w:val="Normal"/>
    <w:uiPriority w:val="99"/>
    <w:rsid w:val="0073640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73640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73640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73640E"/>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73640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73640E"/>
    <w:pPr>
      <w:tabs>
        <w:tab w:val="clear" w:pos="1191"/>
        <w:tab w:val="clear" w:pos="1588"/>
      </w:tabs>
      <w:ind w:left="794" w:hanging="794"/>
    </w:pPr>
  </w:style>
  <w:style w:type="paragraph" w:styleId="BodyText">
    <w:name w:val="Body Text"/>
    <w:basedOn w:val="Normal"/>
    <w:link w:val="BodyTextChar"/>
    <w:uiPriority w:val="99"/>
    <w:rsid w:val="0073640E"/>
    <w:pPr>
      <w:spacing w:after="120"/>
    </w:pPr>
    <w:rPr>
      <w:sz w:val="20"/>
    </w:rPr>
  </w:style>
  <w:style w:type="character" w:customStyle="1" w:styleId="BodyTextChar">
    <w:name w:val="Body Text Char"/>
    <w:basedOn w:val="DefaultParagraphFont"/>
    <w:link w:val="BodyText"/>
    <w:uiPriority w:val="99"/>
    <w:semiHidden/>
    <w:locked/>
    <w:rsid w:val="00DB5FF3"/>
    <w:rPr>
      <w:rFonts w:cs="Times New Roman"/>
      <w:sz w:val="20"/>
      <w:lang w:val="en-GB" w:eastAsia="en-US"/>
    </w:rPr>
  </w:style>
  <w:style w:type="paragraph" w:customStyle="1" w:styleId="EquationLegend">
    <w:name w:val="Equation_Legend"/>
    <w:basedOn w:val="Normal"/>
    <w:uiPriority w:val="99"/>
    <w:rsid w:val="0073640E"/>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73640E"/>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73640E"/>
    <w:pPr>
      <w:tabs>
        <w:tab w:val="left" w:pos="7371"/>
      </w:tabs>
      <w:spacing w:after="560"/>
    </w:pPr>
  </w:style>
  <w:style w:type="paragraph" w:customStyle="1" w:styleId="listitem">
    <w:name w:val="listitem"/>
    <w:basedOn w:val="Normal"/>
    <w:uiPriority w:val="99"/>
    <w:rsid w:val="0073640E"/>
    <w:pPr>
      <w:spacing w:before="0"/>
    </w:pPr>
  </w:style>
  <w:style w:type="paragraph" w:customStyle="1" w:styleId="Subject">
    <w:name w:val="Subject"/>
    <w:basedOn w:val="Normal"/>
    <w:next w:val="Normal"/>
    <w:uiPriority w:val="99"/>
    <w:rsid w:val="0073640E"/>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73640E"/>
  </w:style>
  <w:style w:type="paragraph" w:customStyle="1" w:styleId="Data">
    <w:name w:val="Data"/>
    <w:basedOn w:val="Subject"/>
    <w:next w:val="Subject"/>
    <w:uiPriority w:val="99"/>
    <w:rsid w:val="0073640E"/>
  </w:style>
  <w:style w:type="paragraph" w:customStyle="1" w:styleId="docnottitle">
    <w:name w:val="docnot_title"/>
    <w:basedOn w:val="docnoted"/>
    <w:next w:val="docnoted"/>
    <w:uiPriority w:val="99"/>
    <w:rsid w:val="0073640E"/>
    <w:pPr>
      <w:jc w:val="center"/>
    </w:pPr>
  </w:style>
  <w:style w:type="paragraph" w:customStyle="1" w:styleId="Qlist">
    <w:name w:val="Qlist"/>
    <w:basedOn w:val="Normal"/>
    <w:uiPriority w:val="99"/>
    <w:rsid w:val="0073640E"/>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uiPriority w:val="99"/>
    <w:rsid w:val="0073640E"/>
    <w:pPr>
      <w:jc w:val="center"/>
    </w:pPr>
  </w:style>
  <w:style w:type="paragraph" w:customStyle="1" w:styleId="Note">
    <w:name w:val="Note"/>
    <w:basedOn w:val="Normal"/>
    <w:uiPriority w:val="99"/>
    <w:rsid w:val="0073640E"/>
    <w:pPr>
      <w:tabs>
        <w:tab w:val="left" w:pos="397"/>
      </w:tabs>
    </w:pPr>
  </w:style>
  <w:style w:type="paragraph" w:styleId="TOC9">
    <w:name w:val="toc 9"/>
    <w:basedOn w:val="TOC3"/>
    <w:next w:val="Normal"/>
    <w:uiPriority w:val="99"/>
    <w:semiHidden/>
    <w:rsid w:val="0073640E"/>
  </w:style>
  <w:style w:type="paragraph" w:customStyle="1" w:styleId="headingb">
    <w:name w:val="heading_b"/>
    <w:basedOn w:val="Heading3"/>
    <w:next w:val="Normal"/>
    <w:uiPriority w:val="99"/>
    <w:rsid w:val="0073640E"/>
    <w:pPr>
      <w:spacing w:before="160"/>
      <w:outlineLvl w:val="9"/>
    </w:pPr>
  </w:style>
  <w:style w:type="paragraph" w:customStyle="1" w:styleId="headingi">
    <w:name w:val="heading_i"/>
    <w:basedOn w:val="Heading3"/>
    <w:next w:val="Normal"/>
    <w:uiPriority w:val="99"/>
    <w:rsid w:val="0073640E"/>
    <w:pPr>
      <w:spacing w:before="160"/>
      <w:outlineLvl w:val="9"/>
    </w:pPr>
    <w:rPr>
      <w:b w:val="0"/>
    </w:rPr>
  </w:style>
  <w:style w:type="paragraph" w:customStyle="1" w:styleId="Title0">
    <w:name w:val="Title 0"/>
    <w:basedOn w:val="Normal"/>
    <w:next w:val="Normal"/>
    <w:uiPriority w:val="99"/>
    <w:rsid w:val="0073640E"/>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73640E"/>
  </w:style>
  <w:style w:type="paragraph" w:customStyle="1" w:styleId="ResNo">
    <w:name w:val="Res_No"/>
    <w:basedOn w:val="Normal"/>
    <w:next w:val="Restitle"/>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uiPriority w:val="99"/>
    <w:rsid w:val="0073640E"/>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73640E"/>
  </w:style>
  <w:style w:type="paragraph" w:customStyle="1" w:styleId="Title2">
    <w:name w:val="Title 2"/>
    <w:basedOn w:val="Normal"/>
    <w:next w:val="Normal"/>
    <w:uiPriority w:val="99"/>
    <w:rsid w:val="0073640E"/>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73640E"/>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73640E"/>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uiPriority w:val="99"/>
    <w:rsid w:val="0073640E"/>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73640E"/>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73640E"/>
    <w:pPr>
      <w:spacing w:before="240"/>
    </w:pPr>
    <w:rPr>
      <w:sz w:val="24"/>
      <w:lang w:val="en-GB"/>
    </w:rPr>
  </w:style>
  <w:style w:type="paragraph" w:customStyle="1" w:styleId="Title4">
    <w:name w:val="Title 4"/>
    <w:basedOn w:val="Title3"/>
    <w:next w:val="Heading1"/>
    <w:uiPriority w:val="99"/>
    <w:rsid w:val="0073640E"/>
    <w:pPr>
      <w:tabs>
        <w:tab w:val="left" w:pos="7513"/>
      </w:tabs>
    </w:pPr>
    <w:rPr>
      <w:b/>
    </w:rPr>
  </w:style>
  <w:style w:type="paragraph" w:customStyle="1" w:styleId="SpecialFooter">
    <w:name w:val="Special Footer"/>
    <w:basedOn w:val="Footer"/>
    <w:uiPriority w:val="99"/>
    <w:rsid w:val="0073640E"/>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73640E"/>
    <w:rPr>
      <w:b/>
      <w:sz w:val="22"/>
      <w:u w:val="single"/>
    </w:rPr>
  </w:style>
  <w:style w:type="paragraph" w:customStyle="1" w:styleId="AnnexRefS2">
    <w:name w:val="Annex_Ref_S2"/>
    <w:basedOn w:val="AnnexRef"/>
    <w:next w:val="AnnexRef"/>
    <w:uiPriority w:val="99"/>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73640E"/>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73640E"/>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73640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73640E"/>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73640E"/>
    <w:pPr>
      <w:tabs>
        <w:tab w:val="left" w:pos="851"/>
      </w:tabs>
      <w:jc w:val="left"/>
    </w:pPr>
  </w:style>
  <w:style w:type="paragraph" w:customStyle="1" w:styleId="Arttitle">
    <w:name w:val="Art_title"/>
    <w:basedOn w:val="Normal"/>
    <w:next w:val="Normalaftertitle"/>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73640E"/>
    <w:pPr>
      <w:tabs>
        <w:tab w:val="left" w:pos="851"/>
      </w:tabs>
      <w:jc w:val="left"/>
    </w:pPr>
  </w:style>
  <w:style w:type="paragraph" w:customStyle="1" w:styleId="callS2">
    <w:name w:val="call_S2"/>
    <w:basedOn w:val="call"/>
    <w:next w:val="call"/>
    <w:uiPriority w:val="99"/>
    <w:rsid w:val="0073640E"/>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73640E"/>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73640E"/>
    <w:pPr>
      <w:tabs>
        <w:tab w:val="left" w:pos="851"/>
      </w:tabs>
      <w:jc w:val="left"/>
    </w:pPr>
    <w:rPr>
      <w:b/>
    </w:rPr>
  </w:style>
  <w:style w:type="paragraph" w:customStyle="1" w:styleId="Chaptitle">
    <w:name w:val="Chap_title"/>
    <w:basedOn w:val="Arttitle"/>
    <w:next w:val="Normalaftertitle"/>
    <w:uiPriority w:val="99"/>
    <w:rsid w:val="0073640E"/>
  </w:style>
  <w:style w:type="paragraph" w:customStyle="1" w:styleId="ChaptitleS2">
    <w:name w:val="Chap_title_S2"/>
    <w:basedOn w:val="Chaptitle"/>
    <w:next w:val="Chaptitle"/>
    <w:uiPriority w:val="99"/>
    <w:rsid w:val="0073640E"/>
    <w:pPr>
      <w:tabs>
        <w:tab w:val="left" w:pos="851"/>
      </w:tabs>
      <w:jc w:val="left"/>
    </w:pPr>
  </w:style>
  <w:style w:type="paragraph" w:styleId="Date">
    <w:name w:val="Date"/>
    <w:basedOn w:val="Normal"/>
    <w:link w:val="DateChar"/>
    <w:uiPriority w:val="99"/>
    <w:rsid w:val="0073640E"/>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semiHidden/>
    <w:locked/>
    <w:rsid w:val="00DB5FF3"/>
    <w:rPr>
      <w:rFonts w:cs="Times New Roman"/>
      <w:sz w:val="20"/>
      <w:lang w:val="en-GB" w:eastAsia="en-US"/>
    </w:rPr>
  </w:style>
  <w:style w:type="paragraph" w:customStyle="1" w:styleId="enumlev1S2">
    <w:name w:val="enumlev1_S2"/>
    <w:basedOn w:val="enumlev1"/>
    <w:next w:val="enumlev1"/>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73640E"/>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73640E"/>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73640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73640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73640E"/>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uiPriority w:val="99"/>
    <w:rsid w:val="0073640E"/>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uiPriority w:val="99"/>
    <w:rsid w:val="0073640E"/>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73640E"/>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73640E"/>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uiPriority w:val="99"/>
    <w:rsid w:val="0073640E"/>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73640E"/>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73640E"/>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Heading4"/>
    <w:next w:val="Heading4"/>
    <w:uiPriority w:val="99"/>
    <w:rsid w:val="0073640E"/>
    <w:pPr>
      <w:tabs>
        <w:tab w:val="clear" w:pos="1191"/>
        <w:tab w:val="clear" w:pos="2127"/>
        <w:tab w:val="clear" w:pos="2410"/>
        <w:tab w:val="clear" w:pos="2921"/>
        <w:tab w:val="clear" w:pos="3261"/>
        <w:tab w:val="left" w:pos="851"/>
      </w:tabs>
      <w:outlineLvl w:val="9"/>
    </w:pPr>
    <w:rPr>
      <w:i w:val="0"/>
    </w:rPr>
  </w:style>
  <w:style w:type="paragraph" w:customStyle="1" w:styleId="heading5S2">
    <w:name w:val="heading 5_S2"/>
    <w:basedOn w:val="Heading5"/>
    <w:next w:val="Heading5"/>
    <w:uiPriority w:val="99"/>
    <w:rsid w:val="0073640E"/>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Heading6"/>
    <w:next w:val="Heading6"/>
    <w:uiPriority w:val="99"/>
    <w:rsid w:val="0073640E"/>
    <w:pPr>
      <w:tabs>
        <w:tab w:val="clear" w:pos="1191"/>
        <w:tab w:val="clear" w:pos="2127"/>
        <w:tab w:val="clear" w:pos="2410"/>
        <w:tab w:val="clear" w:pos="2921"/>
        <w:tab w:val="clear" w:pos="3261"/>
        <w:tab w:val="left" w:pos="851"/>
      </w:tabs>
      <w:outlineLvl w:val="9"/>
    </w:pPr>
    <w:rPr>
      <w:b/>
    </w:rPr>
  </w:style>
  <w:style w:type="paragraph" w:customStyle="1" w:styleId="heading7S2">
    <w:name w:val="heading 7_S2"/>
    <w:basedOn w:val="Heading7"/>
    <w:next w:val="Heading7"/>
    <w:uiPriority w:val="99"/>
    <w:rsid w:val="0073640E"/>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Heading8"/>
    <w:next w:val="Heading8"/>
    <w:uiPriority w:val="99"/>
    <w:rsid w:val="0073640E"/>
    <w:pPr>
      <w:tabs>
        <w:tab w:val="clear" w:pos="1191"/>
        <w:tab w:val="clear" w:pos="2127"/>
        <w:tab w:val="clear" w:pos="2410"/>
        <w:tab w:val="clear" w:pos="2921"/>
        <w:tab w:val="clear" w:pos="3261"/>
        <w:tab w:val="left" w:pos="851"/>
      </w:tabs>
      <w:outlineLvl w:val="9"/>
    </w:pPr>
    <w:rPr>
      <w:i w:val="0"/>
    </w:rPr>
  </w:style>
  <w:style w:type="paragraph" w:customStyle="1" w:styleId="heading9S2">
    <w:name w:val="heading 9_S2"/>
    <w:basedOn w:val="Heading9"/>
    <w:next w:val="Heading9"/>
    <w:uiPriority w:val="99"/>
    <w:rsid w:val="0073640E"/>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73640E"/>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73640E"/>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73640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73640E"/>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73640E"/>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73640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73640E"/>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73640E"/>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73640E"/>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73640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73640E"/>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73640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73640E"/>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73640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73640E"/>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73640E"/>
    <w:pPr>
      <w:tabs>
        <w:tab w:val="left" w:pos="851"/>
      </w:tabs>
      <w:jc w:val="left"/>
    </w:pPr>
    <w:rPr>
      <w:b/>
      <w:caps/>
    </w:rPr>
  </w:style>
  <w:style w:type="paragraph" w:customStyle="1" w:styleId="Section2">
    <w:name w:val="Section 2"/>
    <w:basedOn w:val="Section1"/>
    <w:next w:val="Normal"/>
    <w:uiPriority w:val="99"/>
    <w:rsid w:val="0073640E"/>
    <w:pPr>
      <w:spacing w:before="360"/>
    </w:pPr>
    <w:rPr>
      <w:i/>
    </w:rPr>
  </w:style>
  <w:style w:type="paragraph" w:customStyle="1" w:styleId="Section2S2">
    <w:name w:val="Section 2_S2"/>
    <w:basedOn w:val="Section2"/>
    <w:next w:val="Section2"/>
    <w:uiPriority w:val="99"/>
    <w:rsid w:val="0073640E"/>
    <w:pPr>
      <w:tabs>
        <w:tab w:val="left" w:pos="851"/>
      </w:tabs>
      <w:jc w:val="left"/>
    </w:pPr>
    <w:rPr>
      <w:i w:val="0"/>
    </w:rPr>
  </w:style>
  <w:style w:type="paragraph" w:customStyle="1" w:styleId="Section3">
    <w:name w:val="Section 3"/>
    <w:basedOn w:val="Section2"/>
    <w:next w:val="Normal"/>
    <w:uiPriority w:val="99"/>
    <w:rsid w:val="0073640E"/>
    <w:pPr>
      <w:spacing w:before="240"/>
    </w:pPr>
    <w:rPr>
      <w:i w:val="0"/>
    </w:rPr>
  </w:style>
  <w:style w:type="paragraph" w:customStyle="1" w:styleId="Section3S2">
    <w:name w:val="Section 3_S2"/>
    <w:basedOn w:val="Section2S2"/>
    <w:uiPriority w:val="99"/>
    <w:rsid w:val="0073640E"/>
    <w:pPr>
      <w:spacing w:before="240"/>
    </w:pPr>
    <w:rPr>
      <w:b/>
    </w:rPr>
  </w:style>
  <w:style w:type="paragraph" w:customStyle="1" w:styleId="TableS2">
    <w:name w:val="Table_#_S2"/>
    <w:basedOn w:val="Table"/>
    <w:next w:val="Table"/>
    <w:uiPriority w:val="99"/>
    <w:rsid w:val="0073640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73640E"/>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73640E"/>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73640E"/>
    <w:rPr>
      <w:rFonts w:cs="Times New Roman"/>
    </w:rPr>
  </w:style>
  <w:style w:type="paragraph" w:styleId="BodyText2">
    <w:name w:val="Body Text 2"/>
    <w:basedOn w:val="Normal"/>
    <w:link w:val="BodyText2Char"/>
    <w:uiPriority w:val="99"/>
    <w:rsid w:val="0073640E"/>
    <w:pPr>
      <w:ind w:left="720" w:hanging="720"/>
    </w:pPr>
    <w:rPr>
      <w:sz w:val="20"/>
    </w:rPr>
  </w:style>
  <w:style w:type="character" w:customStyle="1" w:styleId="BodyText2Char">
    <w:name w:val="Body Text 2 Char"/>
    <w:basedOn w:val="DefaultParagraphFont"/>
    <w:link w:val="BodyText2"/>
    <w:uiPriority w:val="99"/>
    <w:semiHidden/>
    <w:locked/>
    <w:rsid w:val="00DB5FF3"/>
    <w:rPr>
      <w:rFonts w:cs="Times New Roman"/>
      <w:sz w:val="20"/>
      <w:lang w:val="en-GB" w:eastAsia="en-US"/>
    </w:rPr>
  </w:style>
  <w:style w:type="paragraph" w:styleId="PlainText">
    <w:name w:val="Plain Text"/>
    <w:basedOn w:val="Normal"/>
    <w:link w:val="PlainTextChar"/>
    <w:uiPriority w:val="99"/>
    <w:rsid w:val="0073640E"/>
    <w:pPr>
      <w:tabs>
        <w:tab w:val="clear" w:pos="794"/>
        <w:tab w:val="clear" w:pos="1191"/>
        <w:tab w:val="clear" w:pos="1588"/>
        <w:tab w:val="clear" w:pos="1985"/>
      </w:tabs>
      <w:spacing w:before="0"/>
    </w:pPr>
    <w:rPr>
      <w:rFonts w:ascii="Courier New" w:hAnsi="Courier New"/>
      <w:sz w:val="20"/>
    </w:rPr>
  </w:style>
  <w:style w:type="character" w:customStyle="1" w:styleId="PlainTextChar">
    <w:name w:val="Plain Text Char"/>
    <w:basedOn w:val="DefaultParagraphFont"/>
    <w:link w:val="PlainText"/>
    <w:uiPriority w:val="99"/>
    <w:semiHidden/>
    <w:locked/>
    <w:rsid w:val="00DB5FF3"/>
    <w:rPr>
      <w:rFonts w:ascii="Courier New" w:hAnsi="Courier New" w:cs="Times New Roman"/>
      <w:sz w:val="20"/>
      <w:lang w:val="en-GB" w:eastAsia="en-US"/>
    </w:rPr>
  </w:style>
  <w:style w:type="character" w:styleId="Hyperlink">
    <w:name w:val="Hyperlink"/>
    <w:basedOn w:val="DefaultParagraphFont"/>
    <w:uiPriority w:val="99"/>
    <w:rsid w:val="0073640E"/>
    <w:rPr>
      <w:rFonts w:cs="Times New Roman"/>
      <w:color w:val="0000FF"/>
      <w:u w:val="single"/>
    </w:rPr>
  </w:style>
  <w:style w:type="paragraph" w:customStyle="1" w:styleId="Reftitle0">
    <w:name w:val="Ref_title"/>
    <w:basedOn w:val="Normal"/>
    <w:next w:val="Reftext0"/>
    <w:uiPriority w:val="99"/>
    <w:rsid w:val="0073640E"/>
    <w:pPr>
      <w:spacing w:before="480"/>
      <w:jc w:val="center"/>
    </w:pPr>
    <w:rPr>
      <w:caps/>
    </w:rPr>
  </w:style>
  <w:style w:type="paragraph" w:customStyle="1" w:styleId="Reftext0">
    <w:name w:val="Ref_text"/>
    <w:basedOn w:val="Normal"/>
    <w:uiPriority w:val="99"/>
    <w:rsid w:val="0073640E"/>
    <w:pPr>
      <w:ind w:left="794" w:hanging="794"/>
    </w:pPr>
  </w:style>
  <w:style w:type="paragraph" w:customStyle="1" w:styleId="Annextitle0">
    <w:name w:val="Annex_title"/>
    <w:basedOn w:val="Arttitle"/>
    <w:next w:val="Normal"/>
    <w:uiPriority w:val="99"/>
    <w:rsid w:val="0073640E"/>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73640E"/>
    <w:pPr>
      <w:keepNext/>
      <w:keepLines/>
      <w:tabs>
        <w:tab w:val="clear" w:pos="794"/>
        <w:tab w:val="clear" w:pos="1191"/>
        <w:tab w:val="clear" w:pos="1588"/>
        <w:tab w:val="clear" w:pos="1985"/>
      </w:tabs>
      <w:jc w:val="right"/>
    </w:pPr>
    <w:rPr>
      <w:sz w:val="22"/>
    </w:rPr>
  </w:style>
  <w:style w:type="character" w:styleId="FollowedHyperlink">
    <w:name w:val="FollowedHyperlink"/>
    <w:basedOn w:val="DefaultParagraphFont"/>
    <w:uiPriority w:val="99"/>
    <w:rsid w:val="0073640E"/>
    <w:rPr>
      <w:rFonts w:cs="Times New Roman"/>
      <w:color w:val="800080"/>
      <w:u w:val="single"/>
    </w:rPr>
  </w:style>
  <w:style w:type="character" w:customStyle="1" w:styleId="Appref">
    <w:name w:val="App_ref"/>
    <w:uiPriority w:val="99"/>
    <w:rsid w:val="0073640E"/>
  </w:style>
  <w:style w:type="paragraph" w:styleId="Title">
    <w:name w:val="Title"/>
    <w:basedOn w:val="Normal"/>
    <w:link w:val="TitleChar"/>
    <w:uiPriority w:val="99"/>
    <w:qFormat/>
    <w:rsid w:val="0073640E"/>
    <w:pPr>
      <w:tabs>
        <w:tab w:val="clear" w:pos="794"/>
        <w:tab w:val="clear" w:pos="1191"/>
        <w:tab w:val="clear" w:pos="1588"/>
        <w:tab w:val="clear" w:pos="1985"/>
      </w:tabs>
      <w:spacing w:before="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DB5FF3"/>
    <w:rPr>
      <w:rFonts w:ascii="Cambria" w:hAnsi="Cambria" w:cs="Times New Roman"/>
      <w:b/>
      <w:kern w:val="28"/>
      <w:sz w:val="32"/>
      <w:lang w:val="en-GB" w:eastAsia="en-US"/>
    </w:rPr>
  </w:style>
  <w:style w:type="character" w:customStyle="1" w:styleId="Artref">
    <w:name w:val="Art_ref"/>
    <w:uiPriority w:val="99"/>
    <w:rsid w:val="0073640E"/>
  </w:style>
  <w:style w:type="character" w:customStyle="1" w:styleId="Tablefreq">
    <w:name w:val="Table_freq"/>
    <w:uiPriority w:val="99"/>
    <w:rsid w:val="0073640E"/>
    <w:rPr>
      <w:b/>
      <w:color w:val="FF0000"/>
    </w:rPr>
  </w:style>
  <w:style w:type="paragraph" w:styleId="BodyText3">
    <w:name w:val="Body Text 3"/>
    <w:basedOn w:val="Normal"/>
    <w:link w:val="BodyText3Char"/>
    <w:uiPriority w:val="99"/>
    <w:rsid w:val="0073640E"/>
    <w:pPr>
      <w:jc w:val="center"/>
    </w:pPr>
    <w:rPr>
      <w:sz w:val="16"/>
      <w:szCs w:val="16"/>
    </w:rPr>
  </w:style>
  <w:style w:type="character" w:customStyle="1" w:styleId="BodyText3Char">
    <w:name w:val="Body Text 3 Char"/>
    <w:basedOn w:val="DefaultParagraphFont"/>
    <w:link w:val="BodyText3"/>
    <w:uiPriority w:val="99"/>
    <w:semiHidden/>
    <w:locked/>
    <w:rsid w:val="00DB5FF3"/>
    <w:rPr>
      <w:rFonts w:cs="Times New Roman"/>
      <w:sz w:val="16"/>
      <w:lang w:val="en-GB" w:eastAsia="en-US"/>
    </w:rPr>
  </w:style>
  <w:style w:type="paragraph" w:customStyle="1" w:styleId="AnnexNotitle">
    <w:name w:val="Annex_No &amp; title"/>
    <w:basedOn w:val="Normal"/>
    <w:next w:val="Normal"/>
    <w:uiPriority w:val="99"/>
    <w:rsid w:val="0073640E"/>
    <w:pPr>
      <w:keepNext/>
      <w:keepLines/>
      <w:spacing w:before="480"/>
      <w:jc w:val="center"/>
    </w:pPr>
    <w:rPr>
      <w:b/>
      <w:sz w:val="28"/>
    </w:rPr>
  </w:style>
  <w:style w:type="paragraph" w:customStyle="1" w:styleId="Line">
    <w:name w:val="Line"/>
    <w:basedOn w:val="Normal"/>
    <w:next w:val="Normal"/>
    <w:uiPriority w:val="99"/>
    <w:rsid w:val="0073640E"/>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73640E"/>
    <w:pPr>
      <w:keepNext/>
      <w:keepLines/>
      <w:spacing w:before="480"/>
      <w:jc w:val="center"/>
    </w:pPr>
    <w:rPr>
      <w:caps/>
      <w:sz w:val="28"/>
    </w:rPr>
  </w:style>
  <w:style w:type="paragraph" w:customStyle="1" w:styleId="TabletitleBR">
    <w:name w:val="Table_title_BR"/>
    <w:basedOn w:val="Normal"/>
    <w:next w:val="TableHead"/>
    <w:uiPriority w:val="99"/>
    <w:rsid w:val="0073640E"/>
    <w:pPr>
      <w:keepNext/>
      <w:keepLines/>
      <w:spacing w:before="0" w:after="120"/>
      <w:jc w:val="center"/>
    </w:pPr>
    <w:rPr>
      <w:b/>
    </w:rPr>
  </w:style>
  <w:style w:type="paragraph" w:customStyle="1" w:styleId="FigureNo">
    <w:name w:val="Figure_No"/>
    <w:basedOn w:val="Normal"/>
    <w:next w:val="FigureTitle"/>
    <w:uiPriority w:val="99"/>
    <w:rsid w:val="0073640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uiPriority w:val="99"/>
    <w:rsid w:val="0073640E"/>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73640E"/>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73640E"/>
  </w:style>
  <w:style w:type="paragraph" w:customStyle="1" w:styleId="Rectitle0">
    <w:name w:val="Rec_title"/>
    <w:basedOn w:val="RecNo"/>
    <w:next w:val="Normal"/>
    <w:uiPriority w:val="99"/>
    <w:rsid w:val="0073640E"/>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uiPriority w:val="99"/>
    <w:rsid w:val="0073640E"/>
    <w:pPr>
      <w:spacing w:before="360"/>
    </w:pPr>
  </w:style>
  <w:style w:type="paragraph" w:customStyle="1" w:styleId="Figurewithouttitle">
    <w:name w:val="Figure_without_title"/>
    <w:basedOn w:val="Normal"/>
    <w:next w:val="Normalaftertitle0"/>
    <w:uiPriority w:val="99"/>
    <w:rsid w:val="0073640E"/>
    <w:pPr>
      <w:keepLines/>
      <w:spacing w:before="240" w:after="120"/>
      <w:jc w:val="center"/>
    </w:pPr>
  </w:style>
  <w:style w:type="paragraph" w:customStyle="1" w:styleId="Headingi0">
    <w:name w:val="Heading_i"/>
    <w:basedOn w:val="Normal"/>
    <w:next w:val="Normal"/>
    <w:uiPriority w:val="99"/>
    <w:rsid w:val="0073640E"/>
    <w:pPr>
      <w:keepNext/>
      <w:spacing w:before="160"/>
    </w:pPr>
    <w:rPr>
      <w:i/>
    </w:rPr>
  </w:style>
  <w:style w:type="paragraph" w:styleId="BodyTextIndent">
    <w:name w:val="Body Text Indent"/>
    <w:basedOn w:val="Normal"/>
    <w:link w:val="BodyTextIndentChar"/>
    <w:uiPriority w:val="99"/>
    <w:rsid w:val="0073640E"/>
    <w:pPr>
      <w:tabs>
        <w:tab w:val="clear" w:pos="794"/>
        <w:tab w:val="left" w:pos="426"/>
      </w:tabs>
      <w:spacing w:before="60"/>
      <w:ind w:left="420" w:hanging="420"/>
    </w:pPr>
    <w:rPr>
      <w:sz w:val="20"/>
    </w:rPr>
  </w:style>
  <w:style w:type="character" w:customStyle="1" w:styleId="BodyTextIndentChar">
    <w:name w:val="Body Text Indent Char"/>
    <w:basedOn w:val="DefaultParagraphFont"/>
    <w:link w:val="BodyTextIndent"/>
    <w:uiPriority w:val="99"/>
    <w:semiHidden/>
    <w:locked/>
    <w:rsid w:val="00DB5FF3"/>
    <w:rPr>
      <w:rFonts w:cs="Times New Roman"/>
      <w:sz w:val="20"/>
      <w:lang w:val="en-GB" w:eastAsia="en-US"/>
    </w:rPr>
  </w:style>
  <w:style w:type="paragraph" w:customStyle="1" w:styleId="Formal">
    <w:name w:val="Formal"/>
    <w:basedOn w:val="ASN1"/>
    <w:uiPriority w:val="99"/>
    <w:rsid w:val="0073640E"/>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73640E"/>
  </w:style>
  <w:style w:type="paragraph" w:customStyle="1" w:styleId="AnnexNoTitle0">
    <w:name w:val="Annex_NoTitle"/>
    <w:basedOn w:val="Normal"/>
    <w:next w:val="Normal"/>
    <w:uiPriority w:val="99"/>
    <w:rsid w:val="0073640E"/>
    <w:pPr>
      <w:keepNext/>
      <w:keepLines/>
      <w:spacing w:before="480"/>
      <w:jc w:val="center"/>
    </w:pPr>
    <w:rPr>
      <w:b/>
      <w:sz w:val="28"/>
    </w:rPr>
  </w:style>
  <w:style w:type="paragraph" w:customStyle="1" w:styleId="AppendixNoTitle">
    <w:name w:val="Appendix_NoTitle"/>
    <w:basedOn w:val="AnnexNoTitle0"/>
    <w:next w:val="Normal"/>
    <w:uiPriority w:val="99"/>
    <w:rsid w:val="0073640E"/>
  </w:style>
  <w:style w:type="character" w:customStyle="1" w:styleId="Artdef">
    <w:name w:val="Art_def"/>
    <w:uiPriority w:val="99"/>
    <w:rsid w:val="0073640E"/>
    <w:rPr>
      <w:rFonts w:ascii="Times New Roman" w:hAnsi="Times New Roman"/>
      <w:b/>
    </w:rPr>
  </w:style>
  <w:style w:type="paragraph" w:customStyle="1" w:styleId="Headingb0">
    <w:name w:val="Heading_b"/>
    <w:basedOn w:val="Normal"/>
    <w:next w:val="Normal"/>
    <w:uiPriority w:val="99"/>
    <w:rsid w:val="0073640E"/>
    <w:pPr>
      <w:keepNext/>
      <w:spacing w:before="160"/>
    </w:pPr>
    <w:rPr>
      <w:b/>
    </w:rPr>
  </w:style>
  <w:style w:type="paragraph" w:customStyle="1" w:styleId="ProposalChar">
    <w:name w:val="Proposal Char"/>
    <w:basedOn w:val="Normal"/>
    <w:next w:val="Normal"/>
    <w:autoRedefine/>
    <w:uiPriority w:val="99"/>
    <w:rsid w:val="0073640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uiPriority w:val="99"/>
    <w:rsid w:val="0073640E"/>
    <w:rPr>
      <w:b/>
      <w:sz w:val="24"/>
      <w:lang w:val="en-GB" w:eastAsia="en-US"/>
    </w:rPr>
  </w:style>
  <w:style w:type="paragraph" w:customStyle="1" w:styleId="TableNo">
    <w:name w:val="Table_No"/>
    <w:basedOn w:val="Normal"/>
    <w:next w:val="Normal"/>
    <w:uiPriority w:val="99"/>
    <w:rsid w:val="0073640E"/>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uiPriority w:val="99"/>
    <w:rsid w:val="0073640E"/>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uiPriority w:val="99"/>
    <w:rsid w:val="0073640E"/>
    <w:pPr>
      <w:tabs>
        <w:tab w:val="clear" w:pos="794"/>
        <w:tab w:val="clear" w:pos="1191"/>
        <w:tab w:val="clear" w:pos="1588"/>
        <w:tab w:val="clear" w:pos="1985"/>
        <w:tab w:val="left" w:pos="1871"/>
        <w:tab w:val="left" w:pos="2268"/>
      </w:tabs>
      <w:spacing w:before="0"/>
      <w:jc w:val="both"/>
    </w:pPr>
    <w:rPr>
      <w:sz w:val="12"/>
      <w:lang w:val="fr-FR"/>
    </w:rPr>
  </w:style>
  <w:style w:type="paragraph" w:styleId="BalloonText">
    <w:name w:val="Balloon Text"/>
    <w:basedOn w:val="Normal"/>
    <w:link w:val="BalloonTextChar"/>
    <w:uiPriority w:val="99"/>
    <w:semiHidden/>
    <w:rsid w:val="00AF2C16"/>
    <w:rPr>
      <w:sz w:val="2"/>
    </w:rPr>
  </w:style>
  <w:style w:type="character" w:customStyle="1" w:styleId="BalloonTextChar">
    <w:name w:val="Balloon Text Char"/>
    <w:basedOn w:val="DefaultParagraphFont"/>
    <w:link w:val="BalloonText"/>
    <w:uiPriority w:val="99"/>
    <w:semiHidden/>
    <w:locked/>
    <w:rsid w:val="00DB5FF3"/>
    <w:rPr>
      <w:rFonts w:cs="Times New Roman"/>
      <w:sz w:val="2"/>
      <w:lang w:val="en-GB" w:eastAsia="en-US"/>
    </w:rPr>
  </w:style>
  <w:style w:type="character" w:customStyle="1" w:styleId="Resref0">
    <w:name w:val="Res_ref"/>
    <w:uiPriority w:val="99"/>
    <w:rsid w:val="008818BD"/>
    <w:rPr>
      <w:color w:val="3366FF"/>
    </w:rPr>
  </w:style>
  <w:style w:type="paragraph" w:customStyle="1" w:styleId="TableFin0">
    <w:name w:val="Table_Fin"/>
    <w:basedOn w:val="Normal"/>
    <w:uiPriority w:val="99"/>
    <w:rsid w:val="00F75B29"/>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link w:val="FootnoteText"/>
    <w:uiPriority w:val="99"/>
    <w:locked/>
    <w:rsid w:val="00C01CE3"/>
    <w:rPr>
      <w:sz w:val="24"/>
      <w:lang w:val="en-GB" w:eastAsia="en-US"/>
    </w:rPr>
  </w:style>
  <w:style w:type="paragraph" w:customStyle="1" w:styleId="CharChar">
    <w:name w:val="Char Char"/>
    <w:basedOn w:val="Normal"/>
    <w:uiPriority w:val="99"/>
    <w:rsid w:val="00C3346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arChar">
    <w:name w:val="Знак Знак Знак Знак Знак Знак Знак Знак Знак Знак Знак Знак Знак Знак Знак Знак Знак Знак Char Car Char"/>
    <w:basedOn w:val="Normal"/>
    <w:uiPriority w:val="99"/>
    <w:rsid w:val="0093392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Char1">
    <w:name w:val="Char Char1"/>
    <w:basedOn w:val="Normal"/>
    <w:uiPriority w:val="99"/>
    <w:rsid w:val="005744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CharChar1CharCharChar1CharCharCharCharCharChar">
    <w:name w:val="Car Char Char1 Char Char Char1 Char Char Char Char Char Char"/>
    <w:basedOn w:val="Normal"/>
    <w:uiPriority w:val="99"/>
    <w:rsid w:val="0029347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a">
    <w:name w:val="Знак Знак"/>
    <w:basedOn w:val="Normal"/>
    <w:uiPriority w:val="99"/>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ar">
    <w:name w:val="Car"/>
    <w:basedOn w:val="Normal"/>
    <w:uiPriority w:val="99"/>
    <w:rsid w:val="00F7415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NormalaftertitleChar">
    <w:name w:val="Normal after title Char"/>
    <w:link w:val="Normalaftertitle"/>
    <w:uiPriority w:val="99"/>
    <w:locked/>
    <w:rsid w:val="0044437C"/>
    <w:rPr>
      <w:sz w:val="24"/>
      <w:lang w:eastAsia="en-US"/>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link w:val="Header"/>
    <w:uiPriority w:val="99"/>
    <w:locked/>
    <w:rsid w:val="001C1138"/>
    <w:rPr>
      <w:sz w:val="22"/>
      <w:lang w:eastAsia="en-US"/>
    </w:rPr>
  </w:style>
  <w:style w:type="paragraph" w:customStyle="1" w:styleId="CharCharCharCharCarCharCharChar1CharCharCharCar">
    <w:name w:val="Char Char Char Char Car Char Char Char1 Char Char Char Car"/>
    <w:basedOn w:val="Normal"/>
    <w:uiPriority w:val="99"/>
    <w:rsid w:val="0081077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Subtitle1">
    <w:name w:val="Subtitle1"/>
    <w:basedOn w:val="Normal"/>
    <w:uiPriority w:val="99"/>
    <w:rsid w:val="00A53FC1"/>
    <w:pPr>
      <w:tabs>
        <w:tab w:val="clear" w:pos="794"/>
        <w:tab w:val="clear" w:pos="1191"/>
        <w:tab w:val="clear" w:pos="1588"/>
        <w:tab w:val="clear" w:pos="1985"/>
      </w:tabs>
      <w:overflowPunct/>
      <w:autoSpaceDE/>
      <w:autoSpaceDN/>
      <w:adjustRightInd/>
      <w:spacing w:before="360" w:after="240"/>
      <w:jc w:val="both"/>
      <w:textAlignment w:val="auto"/>
    </w:pPr>
    <w:rPr>
      <w:rFonts w:ascii="Arial" w:hAnsi="Arial"/>
      <w:b/>
      <w:szCs w:val="24"/>
      <w:lang w:val="fr-FR" w:eastAsia="fr-FR"/>
    </w:rPr>
  </w:style>
  <w:style w:type="character" w:customStyle="1" w:styleId="enumlev1Char">
    <w:name w:val="enumlev1 Char"/>
    <w:link w:val="enumlev1"/>
    <w:uiPriority w:val="99"/>
    <w:locked/>
    <w:rsid w:val="00063C24"/>
    <w:rPr>
      <w:sz w:val="24"/>
      <w:lang w:eastAsia="en-US"/>
    </w:rPr>
  </w:style>
  <w:style w:type="character" w:customStyle="1" w:styleId="ZGSM">
    <w:name w:val="ZGSM"/>
    <w:uiPriority w:val="99"/>
    <w:rsid w:val="00063C24"/>
  </w:style>
  <w:style w:type="paragraph" w:customStyle="1" w:styleId="ZchnZchnCharZchnZchnCharCarZchnZchnCarCar">
    <w:name w:val="Zchn Zchn Char Zchn Zchn Char Car Zchn Zchn Car Car"/>
    <w:basedOn w:val="Normal"/>
    <w:uiPriority w:val="99"/>
    <w:rsid w:val="00511A8A"/>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styleId="ListParagraph">
    <w:name w:val="List Paragraph"/>
    <w:basedOn w:val="Normal"/>
    <w:uiPriority w:val="99"/>
    <w:qFormat/>
    <w:rsid w:val="00C5716C"/>
    <w:pPr>
      <w:ind w:left="720"/>
      <w:contextualSpacing/>
    </w:pPr>
  </w:style>
  <w:style w:type="character" w:customStyle="1" w:styleId="encabezadoCar">
    <w:name w:val="encabezado Car"/>
    <w:aliases w:val="he Car,header odd Car,header odd1 Car,header odd2 Car,header odd3 Car,header odd4 Car,header odd5 Car,header odd6 Car,header1 Car,header2 Car,header3 Car,header odd11 Car,header odd21 Car,header odd7 Car,header4 Car,header odd8 Car,h Car"/>
    <w:basedOn w:val="DefaultParagraphFont"/>
    <w:uiPriority w:val="99"/>
    <w:semiHidden/>
    <w:locked/>
    <w:rsid w:val="00EA58AC"/>
    <w:rPr>
      <w:rFonts w:cs="Times New Roman"/>
      <w:sz w:val="20"/>
      <w:szCs w:val="20"/>
      <w:lang w:val="en-GB" w:eastAsia="nl-NL"/>
    </w:rPr>
  </w:style>
  <w:style w:type="paragraph" w:customStyle="1" w:styleId="TableTextS5">
    <w:name w:val="Table_TextS5"/>
    <w:basedOn w:val="Normal"/>
    <w:uiPriority w:val="99"/>
    <w:rsid w:val="00B960D4"/>
    <w:pPr>
      <w:tabs>
        <w:tab w:val="left" w:pos="170"/>
        <w:tab w:val="left" w:pos="567"/>
        <w:tab w:val="left" w:pos="737"/>
        <w:tab w:val="left" w:pos="2977"/>
        <w:tab w:val="left" w:pos="3266"/>
      </w:tabs>
      <w:autoSpaceDN/>
      <w:adjustRightInd/>
      <w:spacing w:before="40" w:after="40"/>
    </w:pPr>
    <w:rPr>
      <w:sz w:val="20"/>
      <w:lang w:val="fr-FR" w:eastAsia="ar-SA"/>
    </w:rPr>
  </w:style>
  <w:style w:type="paragraph" w:customStyle="1" w:styleId="Tablehead0">
    <w:name w:val="Table_head"/>
    <w:basedOn w:val="Normal"/>
    <w:next w:val="Normal"/>
    <w:uiPriority w:val="99"/>
    <w:rsid w:val="00B960D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autoSpaceDN/>
      <w:adjustRightInd/>
      <w:spacing w:before="80" w:after="80"/>
      <w:jc w:val="center"/>
    </w:pPr>
    <w:rPr>
      <w:b/>
      <w:sz w:val="20"/>
      <w:lang w:val="fr-FR" w:eastAsia="ar-SA"/>
    </w:rPr>
  </w:style>
  <w:style w:type="paragraph" w:customStyle="1" w:styleId="Default">
    <w:name w:val="Default"/>
    <w:uiPriority w:val="99"/>
    <w:rsid w:val="00B960D4"/>
    <w:pPr>
      <w:autoSpaceDE w:val="0"/>
      <w:autoSpaceDN w:val="0"/>
      <w:adjustRightInd w:val="0"/>
    </w:pPr>
    <w:rPr>
      <w:rFonts w:ascii="Arial" w:hAnsi="Arial" w:cs="Arial"/>
      <w:color w:val="000000"/>
      <w:sz w:val="24"/>
      <w:szCs w:val="24"/>
      <w:lang w:val="ru-RU" w:eastAsia="en-US"/>
    </w:rPr>
  </w:style>
  <w:style w:type="paragraph" w:styleId="Revision">
    <w:name w:val="Revision"/>
    <w:hidden/>
    <w:uiPriority w:val="99"/>
    <w:semiHidden/>
    <w:rsid w:val="00B5445F"/>
    <w:rPr>
      <w:sz w:val="24"/>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2</TotalTime>
  <Pages>10</Pages>
  <Words>3446</Words>
  <Characters>19645</Characters>
  <Application>Microsoft Office Word</Application>
  <DocSecurity>0</DocSecurity>
  <Lines>163</Lines>
  <Paragraphs>46</Paragraphs>
  <ScaleCrop>false</ScaleCrop>
  <Company>ITU</Company>
  <LinksUpToDate>false</LinksUpToDate>
  <CharactersWithSpaces>23045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WRC-11 AI 1.8</dc:title>
  <dc:subject>CEPT Brief 1.8</dc:subject>
  <dc:creator>CEPT Coordinator</dc:creator>
  <cp:lastModifiedBy>wesley.milton</cp:lastModifiedBy>
  <cp:revision>3</cp:revision>
  <cp:lastPrinted>2008-04-04T10:47:00Z</cp:lastPrinted>
  <dcterms:created xsi:type="dcterms:W3CDTF">2011-09-08T09:49:00Z</dcterms:created>
  <dcterms:modified xsi:type="dcterms:W3CDTF">2011-09-08T09:49:00Z</dcterms:modified>
</cp:coreProperties>
</file>