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Layout w:type="fixed"/>
        <w:tblCellMar>
          <w:left w:w="70" w:type="dxa"/>
          <w:right w:w="70" w:type="dxa"/>
        </w:tblCellMar>
        <w:tblLook w:val="0000"/>
      </w:tblPr>
      <w:tblGrid>
        <w:gridCol w:w="4482"/>
        <w:gridCol w:w="905"/>
        <w:gridCol w:w="3827"/>
      </w:tblGrid>
      <w:tr w:rsidR="009F7637" w:rsidTr="009F7637">
        <w:trPr>
          <w:cantSplit/>
          <w:trHeight w:val="1843"/>
        </w:trPr>
        <w:tc>
          <w:tcPr>
            <w:tcW w:w="5387" w:type="dxa"/>
            <w:gridSpan w:val="2"/>
            <w:tcBorders>
              <w:top w:val="nil"/>
              <w:left w:val="nil"/>
              <w:bottom w:val="nil"/>
              <w:right w:val="nil"/>
            </w:tcBorders>
          </w:tcPr>
          <w:p w:rsidR="009F7637" w:rsidRDefault="004E54C2" w:rsidP="009F7637">
            <w:pPr>
              <w:rPr>
                <w:noProof/>
              </w:rPr>
            </w:pPr>
            <w:r>
              <w:rPr>
                <w:noProof/>
                <w:lang w:eastAsia="en-GB"/>
              </w:rPr>
              <w:drawing>
                <wp:inline distT="0" distB="0" distL="0" distR="0">
                  <wp:extent cx="1621790" cy="80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621790" cy="803275"/>
                          </a:xfrm>
                          <a:prstGeom prst="rect">
                            <a:avLst/>
                          </a:prstGeom>
                          <a:noFill/>
                          <a:ln w="9525">
                            <a:noFill/>
                            <a:miter lim="800000"/>
                            <a:headEnd/>
                            <a:tailEnd/>
                          </a:ln>
                        </pic:spPr>
                      </pic:pic>
                    </a:graphicData>
                  </a:graphic>
                </wp:inline>
              </w:drawing>
            </w:r>
          </w:p>
          <w:p w:rsidR="009F7637" w:rsidRDefault="009F7637" w:rsidP="009F7637"/>
        </w:tc>
        <w:tc>
          <w:tcPr>
            <w:tcW w:w="3827" w:type="dxa"/>
            <w:tcBorders>
              <w:top w:val="nil"/>
              <w:left w:val="nil"/>
              <w:bottom w:val="nil"/>
              <w:right w:val="nil"/>
            </w:tcBorders>
          </w:tcPr>
          <w:p w:rsidR="009F7637" w:rsidRPr="00A9298A" w:rsidRDefault="009F7637" w:rsidP="009F7637">
            <w:r>
              <w:t>Doc. ECC/CPGPTD(11</w:t>
            </w:r>
            <w:r w:rsidRPr="00A9298A">
              <w:t>)</w:t>
            </w:r>
            <w:r w:rsidR="004E54C2">
              <w:t>054</w:t>
            </w:r>
          </w:p>
        </w:tc>
      </w:tr>
      <w:tr w:rsidR="009F7637" w:rsidRPr="0092496F" w:rsidTr="009F7637">
        <w:tblPrEx>
          <w:tblCellMar>
            <w:left w:w="108" w:type="dxa"/>
            <w:right w:w="108" w:type="dxa"/>
          </w:tblCellMar>
        </w:tblPrEx>
        <w:trPr>
          <w:cantSplit/>
        </w:trPr>
        <w:tc>
          <w:tcPr>
            <w:tcW w:w="4482" w:type="dxa"/>
            <w:tcBorders>
              <w:top w:val="nil"/>
              <w:left w:val="nil"/>
              <w:bottom w:val="nil"/>
              <w:right w:val="nil"/>
            </w:tcBorders>
          </w:tcPr>
          <w:p w:rsidR="009F7637" w:rsidRPr="0092496F" w:rsidRDefault="009F7637" w:rsidP="009F7637">
            <w:pPr>
              <w:rPr>
                <w:sz w:val="24"/>
                <w:szCs w:val="24"/>
              </w:rPr>
            </w:pPr>
            <w:r w:rsidRPr="0092496F">
              <w:rPr>
                <w:sz w:val="24"/>
                <w:szCs w:val="24"/>
              </w:rPr>
              <w:t>CPG-PTD</w:t>
            </w:r>
            <w:r>
              <w:rPr>
                <w:sz w:val="24"/>
                <w:szCs w:val="24"/>
              </w:rPr>
              <w:t>1</w:t>
            </w:r>
            <w:r w:rsidR="00FA6AD7">
              <w:rPr>
                <w:sz w:val="24"/>
                <w:szCs w:val="24"/>
              </w:rPr>
              <w:t>2</w:t>
            </w:r>
          </w:p>
          <w:p w:rsidR="009F7637" w:rsidRPr="0092496F" w:rsidRDefault="00FA6AD7" w:rsidP="009F7637">
            <w:pPr>
              <w:rPr>
                <w:sz w:val="24"/>
                <w:szCs w:val="24"/>
              </w:rPr>
            </w:pPr>
            <w:r>
              <w:rPr>
                <w:sz w:val="24"/>
                <w:szCs w:val="24"/>
              </w:rPr>
              <w:t>London</w:t>
            </w:r>
            <w:r w:rsidR="009F7637" w:rsidRPr="0092496F">
              <w:rPr>
                <w:sz w:val="24"/>
                <w:szCs w:val="24"/>
              </w:rPr>
              <w:t xml:space="preserve">, </w:t>
            </w:r>
            <w:r w:rsidR="009F7637">
              <w:rPr>
                <w:sz w:val="24"/>
                <w:szCs w:val="24"/>
              </w:rPr>
              <w:t>2</w:t>
            </w:r>
            <w:r>
              <w:rPr>
                <w:sz w:val="24"/>
                <w:szCs w:val="24"/>
              </w:rPr>
              <w:t>0</w:t>
            </w:r>
            <w:r w:rsidR="009F7637">
              <w:rPr>
                <w:sz w:val="24"/>
                <w:szCs w:val="24"/>
              </w:rPr>
              <w:t>-2</w:t>
            </w:r>
            <w:r>
              <w:rPr>
                <w:sz w:val="24"/>
                <w:szCs w:val="24"/>
              </w:rPr>
              <w:t>3</w:t>
            </w:r>
            <w:r w:rsidR="009F7637" w:rsidRPr="0092496F">
              <w:rPr>
                <w:sz w:val="24"/>
                <w:szCs w:val="24"/>
              </w:rPr>
              <w:t xml:space="preserve"> </w:t>
            </w:r>
            <w:r>
              <w:rPr>
                <w:sz w:val="24"/>
                <w:szCs w:val="24"/>
              </w:rPr>
              <w:t>September</w:t>
            </w:r>
            <w:r w:rsidR="009F7637" w:rsidRPr="0092496F">
              <w:rPr>
                <w:sz w:val="24"/>
                <w:szCs w:val="24"/>
              </w:rPr>
              <w:t xml:space="preserve"> 201</w:t>
            </w:r>
            <w:r w:rsidR="009F7637">
              <w:rPr>
                <w:sz w:val="24"/>
                <w:szCs w:val="24"/>
              </w:rPr>
              <w:t>1</w:t>
            </w:r>
          </w:p>
          <w:p w:rsidR="009F7637" w:rsidRPr="0092496F" w:rsidRDefault="009F7637" w:rsidP="009F7637">
            <w:pPr>
              <w:rPr>
                <w:sz w:val="24"/>
                <w:szCs w:val="24"/>
              </w:rPr>
            </w:pPr>
          </w:p>
        </w:tc>
        <w:tc>
          <w:tcPr>
            <w:tcW w:w="4732" w:type="dxa"/>
            <w:gridSpan w:val="2"/>
            <w:tcBorders>
              <w:top w:val="nil"/>
              <w:left w:val="nil"/>
              <w:bottom w:val="nil"/>
              <w:right w:val="nil"/>
            </w:tcBorders>
          </w:tcPr>
          <w:p w:rsidR="009F7637" w:rsidRPr="0092496F" w:rsidRDefault="009F7637" w:rsidP="009F7637">
            <w:pPr>
              <w:rPr>
                <w:sz w:val="24"/>
                <w:szCs w:val="24"/>
              </w:rPr>
            </w:pPr>
          </w:p>
        </w:tc>
      </w:tr>
      <w:tr w:rsidR="009F7637" w:rsidRPr="0092496F" w:rsidTr="009F7637">
        <w:tblPrEx>
          <w:tblCellMar>
            <w:left w:w="108" w:type="dxa"/>
            <w:right w:w="108" w:type="dxa"/>
          </w:tblCellMar>
        </w:tblPrEx>
        <w:trPr>
          <w:cantSplit/>
        </w:trPr>
        <w:tc>
          <w:tcPr>
            <w:tcW w:w="9214" w:type="dxa"/>
            <w:gridSpan w:val="3"/>
            <w:tcBorders>
              <w:top w:val="nil"/>
              <w:left w:val="nil"/>
              <w:bottom w:val="nil"/>
              <w:right w:val="nil"/>
            </w:tcBorders>
          </w:tcPr>
          <w:p w:rsidR="009F7637" w:rsidRPr="0092496F" w:rsidRDefault="009F7637" w:rsidP="009F7637">
            <w:pPr>
              <w:rPr>
                <w:sz w:val="24"/>
                <w:szCs w:val="24"/>
              </w:rPr>
            </w:pPr>
            <w:r w:rsidRPr="0092496F">
              <w:rPr>
                <w:sz w:val="24"/>
                <w:szCs w:val="24"/>
              </w:rPr>
              <w:t>Date issued:</w:t>
            </w:r>
            <w:r w:rsidRPr="0092496F">
              <w:rPr>
                <w:sz w:val="24"/>
                <w:szCs w:val="24"/>
              </w:rPr>
              <w:tab/>
            </w:r>
            <w:r w:rsidR="00B35A60">
              <w:rPr>
                <w:sz w:val="24"/>
                <w:szCs w:val="24"/>
              </w:rPr>
              <w:t>15 September</w:t>
            </w:r>
            <w:r w:rsidR="000F5454">
              <w:rPr>
                <w:sz w:val="24"/>
                <w:szCs w:val="24"/>
              </w:rPr>
              <w:t xml:space="preserve"> 2011</w:t>
            </w:r>
          </w:p>
          <w:p w:rsidR="009F7637" w:rsidRPr="0092496F" w:rsidRDefault="009F7637" w:rsidP="009F7637">
            <w:pPr>
              <w:rPr>
                <w:sz w:val="24"/>
                <w:szCs w:val="24"/>
              </w:rPr>
            </w:pPr>
            <w:r w:rsidRPr="0092496F">
              <w:rPr>
                <w:sz w:val="24"/>
                <w:szCs w:val="24"/>
              </w:rPr>
              <w:t xml:space="preserve">Source: </w:t>
            </w:r>
            <w:r w:rsidRPr="0092496F">
              <w:rPr>
                <w:sz w:val="24"/>
                <w:szCs w:val="24"/>
              </w:rPr>
              <w:tab/>
            </w:r>
            <w:r w:rsidR="000F5454">
              <w:rPr>
                <w:sz w:val="24"/>
                <w:szCs w:val="24"/>
              </w:rPr>
              <w:t>Co-ordinator on Agenda Item 1.25 of WRC-12</w:t>
            </w:r>
          </w:p>
          <w:p w:rsidR="009F7637" w:rsidRPr="0092496F" w:rsidRDefault="009F7637" w:rsidP="009F7637">
            <w:pPr>
              <w:rPr>
                <w:sz w:val="24"/>
                <w:szCs w:val="24"/>
              </w:rPr>
            </w:pPr>
            <w:r w:rsidRPr="0092496F">
              <w:rPr>
                <w:sz w:val="24"/>
                <w:szCs w:val="24"/>
              </w:rPr>
              <w:t xml:space="preserve">Subject: </w:t>
            </w:r>
            <w:r w:rsidRPr="0092496F">
              <w:rPr>
                <w:sz w:val="24"/>
                <w:szCs w:val="24"/>
              </w:rPr>
              <w:tab/>
            </w:r>
            <w:r w:rsidR="000F5454">
              <w:rPr>
                <w:sz w:val="24"/>
                <w:szCs w:val="24"/>
              </w:rPr>
              <w:t xml:space="preserve">Updated </w:t>
            </w:r>
            <w:r w:rsidR="00BE76D4">
              <w:rPr>
                <w:sz w:val="24"/>
                <w:szCs w:val="24"/>
              </w:rPr>
              <w:t xml:space="preserve">draft </w:t>
            </w:r>
            <w:r w:rsidR="000F5454">
              <w:rPr>
                <w:sz w:val="24"/>
                <w:szCs w:val="24"/>
              </w:rPr>
              <w:t xml:space="preserve">CEPT Brief and </w:t>
            </w:r>
            <w:r w:rsidR="00FA6AD7">
              <w:rPr>
                <w:sz w:val="24"/>
                <w:szCs w:val="24"/>
              </w:rPr>
              <w:t>draft NOC</w:t>
            </w:r>
            <w:r w:rsidR="00BE76D4">
              <w:rPr>
                <w:sz w:val="24"/>
                <w:szCs w:val="24"/>
              </w:rPr>
              <w:t xml:space="preserve"> </w:t>
            </w:r>
            <w:r w:rsidR="000F5454">
              <w:rPr>
                <w:sz w:val="24"/>
                <w:szCs w:val="24"/>
              </w:rPr>
              <w:t>ECP on Agenda Item 1.25</w:t>
            </w:r>
          </w:p>
        </w:tc>
      </w:tr>
    </w:tbl>
    <w:p w:rsidR="009F7637" w:rsidRPr="00C906D9" w:rsidRDefault="009F7637" w:rsidP="009F7637">
      <w:pPr>
        <w:pStyle w:val="FootnoteText"/>
      </w:pPr>
    </w:p>
    <w:p w:rsidR="009F7637" w:rsidRDefault="009F7637" w:rsidP="009F7637">
      <w:pPr>
        <w:pStyle w:val="Heade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70"/>
      </w:tblGrid>
      <w:tr w:rsidR="009F7637" w:rsidRPr="0092496F" w:rsidTr="009F7637">
        <w:tc>
          <w:tcPr>
            <w:tcW w:w="9070" w:type="dxa"/>
            <w:tcBorders>
              <w:bottom w:val="nil"/>
            </w:tcBorders>
          </w:tcPr>
          <w:p w:rsidR="009F7637" w:rsidRPr="000B7AC2" w:rsidRDefault="009F7637" w:rsidP="009F7637">
            <w:pPr>
              <w:rPr>
                <w:b/>
                <w:sz w:val="24"/>
                <w:szCs w:val="24"/>
              </w:rPr>
            </w:pPr>
            <w:r w:rsidRPr="000B7AC2">
              <w:rPr>
                <w:b/>
                <w:sz w:val="24"/>
                <w:szCs w:val="24"/>
              </w:rPr>
              <w:t>Summary:</w:t>
            </w:r>
          </w:p>
        </w:tc>
      </w:tr>
      <w:tr w:rsidR="009F7637" w:rsidRPr="0092496F" w:rsidTr="009F7637">
        <w:tc>
          <w:tcPr>
            <w:tcW w:w="9070" w:type="dxa"/>
            <w:tcBorders>
              <w:top w:val="nil"/>
            </w:tcBorders>
          </w:tcPr>
          <w:p w:rsidR="00FA6AD7" w:rsidRPr="0092496F" w:rsidRDefault="00482DF5" w:rsidP="008563B7">
            <w:pPr>
              <w:spacing w:before="120" w:after="120"/>
              <w:rPr>
                <w:sz w:val="24"/>
                <w:szCs w:val="24"/>
              </w:rPr>
            </w:pPr>
            <w:r>
              <w:rPr>
                <w:sz w:val="24"/>
                <w:szCs w:val="24"/>
              </w:rPr>
              <w:t>Th</w:t>
            </w:r>
            <w:r w:rsidR="00BE76D4">
              <w:rPr>
                <w:sz w:val="24"/>
                <w:szCs w:val="24"/>
              </w:rPr>
              <w:t>e Annexes of this document provide</w:t>
            </w:r>
            <w:r>
              <w:rPr>
                <w:sz w:val="24"/>
                <w:szCs w:val="24"/>
              </w:rPr>
              <w:t xml:space="preserve"> </w:t>
            </w:r>
            <w:r w:rsidR="008563B7">
              <w:rPr>
                <w:sz w:val="24"/>
                <w:szCs w:val="24"/>
              </w:rPr>
              <w:t>the</w:t>
            </w:r>
            <w:r>
              <w:rPr>
                <w:sz w:val="24"/>
                <w:szCs w:val="24"/>
              </w:rPr>
              <w:t xml:space="preserve"> draft CEPT Brief and </w:t>
            </w:r>
            <w:r w:rsidR="008563B7">
              <w:rPr>
                <w:sz w:val="24"/>
                <w:szCs w:val="24"/>
              </w:rPr>
              <w:t>the</w:t>
            </w:r>
            <w:r>
              <w:rPr>
                <w:sz w:val="24"/>
                <w:szCs w:val="24"/>
              </w:rPr>
              <w:t xml:space="preserve"> draft NOC ECP on Agenda Item 1.25 which ha</w:t>
            </w:r>
            <w:r w:rsidR="000B7AC2">
              <w:rPr>
                <w:sz w:val="24"/>
                <w:szCs w:val="24"/>
              </w:rPr>
              <w:t>d</w:t>
            </w:r>
            <w:r>
              <w:rPr>
                <w:sz w:val="24"/>
                <w:szCs w:val="24"/>
              </w:rPr>
              <w:t xml:space="preserve"> been circulated through the CPG PT-D email reflector by mid-August 2011. The documents were open </w:t>
            </w:r>
            <w:r w:rsidR="000B7AC2">
              <w:rPr>
                <w:sz w:val="24"/>
                <w:szCs w:val="24"/>
              </w:rPr>
              <w:t>for</w:t>
            </w:r>
            <w:r>
              <w:rPr>
                <w:sz w:val="24"/>
                <w:szCs w:val="24"/>
              </w:rPr>
              <w:t xml:space="preserve"> comments and suggestions. None but one comment </w:t>
            </w:r>
            <w:r w:rsidR="000B7AC2">
              <w:rPr>
                <w:sz w:val="24"/>
                <w:szCs w:val="24"/>
              </w:rPr>
              <w:t xml:space="preserve">with regard to the draft CEPT Brief </w:t>
            </w:r>
            <w:r>
              <w:rPr>
                <w:sz w:val="24"/>
                <w:szCs w:val="24"/>
              </w:rPr>
              <w:t>ha</w:t>
            </w:r>
            <w:r w:rsidR="008563B7">
              <w:rPr>
                <w:sz w:val="24"/>
                <w:szCs w:val="24"/>
              </w:rPr>
              <w:t>s</w:t>
            </w:r>
            <w:r>
              <w:rPr>
                <w:sz w:val="24"/>
                <w:szCs w:val="24"/>
              </w:rPr>
              <w:t xml:space="preserve"> been received by the co-ordinator (see Background).</w:t>
            </w:r>
          </w:p>
        </w:tc>
      </w:tr>
      <w:tr w:rsidR="009F7637" w:rsidRPr="0092496F" w:rsidTr="009F7637">
        <w:tc>
          <w:tcPr>
            <w:tcW w:w="9070" w:type="dxa"/>
            <w:tcBorders>
              <w:bottom w:val="nil"/>
            </w:tcBorders>
          </w:tcPr>
          <w:p w:rsidR="009F7637" w:rsidRPr="000B7AC2" w:rsidRDefault="009F7637" w:rsidP="009F7637">
            <w:pPr>
              <w:rPr>
                <w:b/>
                <w:sz w:val="24"/>
                <w:szCs w:val="24"/>
              </w:rPr>
            </w:pPr>
            <w:r w:rsidRPr="000B7AC2">
              <w:rPr>
                <w:b/>
                <w:sz w:val="24"/>
                <w:szCs w:val="24"/>
              </w:rPr>
              <w:t>Proposal:</w:t>
            </w:r>
          </w:p>
        </w:tc>
      </w:tr>
      <w:tr w:rsidR="009F7637" w:rsidRPr="0092496F" w:rsidTr="009F7637">
        <w:tc>
          <w:tcPr>
            <w:tcW w:w="9070" w:type="dxa"/>
            <w:tcBorders>
              <w:top w:val="nil"/>
            </w:tcBorders>
          </w:tcPr>
          <w:p w:rsidR="00FA6AD7" w:rsidRPr="0092496F" w:rsidRDefault="00284D7C" w:rsidP="008563B7">
            <w:pPr>
              <w:spacing w:before="120" w:after="120"/>
              <w:rPr>
                <w:sz w:val="24"/>
                <w:szCs w:val="24"/>
              </w:rPr>
            </w:pPr>
            <w:r w:rsidRPr="00284D7C">
              <w:rPr>
                <w:sz w:val="24"/>
                <w:szCs w:val="24"/>
              </w:rPr>
              <w:t xml:space="preserve">It is proposed to discuss the </w:t>
            </w:r>
            <w:r w:rsidR="000B7AC2">
              <w:rPr>
                <w:sz w:val="24"/>
                <w:szCs w:val="24"/>
              </w:rPr>
              <w:t>annexed</w:t>
            </w:r>
            <w:r w:rsidRPr="00284D7C">
              <w:rPr>
                <w:sz w:val="24"/>
                <w:szCs w:val="24"/>
              </w:rPr>
              <w:t xml:space="preserve"> </w:t>
            </w:r>
            <w:r>
              <w:rPr>
                <w:sz w:val="24"/>
                <w:szCs w:val="24"/>
              </w:rPr>
              <w:t xml:space="preserve">draft </w:t>
            </w:r>
            <w:r w:rsidRPr="00284D7C">
              <w:rPr>
                <w:sz w:val="24"/>
                <w:szCs w:val="24"/>
              </w:rPr>
              <w:t xml:space="preserve">CEPT Brief and draft NOC ECP </w:t>
            </w:r>
            <w:r w:rsidR="00BE76D4">
              <w:rPr>
                <w:sz w:val="24"/>
                <w:szCs w:val="24"/>
              </w:rPr>
              <w:t>as well as the proposal</w:t>
            </w:r>
            <w:r w:rsidR="008563B7">
              <w:rPr>
                <w:sz w:val="24"/>
                <w:szCs w:val="24"/>
              </w:rPr>
              <w:t xml:space="preserve"> for amendments to the draft CEPT Brief</w:t>
            </w:r>
            <w:r w:rsidR="00BE76D4">
              <w:rPr>
                <w:sz w:val="24"/>
                <w:szCs w:val="24"/>
              </w:rPr>
              <w:t xml:space="preserve"> in this document </w:t>
            </w:r>
            <w:r w:rsidRPr="00284D7C">
              <w:rPr>
                <w:sz w:val="24"/>
                <w:szCs w:val="24"/>
              </w:rPr>
              <w:t xml:space="preserve">and to provide the final </w:t>
            </w:r>
            <w:r w:rsidR="008563B7">
              <w:rPr>
                <w:sz w:val="24"/>
                <w:szCs w:val="24"/>
              </w:rPr>
              <w:t>drafts</w:t>
            </w:r>
            <w:r w:rsidRPr="00284D7C">
              <w:rPr>
                <w:sz w:val="24"/>
                <w:szCs w:val="24"/>
              </w:rPr>
              <w:t xml:space="preserve"> of </w:t>
            </w:r>
            <w:r w:rsidR="00BE76D4">
              <w:rPr>
                <w:sz w:val="24"/>
                <w:szCs w:val="24"/>
              </w:rPr>
              <w:t>the CEPT Brief and the NOC ECP</w:t>
            </w:r>
            <w:r w:rsidRPr="00284D7C">
              <w:rPr>
                <w:sz w:val="24"/>
                <w:szCs w:val="24"/>
              </w:rPr>
              <w:t xml:space="preserve"> to CPG12-8</w:t>
            </w:r>
            <w:r w:rsidR="008563B7">
              <w:rPr>
                <w:sz w:val="24"/>
                <w:szCs w:val="24"/>
              </w:rPr>
              <w:t xml:space="preserve"> for adoption</w:t>
            </w:r>
            <w:r w:rsidRPr="00284D7C">
              <w:rPr>
                <w:sz w:val="24"/>
                <w:szCs w:val="24"/>
              </w:rPr>
              <w:t>.</w:t>
            </w:r>
          </w:p>
        </w:tc>
      </w:tr>
      <w:tr w:rsidR="009F7637" w:rsidRPr="0092496F" w:rsidTr="009F7637">
        <w:tc>
          <w:tcPr>
            <w:tcW w:w="9070" w:type="dxa"/>
            <w:tcBorders>
              <w:bottom w:val="nil"/>
            </w:tcBorders>
          </w:tcPr>
          <w:p w:rsidR="009F7637" w:rsidRPr="000B7AC2" w:rsidRDefault="009F7637" w:rsidP="009F7637">
            <w:pPr>
              <w:rPr>
                <w:b/>
                <w:sz w:val="24"/>
                <w:szCs w:val="24"/>
              </w:rPr>
            </w:pPr>
            <w:r w:rsidRPr="000B7AC2">
              <w:rPr>
                <w:b/>
                <w:sz w:val="24"/>
                <w:szCs w:val="24"/>
              </w:rPr>
              <w:t>Background:</w:t>
            </w:r>
          </w:p>
        </w:tc>
      </w:tr>
      <w:tr w:rsidR="009F7637" w:rsidRPr="0092496F" w:rsidTr="009F7637">
        <w:tc>
          <w:tcPr>
            <w:tcW w:w="9070" w:type="dxa"/>
            <w:tcBorders>
              <w:top w:val="nil"/>
            </w:tcBorders>
          </w:tcPr>
          <w:p w:rsidR="00284D7C" w:rsidRPr="00482DF5" w:rsidRDefault="00284D7C" w:rsidP="00284D7C">
            <w:pPr>
              <w:spacing w:before="120" w:after="120"/>
              <w:rPr>
                <w:b/>
                <w:sz w:val="24"/>
                <w:szCs w:val="24"/>
              </w:rPr>
            </w:pPr>
            <w:r w:rsidRPr="00482DF5">
              <w:rPr>
                <w:b/>
                <w:sz w:val="24"/>
                <w:szCs w:val="24"/>
              </w:rPr>
              <w:t>1</w:t>
            </w:r>
            <w:r w:rsidRPr="00482DF5">
              <w:rPr>
                <w:b/>
                <w:sz w:val="24"/>
                <w:szCs w:val="24"/>
              </w:rPr>
              <w:tab/>
              <w:t>Draft CEPT Brief</w:t>
            </w:r>
          </w:p>
          <w:p w:rsidR="000B7AC2" w:rsidRPr="00284D7C" w:rsidRDefault="00BE76D4" w:rsidP="000B7AC2">
            <w:pPr>
              <w:spacing w:before="120" w:after="120"/>
              <w:rPr>
                <w:sz w:val="24"/>
                <w:szCs w:val="24"/>
              </w:rPr>
            </w:pPr>
            <w:r>
              <w:rPr>
                <w:sz w:val="24"/>
                <w:szCs w:val="24"/>
              </w:rPr>
              <w:t>In Annex 1</w:t>
            </w:r>
            <w:r w:rsidR="00284D7C" w:rsidRPr="00284D7C">
              <w:rPr>
                <w:sz w:val="24"/>
                <w:szCs w:val="24"/>
              </w:rPr>
              <w:t xml:space="preserve"> one will find the updated </w:t>
            </w:r>
            <w:r w:rsidR="008563B7">
              <w:rPr>
                <w:sz w:val="24"/>
                <w:szCs w:val="24"/>
              </w:rPr>
              <w:t xml:space="preserve">draft </w:t>
            </w:r>
            <w:r w:rsidR="00284D7C" w:rsidRPr="00284D7C">
              <w:rPr>
                <w:sz w:val="24"/>
                <w:szCs w:val="24"/>
              </w:rPr>
              <w:t xml:space="preserve">CEPT Brief on Agenda Item 1.25. The update has been carried out on the basis of the agreed </w:t>
            </w:r>
            <w:r w:rsidR="008563B7">
              <w:rPr>
                <w:sz w:val="24"/>
                <w:szCs w:val="24"/>
              </w:rPr>
              <w:t xml:space="preserve">draft </w:t>
            </w:r>
            <w:r w:rsidR="00284D7C" w:rsidRPr="00284D7C">
              <w:rPr>
                <w:sz w:val="24"/>
                <w:szCs w:val="24"/>
              </w:rPr>
              <w:t xml:space="preserve">CEPT Brief at the most recent CPG meeting in Oxford. Comparison of this version of the </w:t>
            </w:r>
            <w:r w:rsidR="008563B7">
              <w:rPr>
                <w:sz w:val="24"/>
                <w:szCs w:val="24"/>
              </w:rPr>
              <w:t xml:space="preserve">draft </w:t>
            </w:r>
            <w:r w:rsidR="00284D7C" w:rsidRPr="00284D7C">
              <w:rPr>
                <w:sz w:val="24"/>
                <w:szCs w:val="24"/>
              </w:rPr>
              <w:t xml:space="preserve">CEPT Brief with the draft </w:t>
            </w:r>
            <w:r w:rsidR="008563B7">
              <w:rPr>
                <w:sz w:val="24"/>
                <w:szCs w:val="24"/>
              </w:rPr>
              <w:t xml:space="preserve">CEPT Brief </w:t>
            </w:r>
            <w:r w:rsidR="00284D7C" w:rsidRPr="00284D7C">
              <w:rPr>
                <w:sz w:val="24"/>
                <w:szCs w:val="24"/>
              </w:rPr>
              <w:t xml:space="preserve">in document CPG PTD(11)007 - Annex_Revised_Brief_AI 1_25 (yellow highlighted text) has been undertaken and modifications from that document have been worked in as appropriate. Account has also been taken of the changes proposed by Sweden </w:t>
            </w:r>
            <w:r w:rsidR="004947CD">
              <w:rPr>
                <w:sz w:val="24"/>
                <w:szCs w:val="24"/>
              </w:rPr>
              <w:t xml:space="preserve">(CPG PTD(11)027) </w:t>
            </w:r>
            <w:r w:rsidR="00284D7C" w:rsidRPr="00284D7C">
              <w:rPr>
                <w:sz w:val="24"/>
                <w:szCs w:val="24"/>
              </w:rPr>
              <w:t xml:space="preserve">and by France </w:t>
            </w:r>
            <w:r w:rsidR="004947CD">
              <w:rPr>
                <w:sz w:val="24"/>
                <w:szCs w:val="24"/>
              </w:rPr>
              <w:t>(CPG PTD(11)037</w:t>
            </w:r>
            <w:r w:rsidR="004947CD" w:rsidRPr="00284D7C">
              <w:rPr>
                <w:sz w:val="24"/>
                <w:szCs w:val="24"/>
              </w:rPr>
              <w:t xml:space="preserve"> </w:t>
            </w:r>
            <w:r w:rsidR="004947CD">
              <w:rPr>
                <w:sz w:val="24"/>
                <w:szCs w:val="24"/>
              </w:rPr>
              <w:t xml:space="preserve">) </w:t>
            </w:r>
            <w:r w:rsidR="00284D7C" w:rsidRPr="00284D7C">
              <w:rPr>
                <w:sz w:val="24"/>
                <w:szCs w:val="24"/>
              </w:rPr>
              <w:t>as well as items discussed at the most recent CPG PT-D meeting in Maisons-Alfort during the work on the ECPs.</w:t>
            </w:r>
          </w:p>
          <w:p w:rsidR="00284D7C" w:rsidRDefault="00284D7C" w:rsidP="000B7AC2">
            <w:pPr>
              <w:spacing w:before="120" w:after="120"/>
              <w:rPr>
                <w:sz w:val="24"/>
                <w:szCs w:val="24"/>
              </w:rPr>
            </w:pPr>
            <w:r w:rsidRPr="00284D7C">
              <w:rPr>
                <w:sz w:val="24"/>
                <w:szCs w:val="24"/>
              </w:rPr>
              <w:t xml:space="preserve">The </w:t>
            </w:r>
            <w:r w:rsidR="00BE76D4">
              <w:rPr>
                <w:sz w:val="24"/>
                <w:szCs w:val="24"/>
              </w:rPr>
              <w:t>annexed draft</w:t>
            </w:r>
            <w:r w:rsidRPr="00284D7C">
              <w:rPr>
                <w:sz w:val="24"/>
                <w:szCs w:val="24"/>
              </w:rPr>
              <w:t xml:space="preserve"> CEPT Brief, without the </w:t>
            </w:r>
            <w:r w:rsidR="00BE76D4">
              <w:rPr>
                <w:sz w:val="24"/>
                <w:szCs w:val="24"/>
              </w:rPr>
              <w:t xml:space="preserve">most recent </w:t>
            </w:r>
            <w:r w:rsidRPr="00284D7C">
              <w:rPr>
                <w:sz w:val="24"/>
                <w:szCs w:val="24"/>
              </w:rPr>
              <w:t xml:space="preserve">modification of the APG </w:t>
            </w:r>
            <w:r w:rsidR="00BE76D4">
              <w:rPr>
                <w:sz w:val="24"/>
                <w:szCs w:val="24"/>
              </w:rPr>
              <w:t>P</w:t>
            </w:r>
            <w:r w:rsidRPr="00284D7C">
              <w:rPr>
                <w:sz w:val="24"/>
                <w:szCs w:val="24"/>
              </w:rPr>
              <w:t>osition, had been circulated by email on 17.08.2011 through the CPG PT-D email reflector for comment</w:t>
            </w:r>
            <w:r w:rsidR="00BE76D4">
              <w:rPr>
                <w:sz w:val="24"/>
                <w:szCs w:val="24"/>
              </w:rPr>
              <w:t xml:space="preserve"> and suggestions</w:t>
            </w:r>
            <w:r w:rsidRPr="00284D7C">
              <w:rPr>
                <w:sz w:val="24"/>
                <w:szCs w:val="24"/>
              </w:rPr>
              <w:t>. None but one comment was received calling for a modification of the CEPT Position. The proposal reads as follows:</w:t>
            </w:r>
          </w:p>
          <w:p w:rsidR="00284D7C" w:rsidRPr="00284D7C" w:rsidRDefault="00284D7C" w:rsidP="00284D7C">
            <w:pPr>
              <w:rPr>
                <w:i/>
                <w:sz w:val="24"/>
                <w:szCs w:val="24"/>
                <w:u w:val="single"/>
              </w:rPr>
            </w:pPr>
            <w:r w:rsidRPr="00284D7C">
              <w:rPr>
                <w:i/>
                <w:sz w:val="24"/>
                <w:szCs w:val="24"/>
                <w:u w:val="single"/>
              </w:rPr>
              <w:t>CEPT Position (</w:t>
            </w:r>
            <w:r w:rsidR="000B7AC2">
              <w:rPr>
                <w:i/>
                <w:sz w:val="24"/>
                <w:szCs w:val="24"/>
                <w:u w:val="single"/>
              </w:rPr>
              <w:t xml:space="preserve">Alternative </w:t>
            </w:r>
            <w:r w:rsidRPr="00284D7C">
              <w:rPr>
                <w:i/>
                <w:sz w:val="24"/>
                <w:szCs w:val="24"/>
                <w:u w:val="single"/>
              </w:rPr>
              <w:t>1):</w:t>
            </w:r>
          </w:p>
          <w:p w:rsidR="00284D7C" w:rsidRPr="00284D7C" w:rsidRDefault="00284D7C" w:rsidP="00284D7C">
            <w:pPr>
              <w:rPr>
                <w:sz w:val="24"/>
                <w:szCs w:val="24"/>
              </w:rPr>
            </w:pPr>
            <w:r w:rsidRPr="00284D7C">
              <w:rPr>
                <w:sz w:val="24"/>
                <w:szCs w:val="24"/>
              </w:rPr>
              <w:t>In principal CEPT supports the allocation of a justified amount of additional spectrum to the MSS without unduly constraining existing, planned and future radio applications operated in the existing services.</w:t>
            </w:r>
          </w:p>
          <w:p w:rsidR="00284D7C" w:rsidRDefault="00284D7C" w:rsidP="00284D7C">
            <w:pPr>
              <w:rPr>
                <w:sz w:val="24"/>
                <w:szCs w:val="24"/>
              </w:rPr>
            </w:pPr>
            <w:r w:rsidRPr="00284D7C">
              <w:rPr>
                <w:sz w:val="24"/>
                <w:szCs w:val="24"/>
              </w:rPr>
              <w:t>However, CEPT does not support new MSS allocations in the chosen candidate bands (5, 7, 8, 10, 13 and 15 GHz).</w:t>
            </w:r>
          </w:p>
          <w:p w:rsidR="00284D7C" w:rsidRPr="00284D7C" w:rsidRDefault="00284D7C" w:rsidP="00284D7C">
            <w:pPr>
              <w:rPr>
                <w:sz w:val="24"/>
                <w:szCs w:val="24"/>
              </w:rPr>
            </w:pPr>
          </w:p>
          <w:p w:rsidR="00284D7C" w:rsidRPr="00284D7C" w:rsidRDefault="00284D7C" w:rsidP="00284D7C">
            <w:pPr>
              <w:rPr>
                <w:i/>
                <w:sz w:val="24"/>
                <w:szCs w:val="24"/>
                <w:u w:val="single"/>
              </w:rPr>
            </w:pPr>
            <w:r w:rsidRPr="00284D7C">
              <w:rPr>
                <w:i/>
                <w:sz w:val="24"/>
                <w:szCs w:val="24"/>
                <w:u w:val="single"/>
              </w:rPr>
              <w:t>CEPT Position (Alternative) 2:</w:t>
            </w:r>
          </w:p>
          <w:p w:rsidR="00284D7C" w:rsidRPr="00284D7C" w:rsidRDefault="00284D7C" w:rsidP="00284D7C">
            <w:pPr>
              <w:rPr>
                <w:sz w:val="24"/>
                <w:szCs w:val="24"/>
              </w:rPr>
            </w:pPr>
            <w:r w:rsidRPr="00284D7C">
              <w:rPr>
                <w:sz w:val="24"/>
                <w:szCs w:val="24"/>
              </w:rPr>
              <w:t xml:space="preserve">In principal CEPT supports the allocation of a justified amount of additional spectrum to the </w:t>
            </w:r>
            <w:r w:rsidRPr="00284D7C">
              <w:rPr>
                <w:sz w:val="24"/>
                <w:szCs w:val="24"/>
              </w:rPr>
              <w:lastRenderedPageBreak/>
              <w:t>MSS without unduly constraining existing, planned and future radio applications operated in the existing services.</w:t>
            </w:r>
          </w:p>
          <w:p w:rsidR="00284D7C" w:rsidRPr="00284D7C" w:rsidRDefault="00284D7C" w:rsidP="00284D7C">
            <w:pPr>
              <w:rPr>
                <w:sz w:val="24"/>
                <w:szCs w:val="24"/>
              </w:rPr>
            </w:pPr>
            <w:r w:rsidRPr="00284D7C">
              <w:rPr>
                <w:sz w:val="24"/>
                <w:szCs w:val="24"/>
              </w:rPr>
              <w:t>However, CEPT does not support new MSS allocations in the chosen candidate bands (5, 7, 8, 10, 13 and 15 GHz), because the studies conducted under this Agenda Item could not conclusively/convincingly] prove that unduly constrains to existing, planned and future radio applications operating in the existing services can be avoided.</w:t>
            </w:r>
          </w:p>
          <w:p w:rsidR="00284D7C" w:rsidRPr="00284D7C" w:rsidRDefault="00284D7C" w:rsidP="00284D7C">
            <w:pPr>
              <w:rPr>
                <w:sz w:val="24"/>
                <w:szCs w:val="24"/>
              </w:rPr>
            </w:pPr>
          </w:p>
          <w:p w:rsidR="00284D7C" w:rsidRPr="00482DF5" w:rsidRDefault="00284D7C" w:rsidP="00284D7C">
            <w:pPr>
              <w:spacing w:before="120" w:after="120"/>
              <w:rPr>
                <w:b/>
                <w:sz w:val="24"/>
                <w:szCs w:val="24"/>
              </w:rPr>
            </w:pPr>
            <w:r w:rsidRPr="00482DF5">
              <w:rPr>
                <w:b/>
                <w:sz w:val="24"/>
                <w:szCs w:val="24"/>
              </w:rPr>
              <w:t>2</w:t>
            </w:r>
            <w:r w:rsidRPr="00482DF5">
              <w:rPr>
                <w:b/>
                <w:sz w:val="24"/>
                <w:szCs w:val="24"/>
              </w:rPr>
              <w:tab/>
              <w:t>Draft NOC ECP</w:t>
            </w:r>
          </w:p>
          <w:p w:rsidR="00284D7C" w:rsidRDefault="00BE76D4" w:rsidP="000B7AC2">
            <w:pPr>
              <w:spacing w:before="120" w:after="120"/>
              <w:rPr>
                <w:sz w:val="24"/>
                <w:szCs w:val="24"/>
              </w:rPr>
            </w:pPr>
            <w:r>
              <w:rPr>
                <w:sz w:val="24"/>
                <w:szCs w:val="24"/>
              </w:rPr>
              <w:t>In Annex 2</w:t>
            </w:r>
            <w:r w:rsidR="00284D7C" w:rsidRPr="00284D7C">
              <w:rPr>
                <w:sz w:val="24"/>
                <w:szCs w:val="24"/>
              </w:rPr>
              <w:t xml:space="preserve"> one will also find the draft ECP on Agenda Item 1.25 calling for a NOC in all candidate bands. The draft ECP has been based on document </w:t>
            </w:r>
            <w:r w:rsidR="00284D7C" w:rsidRPr="00284D7C">
              <w:rPr>
                <w:b/>
                <w:bCs/>
                <w:sz w:val="24"/>
                <w:szCs w:val="24"/>
              </w:rPr>
              <w:t xml:space="preserve">Doc. ECC/CPG12(2011)015 Annex 14 </w:t>
            </w:r>
            <w:r w:rsidR="00284D7C" w:rsidRPr="00284D7C">
              <w:rPr>
                <w:sz w:val="24"/>
                <w:szCs w:val="24"/>
              </w:rPr>
              <w:t xml:space="preserve">presented to the most recent CPG meeting in Oxford. Since this draft ECP has been stable for quite some time and no changes have been proposed, the individual sub-parts of that document have been merged into one and the introduction of each individual sub-part has been moved up-front into the main introduction section. The content of the draft </w:t>
            </w:r>
            <w:r w:rsidR="004947CD">
              <w:rPr>
                <w:sz w:val="24"/>
                <w:szCs w:val="24"/>
              </w:rPr>
              <w:t xml:space="preserve">NOC </w:t>
            </w:r>
            <w:r w:rsidR="00284D7C" w:rsidRPr="00284D7C">
              <w:rPr>
                <w:sz w:val="24"/>
                <w:szCs w:val="24"/>
              </w:rPr>
              <w:t xml:space="preserve">ECP is the same as in document </w:t>
            </w:r>
            <w:r w:rsidR="00284D7C" w:rsidRPr="00284D7C">
              <w:rPr>
                <w:b/>
                <w:bCs/>
                <w:sz w:val="24"/>
                <w:szCs w:val="24"/>
              </w:rPr>
              <w:t>Doc. ECC/CPG12(2011)015 Annex 14</w:t>
            </w:r>
            <w:r w:rsidR="00284D7C" w:rsidRPr="00284D7C">
              <w:rPr>
                <w:sz w:val="24"/>
                <w:szCs w:val="24"/>
              </w:rPr>
              <w:t>, except for the two places where the text is highlighted in yellow.</w:t>
            </w:r>
          </w:p>
          <w:p w:rsidR="00BE76D4" w:rsidRDefault="00BE76D4" w:rsidP="000B7AC2">
            <w:pPr>
              <w:spacing w:before="120" w:after="120"/>
              <w:rPr>
                <w:sz w:val="24"/>
                <w:szCs w:val="24"/>
              </w:rPr>
            </w:pPr>
            <w:r w:rsidRPr="00284D7C">
              <w:rPr>
                <w:sz w:val="24"/>
                <w:szCs w:val="24"/>
              </w:rPr>
              <w:t xml:space="preserve">The </w:t>
            </w:r>
            <w:r>
              <w:rPr>
                <w:sz w:val="24"/>
                <w:szCs w:val="24"/>
              </w:rPr>
              <w:t>annexed draft</w:t>
            </w:r>
            <w:r w:rsidRPr="00284D7C">
              <w:rPr>
                <w:sz w:val="24"/>
                <w:szCs w:val="24"/>
              </w:rPr>
              <w:t xml:space="preserve"> </w:t>
            </w:r>
            <w:r>
              <w:rPr>
                <w:sz w:val="24"/>
                <w:szCs w:val="24"/>
              </w:rPr>
              <w:t>NOC ECP</w:t>
            </w:r>
            <w:r w:rsidRPr="00284D7C">
              <w:rPr>
                <w:sz w:val="24"/>
                <w:szCs w:val="24"/>
              </w:rPr>
              <w:t xml:space="preserve"> had been circulated by email on 1</w:t>
            </w:r>
            <w:r>
              <w:rPr>
                <w:sz w:val="24"/>
                <w:szCs w:val="24"/>
              </w:rPr>
              <w:t>9</w:t>
            </w:r>
            <w:r w:rsidRPr="00284D7C">
              <w:rPr>
                <w:sz w:val="24"/>
                <w:szCs w:val="24"/>
              </w:rPr>
              <w:t>.08.2011 through the CPG PT-D email reflector for comment</w:t>
            </w:r>
            <w:r>
              <w:rPr>
                <w:sz w:val="24"/>
                <w:szCs w:val="24"/>
              </w:rPr>
              <w:t xml:space="preserve"> and suggestions</w:t>
            </w:r>
            <w:r w:rsidRPr="00284D7C">
              <w:rPr>
                <w:sz w:val="24"/>
                <w:szCs w:val="24"/>
              </w:rPr>
              <w:t xml:space="preserve">. </w:t>
            </w:r>
            <w:r w:rsidR="000B7AC2">
              <w:rPr>
                <w:sz w:val="24"/>
                <w:szCs w:val="24"/>
              </w:rPr>
              <w:t xml:space="preserve">No </w:t>
            </w:r>
            <w:r w:rsidRPr="00284D7C">
              <w:rPr>
                <w:sz w:val="24"/>
                <w:szCs w:val="24"/>
              </w:rPr>
              <w:t>comment</w:t>
            </w:r>
            <w:r w:rsidR="000B7AC2">
              <w:rPr>
                <w:sz w:val="24"/>
                <w:szCs w:val="24"/>
              </w:rPr>
              <w:t>s or suggestions have been</w:t>
            </w:r>
            <w:r w:rsidRPr="00284D7C">
              <w:rPr>
                <w:sz w:val="24"/>
                <w:szCs w:val="24"/>
              </w:rPr>
              <w:t xml:space="preserve"> received</w:t>
            </w:r>
            <w:r w:rsidR="000B7AC2">
              <w:rPr>
                <w:sz w:val="24"/>
                <w:szCs w:val="24"/>
              </w:rPr>
              <w:t>.</w:t>
            </w:r>
          </w:p>
          <w:p w:rsidR="007B2FE3" w:rsidRDefault="007B2FE3" w:rsidP="000B7AC2">
            <w:pPr>
              <w:spacing w:before="120" w:after="120"/>
              <w:rPr>
                <w:sz w:val="24"/>
                <w:szCs w:val="24"/>
              </w:rPr>
            </w:pPr>
          </w:p>
          <w:p w:rsidR="00482DF5" w:rsidRPr="00482DF5" w:rsidRDefault="00482DF5" w:rsidP="00482DF5">
            <w:pPr>
              <w:spacing w:before="120" w:after="120"/>
              <w:rPr>
                <w:b/>
                <w:sz w:val="24"/>
                <w:szCs w:val="24"/>
              </w:rPr>
            </w:pPr>
            <w:r w:rsidRPr="00482DF5">
              <w:rPr>
                <w:b/>
                <w:sz w:val="24"/>
                <w:szCs w:val="24"/>
              </w:rPr>
              <w:t>3</w:t>
            </w:r>
            <w:r w:rsidRPr="00482DF5">
              <w:rPr>
                <w:b/>
                <w:sz w:val="24"/>
                <w:szCs w:val="24"/>
              </w:rPr>
              <w:tab/>
              <w:t xml:space="preserve">Discussions </w:t>
            </w:r>
            <w:r w:rsidR="004947CD">
              <w:rPr>
                <w:b/>
                <w:sz w:val="24"/>
                <w:szCs w:val="24"/>
              </w:rPr>
              <w:t xml:space="preserve">on </w:t>
            </w:r>
            <w:r w:rsidRPr="00482DF5">
              <w:rPr>
                <w:b/>
                <w:sz w:val="24"/>
                <w:szCs w:val="24"/>
              </w:rPr>
              <w:t>the outcome of CPG12-7</w:t>
            </w:r>
            <w:r w:rsidR="004947CD" w:rsidRPr="00482DF5">
              <w:rPr>
                <w:b/>
                <w:sz w:val="24"/>
                <w:szCs w:val="24"/>
              </w:rPr>
              <w:t xml:space="preserve"> with regard to</w:t>
            </w:r>
            <w:r w:rsidR="004947CD">
              <w:rPr>
                <w:b/>
                <w:sz w:val="24"/>
                <w:szCs w:val="24"/>
              </w:rPr>
              <w:t xml:space="preserve"> Agenda Item 1.25</w:t>
            </w:r>
          </w:p>
          <w:p w:rsidR="009F7637" w:rsidRDefault="00284D7C" w:rsidP="009F7637">
            <w:pPr>
              <w:rPr>
                <w:sz w:val="24"/>
                <w:szCs w:val="24"/>
              </w:rPr>
            </w:pPr>
            <w:r w:rsidRPr="00284D7C">
              <w:rPr>
                <w:sz w:val="24"/>
                <w:szCs w:val="24"/>
              </w:rPr>
              <w:t>CPG12-7 at its meeting in Oxford tasked CPG PT-D to consider a secondary allocation for the 15 GHz band</w:t>
            </w:r>
            <w:r w:rsidR="004947CD">
              <w:rPr>
                <w:sz w:val="24"/>
                <w:szCs w:val="24"/>
              </w:rPr>
              <w:t>.</w:t>
            </w:r>
            <w:r w:rsidRPr="00284D7C">
              <w:rPr>
                <w:sz w:val="24"/>
                <w:szCs w:val="24"/>
              </w:rPr>
              <w:t xml:space="preserve"> </w:t>
            </w:r>
            <w:r w:rsidR="004947CD">
              <w:rPr>
                <w:sz w:val="24"/>
                <w:szCs w:val="24"/>
              </w:rPr>
              <w:t>H</w:t>
            </w:r>
            <w:r w:rsidRPr="00284D7C">
              <w:rPr>
                <w:sz w:val="24"/>
                <w:szCs w:val="24"/>
              </w:rPr>
              <w:t>owever</w:t>
            </w:r>
            <w:r w:rsidR="004947CD">
              <w:rPr>
                <w:sz w:val="24"/>
                <w:szCs w:val="24"/>
              </w:rPr>
              <w:t>,</w:t>
            </w:r>
            <w:r w:rsidRPr="00284D7C">
              <w:rPr>
                <w:sz w:val="24"/>
                <w:szCs w:val="24"/>
              </w:rPr>
              <w:t xml:space="preserve"> based on discussions </w:t>
            </w:r>
            <w:r w:rsidR="004947CD">
              <w:rPr>
                <w:sz w:val="24"/>
                <w:szCs w:val="24"/>
              </w:rPr>
              <w:t xml:space="preserve">during and </w:t>
            </w:r>
            <w:r w:rsidRPr="00284D7C">
              <w:rPr>
                <w:sz w:val="24"/>
                <w:szCs w:val="24"/>
              </w:rPr>
              <w:t>after CPG it is understood that such a secondary allocation would not suit the needs of the MSS industry and it would be difficult to create a robust ECP with this background. Having noticed a lot of opposition to new allocations to the MSS at the CPG meeting</w:t>
            </w:r>
            <w:r w:rsidR="00520D3A">
              <w:rPr>
                <w:sz w:val="24"/>
                <w:szCs w:val="24"/>
              </w:rPr>
              <w:t>,</w:t>
            </w:r>
            <w:r w:rsidRPr="00284D7C">
              <w:rPr>
                <w:sz w:val="24"/>
                <w:szCs w:val="24"/>
              </w:rPr>
              <w:t xml:space="preserve"> it seems that any ECP calling for new allocations on a primary basis would not get approval of that committee and in any case CPG PT-D is not expected to re-consider the decision taken by CPG in Oxford.</w:t>
            </w:r>
            <w:r w:rsidR="004947CD">
              <w:rPr>
                <w:sz w:val="24"/>
                <w:szCs w:val="24"/>
              </w:rPr>
              <w:t xml:space="preserve">  Therefore i</w:t>
            </w:r>
            <w:r w:rsidRPr="00284D7C">
              <w:rPr>
                <w:sz w:val="24"/>
                <w:szCs w:val="24"/>
              </w:rPr>
              <w:t xml:space="preserve">t is proposed to discuss the </w:t>
            </w:r>
            <w:r w:rsidR="004947CD">
              <w:rPr>
                <w:sz w:val="24"/>
                <w:szCs w:val="24"/>
              </w:rPr>
              <w:t>annexed</w:t>
            </w:r>
            <w:r w:rsidRPr="00284D7C">
              <w:rPr>
                <w:sz w:val="24"/>
                <w:szCs w:val="24"/>
              </w:rPr>
              <w:t xml:space="preserve"> </w:t>
            </w:r>
            <w:r>
              <w:rPr>
                <w:sz w:val="24"/>
                <w:szCs w:val="24"/>
              </w:rPr>
              <w:t xml:space="preserve">draft </w:t>
            </w:r>
            <w:r w:rsidRPr="00284D7C">
              <w:rPr>
                <w:sz w:val="24"/>
                <w:szCs w:val="24"/>
              </w:rPr>
              <w:t xml:space="preserve">CEPT Brief and draft NOC ECP and to provide the final </w:t>
            </w:r>
            <w:r w:rsidR="004947CD">
              <w:rPr>
                <w:sz w:val="24"/>
                <w:szCs w:val="24"/>
              </w:rPr>
              <w:t>draft</w:t>
            </w:r>
            <w:r w:rsidRPr="00284D7C">
              <w:rPr>
                <w:sz w:val="24"/>
                <w:szCs w:val="24"/>
              </w:rPr>
              <w:t xml:space="preserve"> of these documents to CPG12-8</w:t>
            </w:r>
            <w:r w:rsidR="004947CD">
              <w:rPr>
                <w:sz w:val="24"/>
                <w:szCs w:val="24"/>
              </w:rPr>
              <w:t xml:space="preserve"> for further treatment</w:t>
            </w:r>
            <w:r w:rsidRPr="00284D7C">
              <w:rPr>
                <w:sz w:val="24"/>
                <w:szCs w:val="24"/>
              </w:rPr>
              <w:t>.</w:t>
            </w:r>
          </w:p>
          <w:p w:rsidR="009F7637" w:rsidRDefault="009F7637" w:rsidP="009F7637">
            <w:pPr>
              <w:rPr>
                <w:sz w:val="24"/>
                <w:szCs w:val="24"/>
              </w:rPr>
            </w:pPr>
          </w:p>
          <w:p w:rsidR="004947CD" w:rsidRDefault="004947CD" w:rsidP="009F7637">
            <w:pPr>
              <w:rPr>
                <w:sz w:val="24"/>
                <w:szCs w:val="24"/>
              </w:rPr>
            </w:pPr>
          </w:p>
          <w:p w:rsidR="004947CD" w:rsidRDefault="004947CD" w:rsidP="009F7637">
            <w:pPr>
              <w:rPr>
                <w:sz w:val="24"/>
                <w:szCs w:val="24"/>
              </w:rPr>
            </w:pPr>
            <w:r>
              <w:rPr>
                <w:sz w:val="24"/>
                <w:szCs w:val="24"/>
              </w:rPr>
              <w:t>Attachment</w:t>
            </w:r>
            <w:r w:rsidR="00520D3A">
              <w:rPr>
                <w:sz w:val="24"/>
                <w:szCs w:val="24"/>
              </w:rPr>
              <w:t>s</w:t>
            </w:r>
            <w:r>
              <w:rPr>
                <w:sz w:val="24"/>
                <w:szCs w:val="24"/>
              </w:rPr>
              <w:t>:</w:t>
            </w:r>
            <w:r w:rsidR="00520D3A">
              <w:rPr>
                <w:sz w:val="24"/>
                <w:szCs w:val="24"/>
              </w:rPr>
              <w:tab/>
              <w:t>Draft CEPT Brief</w:t>
            </w:r>
          </w:p>
          <w:p w:rsidR="00520D3A" w:rsidRPr="0092496F" w:rsidRDefault="00520D3A" w:rsidP="00520D3A">
            <w:pPr>
              <w:ind w:left="709" w:hanging="709"/>
              <w:rPr>
                <w:sz w:val="24"/>
                <w:szCs w:val="24"/>
              </w:rPr>
            </w:pPr>
            <w:r>
              <w:rPr>
                <w:sz w:val="24"/>
                <w:szCs w:val="24"/>
              </w:rPr>
              <w:tab/>
            </w:r>
            <w:r>
              <w:rPr>
                <w:sz w:val="24"/>
                <w:szCs w:val="24"/>
              </w:rPr>
              <w:tab/>
              <w:t>Draft NOC ECP</w:t>
            </w:r>
          </w:p>
        </w:tc>
      </w:tr>
    </w:tbl>
    <w:p w:rsidR="00594639" w:rsidRDefault="00594639"/>
    <w:sectPr w:rsidR="0059463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7E627C"/>
    <w:multiLevelType w:val="hybridMultilevel"/>
    <w:tmpl w:val="29B442F4"/>
    <w:lvl w:ilvl="0" w:tplc="AD36A5F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compat/>
  <w:rsids>
    <w:rsidRoot w:val="009F7637"/>
    <w:rsid w:val="00091C98"/>
    <w:rsid w:val="000B7AC2"/>
    <w:rsid w:val="000E3B4D"/>
    <w:rsid w:val="000F5454"/>
    <w:rsid w:val="00184C2C"/>
    <w:rsid w:val="00284D7C"/>
    <w:rsid w:val="002B417E"/>
    <w:rsid w:val="00300950"/>
    <w:rsid w:val="00482DF5"/>
    <w:rsid w:val="004947CD"/>
    <w:rsid w:val="004E54C2"/>
    <w:rsid w:val="00520D3A"/>
    <w:rsid w:val="00594639"/>
    <w:rsid w:val="006A1ABD"/>
    <w:rsid w:val="006D252F"/>
    <w:rsid w:val="007B2FE3"/>
    <w:rsid w:val="008125E3"/>
    <w:rsid w:val="008563B7"/>
    <w:rsid w:val="00894A2C"/>
    <w:rsid w:val="009A6B13"/>
    <w:rsid w:val="009F7637"/>
    <w:rsid w:val="00B35A60"/>
    <w:rsid w:val="00BE76D4"/>
    <w:rsid w:val="00CA6337"/>
    <w:rsid w:val="00FA6AD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7637"/>
    <w:pPr>
      <w:overflowPunct w:val="0"/>
      <w:autoSpaceDE w:val="0"/>
      <w:autoSpaceDN w:val="0"/>
      <w:adjustRightInd w:val="0"/>
      <w:textAlignment w:val="baseline"/>
    </w:pPr>
    <w:rPr>
      <w:lang w:eastAsia="nl-N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FT"/>
    <w:basedOn w:val="Normal"/>
    <w:link w:val="FootnoteTextChar"/>
    <w:semiHidden/>
    <w:rsid w:val="009F7637"/>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FT Char"/>
    <w:link w:val="FootnoteText"/>
    <w:locked/>
    <w:rsid w:val="009F7637"/>
    <w:rPr>
      <w:sz w:val="22"/>
      <w:lang w:val="en-GB" w:eastAsia="en-US" w:bidi="ar-SA"/>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
    <w:basedOn w:val="Normal"/>
    <w:link w:val="HeaderChar"/>
    <w:rsid w:val="009F7637"/>
    <w:pPr>
      <w:jc w:val="center"/>
    </w:pPr>
    <w:rPr>
      <w:sz w:val="18"/>
      <w:lang w:eastAsia="en-US"/>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link w:val="Header"/>
    <w:semiHidden/>
    <w:locked/>
    <w:rsid w:val="009F7637"/>
    <w:rPr>
      <w:sz w:val="18"/>
      <w:lang w:val="en-GB"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677</Words>
  <Characters>3864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lpstr>
    </vt:vector>
  </TitlesOfParts>
  <Company>Bundesnetzagentur</Company>
  <LinksUpToDate>false</LinksUpToDate>
  <CharactersWithSpaces>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Prep Coordinator 1.25</dc:creator>
  <cp:lastModifiedBy>wesley.milton</cp:lastModifiedBy>
  <cp:revision>2</cp:revision>
  <dcterms:created xsi:type="dcterms:W3CDTF">2011-09-15T11:10:00Z</dcterms:created>
  <dcterms:modified xsi:type="dcterms:W3CDTF">2011-09-15T11:10:00Z</dcterms:modified>
</cp:coreProperties>
</file>