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FDC" w:rsidRPr="00A27DFB" w:rsidRDefault="00EC1550" w:rsidP="00351CA4">
      <w:pPr>
        <w:jc w:val="right"/>
        <w:rPr>
          <w:rFonts w:ascii="Arial" w:hAnsi="Arial" w:cs="Arial"/>
          <w:b/>
          <w:lang w:val="en-US"/>
        </w:rPr>
      </w:pPr>
      <w:proofErr w:type="gramStart"/>
      <w:r>
        <w:rPr>
          <w:rFonts w:ascii="Arial" w:hAnsi="Arial" w:cs="Arial"/>
          <w:b/>
          <w:lang w:val="en-US"/>
        </w:rPr>
        <w:t>CPGPTA(</w:t>
      </w:r>
      <w:proofErr w:type="gramEnd"/>
      <w:r>
        <w:rPr>
          <w:rFonts w:ascii="Arial" w:hAnsi="Arial" w:cs="Arial"/>
          <w:b/>
          <w:lang w:val="en-US"/>
        </w:rPr>
        <w:t xml:space="preserve">2011)086 </w:t>
      </w:r>
      <w:r w:rsidR="00A27DFB" w:rsidRPr="00A27DFB">
        <w:rPr>
          <w:rFonts w:ascii="Arial" w:hAnsi="Arial" w:cs="Arial"/>
          <w:b/>
          <w:lang w:val="en-US"/>
        </w:rPr>
        <w:t xml:space="preserve">ANNEX </w:t>
      </w:r>
      <w:r>
        <w:rPr>
          <w:rFonts w:ascii="Arial" w:hAnsi="Arial" w:cs="Arial"/>
          <w:b/>
          <w:lang w:val="en-US"/>
        </w:rPr>
        <w:t>25 AI 8.2 - Principles</w:t>
      </w:r>
    </w:p>
    <w:p w:rsidR="00E3030F" w:rsidRPr="00351CA4" w:rsidRDefault="00E3030F" w:rsidP="00351CA4">
      <w:pPr>
        <w:jc w:val="right"/>
        <w:rPr>
          <w:lang w:val="en-US"/>
        </w:rPr>
      </w:pPr>
    </w:p>
    <w:p w:rsidR="00E3030F" w:rsidRDefault="00A27DFB" w:rsidP="00A27DFB">
      <w:pPr>
        <w:pStyle w:val="Annextitle"/>
      </w:pPr>
      <w:r>
        <w:t>PRINCIPLES</w:t>
      </w:r>
    </w:p>
    <w:p w:rsidR="00E3030F" w:rsidRPr="0090250F" w:rsidRDefault="00E3030F" w:rsidP="00C361D6">
      <w:pPr>
        <w:pStyle w:val="Annextitle"/>
      </w:pPr>
      <w:r w:rsidRPr="0090250F">
        <w:t>Principles for establishing agendas for WRCs</w:t>
      </w:r>
    </w:p>
    <w:tbl>
      <w:tblPr>
        <w:tblW w:w="14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3"/>
        <w:gridCol w:w="1287"/>
        <w:gridCol w:w="1276"/>
        <w:gridCol w:w="1574"/>
        <w:gridCol w:w="1407"/>
        <w:gridCol w:w="1203"/>
        <w:gridCol w:w="1550"/>
        <w:gridCol w:w="1701"/>
        <w:gridCol w:w="1560"/>
        <w:gridCol w:w="1563"/>
      </w:tblGrid>
      <w:tr w:rsidR="00AB5D19" w:rsidRPr="00A27DFB" w:rsidTr="00EC1550">
        <w:tc>
          <w:tcPr>
            <w:tcW w:w="1653" w:type="dxa"/>
            <w:vAlign w:val="center"/>
          </w:tcPr>
          <w:p w:rsidR="00AB5D19" w:rsidRPr="00A27DFB" w:rsidRDefault="00AB5D19" w:rsidP="00EC1550">
            <w:pPr>
              <w:pStyle w:val="Normalaftertitle"/>
              <w:spacing w:after="260" w:line="260" w:lineRule="exact"/>
              <w:jc w:val="center"/>
              <w:rPr>
                <w:rFonts w:asciiTheme="minorHAnsi" w:hAnsiTheme="minorHAnsi" w:cstheme="minorHAnsi"/>
                <w:sz w:val="16"/>
                <w:szCs w:val="16"/>
                <w:lang w:val="en-GB" w:eastAsia="sv-SE"/>
              </w:rPr>
            </w:pPr>
          </w:p>
        </w:tc>
        <w:tc>
          <w:tcPr>
            <w:tcW w:w="1287" w:type="dxa"/>
            <w:vAlign w:val="center"/>
          </w:tcPr>
          <w:p w:rsidR="00AB5D19" w:rsidRPr="00A27DFB" w:rsidRDefault="00AB5D19" w:rsidP="00EC1550">
            <w:pPr>
              <w:pStyle w:val="Normalaftertitle"/>
              <w:spacing w:after="260" w:line="260" w:lineRule="exact"/>
              <w:jc w:val="center"/>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1.4</w:t>
            </w:r>
          </w:p>
        </w:tc>
        <w:tc>
          <w:tcPr>
            <w:tcW w:w="1276" w:type="dxa"/>
            <w:vAlign w:val="center"/>
          </w:tcPr>
          <w:p w:rsidR="00AB5D19" w:rsidRPr="00A27DFB" w:rsidRDefault="00AB5D19" w:rsidP="00EC1550">
            <w:pPr>
              <w:pStyle w:val="Normalaftertitle"/>
              <w:spacing w:after="260" w:line="260" w:lineRule="exact"/>
              <w:jc w:val="center"/>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1.6</w:t>
            </w:r>
          </w:p>
        </w:tc>
        <w:tc>
          <w:tcPr>
            <w:tcW w:w="1574" w:type="dxa"/>
            <w:vAlign w:val="center"/>
          </w:tcPr>
          <w:p w:rsidR="00AB5D19" w:rsidRPr="00A27DFB" w:rsidRDefault="00AB5D19" w:rsidP="00EC1550">
            <w:pPr>
              <w:pStyle w:val="Normalaftertitle"/>
              <w:tabs>
                <w:tab w:val="clear" w:pos="1134"/>
                <w:tab w:val="clear" w:pos="1871"/>
                <w:tab w:val="clear" w:pos="2268"/>
              </w:tabs>
              <w:jc w:val="center"/>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1.7</w:t>
            </w:r>
          </w:p>
        </w:tc>
        <w:tc>
          <w:tcPr>
            <w:tcW w:w="1407" w:type="dxa"/>
            <w:vAlign w:val="center"/>
          </w:tcPr>
          <w:p w:rsidR="00AB5D19" w:rsidRPr="00A27DFB" w:rsidRDefault="00AB5D19" w:rsidP="00EC1550">
            <w:pPr>
              <w:pStyle w:val="Normalaftertitle"/>
              <w:spacing w:after="260" w:line="260" w:lineRule="exact"/>
              <w:contextualSpacing/>
              <w:jc w:val="center"/>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1.8</w:t>
            </w:r>
          </w:p>
        </w:tc>
        <w:tc>
          <w:tcPr>
            <w:tcW w:w="1203" w:type="dxa"/>
            <w:vAlign w:val="center"/>
          </w:tcPr>
          <w:p w:rsidR="00AB5D19" w:rsidRPr="00A27DFB" w:rsidRDefault="00AB5D19" w:rsidP="00EC1550">
            <w:pPr>
              <w:pStyle w:val="Normalaftertitle"/>
              <w:spacing w:after="260" w:line="260" w:lineRule="exact"/>
              <w:jc w:val="center"/>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1.9</w:t>
            </w:r>
          </w:p>
        </w:tc>
        <w:tc>
          <w:tcPr>
            <w:tcW w:w="1550" w:type="dxa"/>
            <w:vAlign w:val="center"/>
          </w:tcPr>
          <w:p w:rsidR="00AB5D19" w:rsidRPr="00A27DFB" w:rsidRDefault="00AB5D19" w:rsidP="00EC1550">
            <w:pPr>
              <w:pStyle w:val="Normalaftertitle"/>
              <w:spacing w:after="260" w:line="260" w:lineRule="exact"/>
              <w:jc w:val="center"/>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1.10</w:t>
            </w:r>
          </w:p>
        </w:tc>
        <w:tc>
          <w:tcPr>
            <w:tcW w:w="1701" w:type="dxa"/>
            <w:vAlign w:val="center"/>
          </w:tcPr>
          <w:p w:rsidR="00AB5D19" w:rsidRPr="00A27DFB" w:rsidRDefault="00AB5D19" w:rsidP="00EC1550">
            <w:pPr>
              <w:pStyle w:val="Normalaftertitle"/>
              <w:spacing w:after="260" w:line="260" w:lineRule="exact"/>
              <w:jc w:val="center"/>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1.11</w:t>
            </w:r>
          </w:p>
        </w:tc>
        <w:tc>
          <w:tcPr>
            <w:tcW w:w="1560" w:type="dxa"/>
            <w:vAlign w:val="center"/>
          </w:tcPr>
          <w:p w:rsidR="00AB5D19" w:rsidRPr="00A27DFB" w:rsidRDefault="00AB5D19" w:rsidP="00EC1550">
            <w:pPr>
              <w:pStyle w:val="Normalaftertitle"/>
              <w:spacing w:after="260" w:line="260" w:lineRule="exact"/>
              <w:jc w:val="center"/>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1.12</w:t>
            </w:r>
          </w:p>
        </w:tc>
        <w:tc>
          <w:tcPr>
            <w:tcW w:w="1563" w:type="dxa"/>
            <w:vAlign w:val="center"/>
          </w:tcPr>
          <w:p w:rsidR="00AB5D19" w:rsidRPr="00A27DFB" w:rsidRDefault="00AB5D19" w:rsidP="00EC1550">
            <w:pPr>
              <w:pStyle w:val="Normalaftertitle"/>
              <w:spacing w:after="260" w:line="260" w:lineRule="exact"/>
              <w:jc w:val="center"/>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1.13</w:t>
            </w:r>
          </w:p>
        </w:tc>
      </w:tr>
      <w:tr w:rsidR="00AB5D19" w:rsidRPr="00EC1550" w:rsidTr="00A27DFB">
        <w:tc>
          <w:tcPr>
            <w:tcW w:w="165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A conference agenda shall include:</w:t>
            </w:r>
          </w:p>
        </w:tc>
        <w:tc>
          <w:tcPr>
            <w:tcW w:w="128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76"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AB5D19" w:rsidRPr="00A27DFB" w:rsidRDefault="00AB5D19" w:rsidP="00A27DFB">
            <w:pPr>
              <w:pStyle w:val="Normalaftertitle"/>
              <w:jc w:val="left"/>
              <w:rPr>
                <w:rFonts w:asciiTheme="minorHAnsi" w:hAnsiTheme="minorHAnsi" w:cstheme="minorHAnsi"/>
                <w:sz w:val="16"/>
                <w:szCs w:val="16"/>
                <w:lang w:val="en-GB"/>
              </w:rPr>
            </w:pPr>
          </w:p>
        </w:tc>
        <w:tc>
          <w:tcPr>
            <w:tcW w:w="140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5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701"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r>
      <w:tr w:rsidR="00AB5D19" w:rsidRPr="00EC1550" w:rsidTr="00A27DFB">
        <w:tc>
          <w:tcPr>
            <w:tcW w:w="1653" w:type="dxa"/>
          </w:tcPr>
          <w:p w:rsidR="00AB5D19" w:rsidRPr="00A27DFB" w:rsidRDefault="00AB5D19"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w:t>
            </w:r>
            <w:r w:rsidRPr="00A27DFB">
              <w:rPr>
                <w:rFonts w:asciiTheme="minorHAnsi" w:hAnsiTheme="minorHAnsi" w:cstheme="minorHAnsi"/>
                <w:sz w:val="16"/>
                <w:szCs w:val="16"/>
                <w:lang w:val="en-GB" w:eastAsia="sv-SE"/>
              </w:rPr>
              <w:tab/>
              <w:t>items assigned to it by the ITU Plenipotentiary Conference;</w:t>
            </w:r>
          </w:p>
        </w:tc>
        <w:tc>
          <w:tcPr>
            <w:tcW w:w="128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76"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AB5D19" w:rsidRPr="00A27DFB" w:rsidRDefault="00AB5D19" w:rsidP="00A27DFB">
            <w:pPr>
              <w:pStyle w:val="Normalaftertitle"/>
              <w:jc w:val="left"/>
              <w:rPr>
                <w:rFonts w:asciiTheme="minorHAnsi" w:hAnsiTheme="minorHAnsi" w:cstheme="minorHAnsi"/>
                <w:sz w:val="16"/>
                <w:szCs w:val="16"/>
                <w:lang w:val="en-GB"/>
              </w:rPr>
            </w:pPr>
          </w:p>
        </w:tc>
        <w:tc>
          <w:tcPr>
            <w:tcW w:w="140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5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701"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r>
      <w:tr w:rsidR="00AB5D19" w:rsidRPr="00EC1550" w:rsidTr="00A27DFB">
        <w:tc>
          <w:tcPr>
            <w:tcW w:w="1653" w:type="dxa"/>
          </w:tcPr>
          <w:p w:rsidR="00AB5D19" w:rsidRPr="00A27DFB" w:rsidRDefault="00AB5D19"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2)</w:t>
            </w:r>
            <w:r w:rsidRPr="00A27DFB">
              <w:rPr>
                <w:rFonts w:asciiTheme="minorHAnsi" w:hAnsiTheme="minorHAnsi" w:cstheme="minorHAnsi"/>
                <w:sz w:val="16"/>
                <w:szCs w:val="16"/>
                <w:lang w:val="en-GB" w:eastAsia="sv-SE"/>
              </w:rPr>
              <w:tab/>
              <w:t>items on which the Director of the Radiocommunication Bureau has been requested to report;</w:t>
            </w:r>
          </w:p>
        </w:tc>
        <w:tc>
          <w:tcPr>
            <w:tcW w:w="128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76"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AB5D19" w:rsidRPr="00A27DFB" w:rsidRDefault="00AB5D19" w:rsidP="00A27DFB">
            <w:pPr>
              <w:pStyle w:val="Normalaftertitle"/>
              <w:jc w:val="left"/>
              <w:rPr>
                <w:rFonts w:asciiTheme="minorHAnsi" w:hAnsiTheme="minorHAnsi" w:cstheme="minorHAnsi"/>
                <w:sz w:val="16"/>
                <w:szCs w:val="16"/>
                <w:lang w:val="en-GB"/>
              </w:rPr>
            </w:pPr>
          </w:p>
        </w:tc>
        <w:tc>
          <w:tcPr>
            <w:tcW w:w="140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5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701"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r>
      <w:tr w:rsidR="00AB5D19" w:rsidRPr="00EC1550" w:rsidTr="00A27DFB">
        <w:tc>
          <w:tcPr>
            <w:tcW w:w="1653" w:type="dxa"/>
          </w:tcPr>
          <w:p w:rsidR="00AB5D19" w:rsidRPr="00A27DFB" w:rsidRDefault="00AB5D19"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3)</w:t>
            </w:r>
            <w:r w:rsidRPr="00A27DFB">
              <w:rPr>
                <w:rFonts w:asciiTheme="minorHAnsi" w:hAnsiTheme="minorHAnsi" w:cstheme="minorHAnsi"/>
                <w:sz w:val="16"/>
                <w:szCs w:val="16"/>
                <w:lang w:val="en-GB" w:eastAsia="sv-SE"/>
              </w:rPr>
              <w:tab/>
            </w:r>
            <w:proofErr w:type="gramStart"/>
            <w:r w:rsidRPr="00A27DFB">
              <w:rPr>
                <w:rFonts w:asciiTheme="minorHAnsi" w:hAnsiTheme="minorHAnsi" w:cstheme="minorHAnsi"/>
                <w:sz w:val="16"/>
                <w:szCs w:val="16"/>
                <w:lang w:val="en-GB" w:eastAsia="sv-SE"/>
              </w:rPr>
              <w:t>items</w:t>
            </w:r>
            <w:proofErr w:type="gramEnd"/>
            <w:r w:rsidRPr="00A27DFB">
              <w:rPr>
                <w:rFonts w:asciiTheme="minorHAnsi" w:hAnsiTheme="minorHAnsi" w:cstheme="minorHAnsi"/>
                <w:sz w:val="16"/>
                <w:szCs w:val="16"/>
                <w:lang w:val="en-GB" w:eastAsia="sv-SE"/>
              </w:rPr>
              <w:t xml:space="preserve"> concerning instructions to </w:t>
            </w:r>
            <w:r w:rsidRPr="00A27DFB">
              <w:rPr>
                <w:rFonts w:asciiTheme="minorHAnsi" w:hAnsiTheme="minorHAnsi" w:cstheme="minorHAnsi"/>
                <w:sz w:val="16"/>
                <w:szCs w:val="16"/>
                <w:lang w:val="en-GB" w:eastAsia="sv-SE"/>
              </w:rPr>
              <w:lastRenderedPageBreak/>
              <w:t>the Radio Regulations Board and the Radiocommunication Bureau regarding their activities, and concerning the review of those activities.</w:t>
            </w:r>
          </w:p>
        </w:tc>
        <w:tc>
          <w:tcPr>
            <w:tcW w:w="128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76"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AB5D19" w:rsidRPr="00A27DFB" w:rsidRDefault="00AB5D19" w:rsidP="00A27DFB">
            <w:pPr>
              <w:pStyle w:val="Normalaftertitle"/>
              <w:jc w:val="left"/>
              <w:rPr>
                <w:rFonts w:asciiTheme="minorHAnsi" w:hAnsiTheme="minorHAnsi" w:cstheme="minorHAnsi"/>
                <w:sz w:val="16"/>
                <w:szCs w:val="16"/>
                <w:lang w:val="en-GB"/>
              </w:rPr>
            </w:pPr>
          </w:p>
        </w:tc>
        <w:tc>
          <w:tcPr>
            <w:tcW w:w="140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5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701"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r>
      <w:tr w:rsidR="00AB5D19" w:rsidRPr="00EC1550" w:rsidTr="00A27DFB">
        <w:tc>
          <w:tcPr>
            <w:tcW w:w="1653" w:type="dxa"/>
          </w:tcPr>
          <w:p w:rsidR="00AB5D19" w:rsidRPr="00A27DFB" w:rsidRDefault="00AB5D19" w:rsidP="00A27DFB">
            <w:pPr>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In general, a conference may include on a future conference agenda an item proposed by a group of administrations or an administration, if all the following conditions are met:</w:t>
            </w:r>
          </w:p>
          <w:p w:rsidR="00AB5D19" w:rsidRPr="00A27DFB" w:rsidRDefault="00AB5D19" w:rsidP="00A27DFB">
            <w:pPr>
              <w:spacing w:after="260" w:line="260" w:lineRule="exact"/>
              <w:jc w:val="left"/>
              <w:rPr>
                <w:rFonts w:asciiTheme="minorHAnsi" w:hAnsiTheme="minorHAnsi" w:cstheme="minorHAnsi"/>
                <w:sz w:val="16"/>
                <w:szCs w:val="16"/>
                <w:lang w:val="en-GB" w:eastAsia="sv-SE"/>
              </w:rPr>
            </w:pPr>
          </w:p>
        </w:tc>
        <w:tc>
          <w:tcPr>
            <w:tcW w:w="128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76"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AB5D19" w:rsidRPr="00A27DFB" w:rsidRDefault="00AB5D19" w:rsidP="00A27DFB">
            <w:pPr>
              <w:pStyle w:val="Normalaftertitle"/>
              <w:jc w:val="left"/>
              <w:rPr>
                <w:rFonts w:asciiTheme="minorHAnsi" w:hAnsiTheme="minorHAnsi" w:cstheme="minorHAnsi"/>
                <w:sz w:val="16"/>
                <w:szCs w:val="16"/>
                <w:lang w:val="en-GB"/>
              </w:rPr>
            </w:pPr>
          </w:p>
        </w:tc>
        <w:tc>
          <w:tcPr>
            <w:tcW w:w="1407"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5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701"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r>
      <w:tr w:rsidR="00AB5D19" w:rsidRPr="00EC1550" w:rsidTr="00A27DFB">
        <w:tc>
          <w:tcPr>
            <w:tcW w:w="1653" w:type="dxa"/>
          </w:tcPr>
          <w:p w:rsidR="00AB5D19" w:rsidRPr="00A27DFB" w:rsidRDefault="00AB5D19"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1)</w:t>
            </w:r>
            <w:r w:rsidRPr="00A27DFB">
              <w:rPr>
                <w:rFonts w:asciiTheme="minorHAnsi" w:hAnsiTheme="minorHAnsi" w:cstheme="minorHAnsi"/>
                <w:sz w:val="16"/>
                <w:szCs w:val="16"/>
                <w:lang w:val="en-GB" w:eastAsia="sv-SE"/>
              </w:rPr>
              <w:tab/>
              <w:t>it addresses issues of a worldwide or regional character;</w:t>
            </w:r>
          </w:p>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p>
        </w:tc>
        <w:tc>
          <w:tcPr>
            <w:tcW w:w="1287" w:type="dxa"/>
          </w:tcPr>
          <w:p w:rsidR="00AB5D19" w:rsidRPr="00A27DFB" w:rsidRDefault="005B66B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rPr>
              <w:lastRenderedPageBreak/>
              <w:t xml:space="preserve">Yes. The proposal specifically addresses </w:t>
            </w:r>
            <w:proofErr w:type="spellStart"/>
            <w:r w:rsidRPr="00A27DFB">
              <w:rPr>
                <w:rFonts w:asciiTheme="minorHAnsi" w:hAnsiTheme="minorHAnsi" w:cstheme="minorHAnsi"/>
                <w:sz w:val="16"/>
                <w:szCs w:val="16"/>
                <w:lang w:val="en-US"/>
              </w:rPr>
              <w:t>harmonisation</w:t>
            </w:r>
            <w:proofErr w:type="spellEnd"/>
            <w:r w:rsidRPr="00A27DFB">
              <w:rPr>
                <w:rFonts w:asciiTheme="minorHAnsi" w:hAnsiTheme="minorHAnsi" w:cstheme="minorHAnsi"/>
                <w:sz w:val="16"/>
                <w:szCs w:val="16"/>
                <w:lang w:val="en-US"/>
              </w:rPr>
              <w:t xml:space="preserve"> on a global </w:t>
            </w:r>
            <w:r w:rsidRPr="00A27DFB">
              <w:rPr>
                <w:rFonts w:asciiTheme="minorHAnsi" w:hAnsiTheme="minorHAnsi" w:cstheme="minorHAnsi"/>
                <w:sz w:val="16"/>
                <w:szCs w:val="16"/>
                <w:lang w:val="en-US"/>
              </w:rPr>
              <w:lastRenderedPageBreak/>
              <w:t>basis</w:t>
            </w:r>
            <w:r w:rsidR="00AB5D19" w:rsidRPr="00A27DFB">
              <w:rPr>
                <w:rFonts w:asciiTheme="minorHAnsi" w:hAnsiTheme="minorHAnsi" w:cstheme="minorHAnsi"/>
                <w:sz w:val="16"/>
                <w:szCs w:val="16"/>
                <w:lang w:val="en-GB" w:eastAsia="sv-SE"/>
              </w:rPr>
              <w:t>.</w:t>
            </w:r>
          </w:p>
        </w:tc>
        <w:tc>
          <w:tcPr>
            <w:tcW w:w="1276"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 xml:space="preserve">Yes. The worldwide availability of automotive radars </w:t>
            </w:r>
            <w:r w:rsidR="00A27DFB" w:rsidRPr="00A27DFB">
              <w:rPr>
                <w:rFonts w:asciiTheme="minorHAnsi" w:hAnsiTheme="minorHAnsi" w:cstheme="minorHAnsi"/>
                <w:sz w:val="16"/>
                <w:szCs w:val="16"/>
                <w:lang w:val="en-GB" w:eastAsia="sv-SE"/>
              </w:rPr>
              <w:t>supports</w:t>
            </w:r>
            <w:r w:rsidRPr="00A27DFB">
              <w:rPr>
                <w:rFonts w:asciiTheme="minorHAnsi" w:hAnsiTheme="minorHAnsi" w:cstheme="minorHAnsi"/>
                <w:sz w:val="16"/>
                <w:szCs w:val="16"/>
                <w:lang w:val="en-GB" w:eastAsia="sv-SE"/>
              </w:rPr>
              <w:t xml:space="preserve"> the safety and security tasks of </w:t>
            </w:r>
            <w:r w:rsidRPr="00A27DFB">
              <w:rPr>
                <w:rFonts w:asciiTheme="minorHAnsi" w:hAnsiTheme="minorHAnsi" w:cstheme="minorHAnsi"/>
                <w:sz w:val="16"/>
                <w:szCs w:val="16"/>
                <w:lang w:val="en-GB" w:eastAsia="sv-SE"/>
              </w:rPr>
              <w:lastRenderedPageBreak/>
              <w:t xml:space="preserve">every administration. Moreover compatibility to </w:t>
            </w:r>
            <w:proofErr w:type="gramStart"/>
            <w:r w:rsidRPr="00A27DFB">
              <w:rPr>
                <w:rFonts w:asciiTheme="minorHAnsi" w:hAnsiTheme="minorHAnsi" w:cstheme="minorHAnsi"/>
                <w:sz w:val="16"/>
                <w:szCs w:val="16"/>
                <w:lang w:val="en-GB" w:eastAsia="sv-SE"/>
              </w:rPr>
              <w:t>this RLS systems</w:t>
            </w:r>
            <w:proofErr w:type="gramEnd"/>
            <w:r w:rsidRPr="00A27DFB">
              <w:rPr>
                <w:rFonts w:asciiTheme="minorHAnsi" w:hAnsiTheme="minorHAnsi" w:cstheme="minorHAnsi"/>
                <w:sz w:val="16"/>
                <w:szCs w:val="16"/>
                <w:lang w:val="en-GB" w:eastAsia="sv-SE"/>
              </w:rPr>
              <w:t xml:space="preserve"> should be ensured on a global basis.</w:t>
            </w:r>
          </w:p>
        </w:tc>
        <w:tc>
          <w:tcPr>
            <w:tcW w:w="1574" w:type="dxa"/>
          </w:tcPr>
          <w:p w:rsidR="00AB5D19" w:rsidRPr="00A27DFB" w:rsidRDefault="00AB5D19"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lastRenderedPageBreak/>
              <w:t>Yes. The use of WAIC for international air traffic requires global harmonized frequency spectrum.</w:t>
            </w:r>
          </w:p>
        </w:tc>
        <w:tc>
          <w:tcPr>
            <w:tcW w:w="1407" w:type="dxa"/>
          </w:tcPr>
          <w:p w:rsidR="00AB5D19" w:rsidRPr="00A27DFB" w:rsidRDefault="00AB5D19" w:rsidP="00A27DFB">
            <w:pPr>
              <w:pStyle w:val="Normalaftertitle"/>
              <w:numPr>
                <w:ilvl w:val="0"/>
                <w:numId w:val="9"/>
              </w:numPr>
              <w:spacing w:after="260" w:line="260" w:lineRule="exact"/>
              <w:contextualSpacing/>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rPr>
              <w:t xml:space="preserve">Yes. The proposal specifically addresses </w:t>
            </w:r>
            <w:proofErr w:type="spellStart"/>
            <w:r w:rsidRPr="00A27DFB">
              <w:rPr>
                <w:rFonts w:asciiTheme="minorHAnsi" w:hAnsiTheme="minorHAnsi" w:cstheme="minorHAnsi"/>
                <w:sz w:val="16"/>
                <w:szCs w:val="16"/>
                <w:lang w:val="en-US"/>
              </w:rPr>
              <w:t>harmonisation</w:t>
            </w:r>
            <w:proofErr w:type="spellEnd"/>
            <w:r w:rsidRPr="00A27DFB">
              <w:rPr>
                <w:rFonts w:asciiTheme="minorHAnsi" w:hAnsiTheme="minorHAnsi" w:cstheme="minorHAnsi"/>
                <w:sz w:val="16"/>
                <w:szCs w:val="16"/>
                <w:lang w:val="en-US"/>
              </w:rPr>
              <w:t xml:space="preserve"> on a global basis.</w:t>
            </w:r>
          </w:p>
        </w:tc>
        <w:tc>
          <w:tcPr>
            <w:tcW w:w="120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Yes. The need for this new allocation has been identified in the frame of the Space </w:t>
            </w:r>
            <w:r w:rsidRPr="00A27DFB">
              <w:rPr>
                <w:rFonts w:asciiTheme="minorHAnsi" w:hAnsiTheme="minorHAnsi" w:cstheme="minorHAnsi"/>
                <w:sz w:val="16"/>
                <w:szCs w:val="16"/>
                <w:lang w:val="en-GB" w:eastAsia="sv-SE"/>
              </w:rPr>
              <w:lastRenderedPageBreak/>
              <w:t>Frequency Coordination Group and agreed among all the space agencies participating to the SFCG. The requested allocation is worldwide.</w:t>
            </w:r>
          </w:p>
        </w:tc>
        <w:tc>
          <w:tcPr>
            <w:tcW w:w="155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 It would support global satellite communication needs of governmental users.</w:t>
            </w:r>
          </w:p>
        </w:tc>
        <w:tc>
          <w:tcPr>
            <w:tcW w:w="1701" w:type="dxa"/>
          </w:tcPr>
          <w:p w:rsidR="00AB5D19" w:rsidRPr="00A27DFB" w:rsidRDefault="00AB5D19" w:rsidP="00A27DFB">
            <w:pPr>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Yes. </w:t>
            </w:r>
          </w:p>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The </w:t>
            </w:r>
            <w:proofErr w:type="spellStart"/>
            <w:r w:rsidRPr="00A27DFB">
              <w:rPr>
                <w:rFonts w:asciiTheme="minorHAnsi" w:hAnsiTheme="minorHAnsi" w:cstheme="minorHAnsi"/>
                <w:sz w:val="16"/>
                <w:szCs w:val="16"/>
                <w:lang w:val="en-GB" w:eastAsia="sv-SE"/>
              </w:rPr>
              <w:t>Cospas</w:t>
            </w:r>
            <w:proofErr w:type="spellEnd"/>
            <w:r w:rsidRPr="00A27DFB">
              <w:rPr>
                <w:rFonts w:asciiTheme="minorHAnsi" w:hAnsiTheme="minorHAnsi" w:cstheme="minorHAnsi"/>
                <w:sz w:val="16"/>
                <w:szCs w:val="16"/>
                <w:lang w:val="en-GB" w:eastAsia="sv-SE"/>
              </w:rPr>
              <w:t>/</w:t>
            </w:r>
            <w:proofErr w:type="spellStart"/>
            <w:r w:rsidRPr="00A27DFB">
              <w:rPr>
                <w:rFonts w:asciiTheme="minorHAnsi" w:hAnsiTheme="minorHAnsi" w:cstheme="minorHAnsi"/>
                <w:sz w:val="16"/>
                <w:szCs w:val="16"/>
                <w:lang w:val="en-GB" w:eastAsia="sv-SE"/>
              </w:rPr>
              <w:t>Sarsat</w:t>
            </w:r>
            <w:proofErr w:type="spellEnd"/>
            <w:r w:rsidRPr="00A27DFB">
              <w:rPr>
                <w:rFonts w:asciiTheme="minorHAnsi" w:hAnsiTheme="minorHAnsi" w:cstheme="minorHAnsi"/>
                <w:sz w:val="16"/>
                <w:szCs w:val="16"/>
                <w:lang w:val="en-GB" w:eastAsia="sv-SE"/>
              </w:rPr>
              <w:t xml:space="preserve"> satellite system supports the interventions of Search and Rescue </w:t>
            </w:r>
            <w:r w:rsidRPr="00A27DFB">
              <w:rPr>
                <w:rFonts w:asciiTheme="minorHAnsi" w:hAnsiTheme="minorHAnsi" w:cstheme="minorHAnsi"/>
                <w:sz w:val="16"/>
                <w:szCs w:val="16"/>
                <w:lang w:val="en-GB" w:eastAsia="sv-SE"/>
              </w:rPr>
              <w:lastRenderedPageBreak/>
              <w:t>(SAR) teams worldwide.</w:t>
            </w:r>
          </w:p>
        </w:tc>
        <w:tc>
          <w:tcPr>
            <w:tcW w:w="1560"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 The proposal concerns systems which are intended for worldwide maritime operation on board vessels</w:t>
            </w:r>
          </w:p>
        </w:tc>
        <w:tc>
          <w:tcPr>
            <w:tcW w:w="1563" w:type="dxa"/>
          </w:tcPr>
          <w:p w:rsidR="00AB5D19" w:rsidRPr="00A27DFB" w:rsidRDefault="00AB5D19"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The proposal concerns systems which are intended for worldwide maritime operation on board vessels</w:t>
            </w:r>
          </w:p>
        </w:tc>
      </w:tr>
      <w:tr w:rsidR="00705B8E" w:rsidRPr="00A27DFB"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 Table of allocation and WRC Resolution.</w:t>
            </w: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US"/>
              </w:rPr>
            </w:pP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The table of Art. 5 needs to be modified.</w:t>
            </w:r>
          </w:p>
        </w:tc>
        <w:tc>
          <w:tcPr>
            <w:tcW w:w="1574" w:type="dxa"/>
          </w:tcPr>
          <w:p w:rsidR="00705B8E" w:rsidRPr="00A27DFB" w:rsidRDefault="00705B8E" w:rsidP="00A27DFB">
            <w:pPr>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The table of Art. 5 would need to be modified.</w:t>
            </w:r>
          </w:p>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Yes.</w:t>
            </w:r>
            <w:r w:rsidR="00A27DFB">
              <w:rPr>
                <w:rFonts w:asciiTheme="minorHAnsi" w:hAnsiTheme="minorHAnsi" w:cstheme="minorHAnsi"/>
                <w:sz w:val="16"/>
                <w:szCs w:val="16"/>
                <w:lang w:val="en-GB"/>
              </w:rPr>
              <w:t xml:space="preserve"> </w:t>
            </w:r>
            <w:r w:rsidRPr="00A27DFB">
              <w:rPr>
                <w:rFonts w:asciiTheme="minorHAnsi" w:hAnsiTheme="minorHAnsi" w:cstheme="minorHAnsi"/>
                <w:sz w:val="16"/>
                <w:szCs w:val="16"/>
                <w:lang w:val="en-GB"/>
              </w:rPr>
              <w:t xml:space="preserve">If WAIC is to be implemented in safety spectrum The </w:t>
            </w:r>
            <w:proofErr w:type="gramStart"/>
            <w:r w:rsidRPr="00A27DFB">
              <w:rPr>
                <w:rFonts w:asciiTheme="minorHAnsi" w:hAnsiTheme="minorHAnsi" w:cstheme="minorHAnsi"/>
                <w:sz w:val="16"/>
                <w:szCs w:val="16"/>
                <w:lang w:val="en-GB"/>
              </w:rPr>
              <w:t>Current  provisions</w:t>
            </w:r>
            <w:proofErr w:type="gramEnd"/>
            <w:r w:rsidRPr="00A27DFB">
              <w:rPr>
                <w:rFonts w:asciiTheme="minorHAnsi" w:hAnsiTheme="minorHAnsi" w:cstheme="minorHAnsi"/>
                <w:sz w:val="16"/>
                <w:szCs w:val="16"/>
                <w:lang w:val="en-GB"/>
              </w:rPr>
              <w:t xml:space="preserve"> </w:t>
            </w:r>
            <w:r w:rsidR="00A27DFB" w:rsidRPr="00A27DFB">
              <w:rPr>
                <w:rFonts w:asciiTheme="minorHAnsi" w:hAnsiTheme="minorHAnsi" w:cstheme="minorHAnsi"/>
                <w:sz w:val="16"/>
                <w:szCs w:val="16"/>
                <w:lang w:val="en-GB"/>
              </w:rPr>
              <w:t>for</w:t>
            </w:r>
            <w:r w:rsidRPr="00A27DFB">
              <w:rPr>
                <w:rFonts w:asciiTheme="minorHAnsi" w:hAnsiTheme="minorHAnsi" w:cstheme="minorHAnsi"/>
                <w:sz w:val="16"/>
                <w:szCs w:val="16"/>
                <w:lang w:val="en-GB"/>
              </w:rPr>
              <w:t xml:space="preserve">  for safety spectrum may not be sufficient.</w:t>
            </w:r>
          </w:p>
        </w:tc>
        <w:tc>
          <w:tcPr>
            <w:tcW w:w="1407" w:type="dxa"/>
          </w:tcPr>
          <w:p w:rsidR="00705B8E" w:rsidRPr="00A27DFB" w:rsidRDefault="00705B8E" w:rsidP="00A27DFB">
            <w:pPr>
              <w:pStyle w:val="Normalaftertitle"/>
              <w:numPr>
                <w:ilvl w:val="0"/>
                <w:numId w:val="9"/>
              </w:numPr>
              <w:spacing w:after="260" w:line="260" w:lineRule="exact"/>
              <w:contextualSpacing/>
              <w:jc w:val="left"/>
              <w:rPr>
                <w:rFonts w:asciiTheme="minorHAnsi" w:hAnsiTheme="minorHAnsi" w:cstheme="minorHAnsi"/>
                <w:sz w:val="16"/>
                <w:szCs w:val="16"/>
                <w:lang w:val="en-US"/>
              </w:rPr>
            </w:pPr>
            <w:r w:rsidRPr="00A27DFB">
              <w:rPr>
                <w:rFonts w:asciiTheme="minorHAnsi" w:hAnsiTheme="minorHAnsi" w:cstheme="minorHAnsi"/>
                <w:sz w:val="16"/>
                <w:szCs w:val="16"/>
                <w:lang w:val="en-US"/>
              </w:rPr>
              <w:t>Yes. Art 5 would need to be modified.</w:t>
            </w: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Art. 5 would need to be modified to include the new allocation.</w:t>
            </w:r>
          </w:p>
        </w:tc>
        <w:tc>
          <w:tcPr>
            <w:tcW w:w="1550" w:type="dxa"/>
          </w:tcPr>
          <w:p w:rsidR="00705B8E" w:rsidRPr="00A27DFB" w:rsidRDefault="00705B8E" w:rsidP="00A27DFB">
            <w:pPr>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The objective is an extension of the current worldwide allocation to the FSS in the bands 7250-7750 MHz (space-to-Earth) and 7900-8400 MHz (Earth-to-space).</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The proposed agenda item also seeks new allocation to the maritime-mobile satellite service within the existing FSS 8/7 GHz bands.</w:t>
            </w:r>
          </w:p>
        </w:tc>
        <w:tc>
          <w:tcPr>
            <w:tcW w:w="1701" w:type="dxa"/>
          </w:tcPr>
          <w:p w:rsidR="00705B8E" w:rsidRPr="00A27DFB" w:rsidRDefault="00705B8E" w:rsidP="00A27DFB">
            <w:pPr>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rPr>
              <w:t xml:space="preserve">To consider the adequate protection of mobile-satellite service operating in the 406-406.1 MHz band from unwanted emissions caused by systems operating in the lower adjacent band (390-406 MHz) and in the upper adjacent band (406.1-420 MHz), </w:t>
            </w:r>
            <w:r w:rsidRPr="00A27DFB">
              <w:rPr>
                <w:rFonts w:asciiTheme="minorHAnsi" w:hAnsiTheme="minorHAnsi" w:cstheme="minorHAnsi"/>
                <w:sz w:val="16"/>
                <w:szCs w:val="16"/>
                <w:lang w:val="en-GB" w:eastAsia="fr-FR"/>
              </w:rPr>
              <w:t>based on the results of compatibility and regulatory studies.</w:t>
            </w: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AIS Channels are defined in RR Appendix 18 and special provisions for these Frequencies are reflected in Article 5. Any additional Frequency need to be reflected in the same way</w:t>
            </w: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Yes. For the on-board communication ships the </w:t>
            </w:r>
            <w:r w:rsidR="00A27DFB" w:rsidRPr="00A27DFB">
              <w:rPr>
                <w:rFonts w:asciiTheme="minorHAnsi" w:hAnsiTheme="minorHAnsi" w:cstheme="minorHAnsi"/>
                <w:sz w:val="16"/>
                <w:szCs w:val="16"/>
                <w:lang w:val="en-GB" w:eastAsia="sv-SE"/>
              </w:rPr>
              <w:t>existing</w:t>
            </w:r>
            <w:r w:rsidRPr="00A27DFB">
              <w:rPr>
                <w:rFonts w:asciiTheme="minorHAnsi" w:hAnsiTheme="minorHAnsi" w:cstheme="minorHAnsi"/>
                <w:sz w:val="16"/>
                <w:szCs w:val="16"/>
                <w:lang w:val="en-GB" w:eastAsia="sv-SE"/>
              </w:rPr>
              <w:t xml:space="preserve"> </w:t>
            </w:r>
            <w:proofErr w:type="gramStart"/>
            <w:r w:rsidRPr="00A27DFB">
              <w:rPr>
                <w:rFonts w:asciiTheme="minorHAnsi" w:hAnsiTheme="minorHAnsi" w:cstheme="minorHAnsi"/>
                <w:sz w:val="16"/>
                <w:szCs w:val="16"/>
                <w:lang w:val="en-GB" w:eastAsia="sv-SE"/>
              </w:rPr>
              <w:t>channels  are</w:t>
            </w:r>
            <w:proofErr w:type="gramEnd"/>
            <w:r w:rsidRPr="00A27DFB">
              <w:rPr>
                <w:rFonts w:asciiTheme="minorHAnsi" w:hAnsiTheme="minorHAnsi" w:cstheme="minorHAnsi"/>
                <w:sz w:val="16"/>
                <w:szCs w:val="16"/>
                <w:lang w:val="en-GB" w:eastAsia="sv-SE"/>
              </w:rPr>
              <w:t xml:space="preserve"> defined in RR 5.287. New channels have to be added to this footnote. </w:t>
            </w:r>
          </w:p>
        </w:tc>
      </w:tr>
      <w:tr w:rsidR="00705B8E" w:rsidRPr="00A27DFB"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3)</w:t>
            </w:r>
            <w:r w:rsidRPr="00A27DFB">
              <w:rPr>
                <w:rFonts w:asciiTheme="minorHAnsi" w:hAnsiTheme="minorHAnsi" w:cstheme="minorHAnsi"/>
                <w:sz w:val="16"/>
                <w:szCs w:val="16"/>
                <w:lang w:val="en-GB" w:eastAsia="sv-SE"/>
              </w:rPr>
              <w:tab/>
              <w:t xml:space="preserve">it is expected that required studies can be completed </w:t>
            </w:r>
            <w:r w:rsidRPr="00A27DFB">
              <w:rPr>
                <w:rFonts w:asciiTheme="minorHAnsi" w:hAnsiTheme="minorHAnsi" w:cstheme="minorHAnsi"/>
                <w:sz w:val="16"/>
                <w:szCs w:val="16"/>
                <w:lang w:val="en-GB" w:eastAsia="sv-SE"/>
              </w:rPr>
              <w:lastRenderedPageBreak/>
              <w:t>(e.g. that appropriate ITU</w:t>
            </w:r>
            <w:r w:rsidRPr="00A27DFB">
              <w:rPr>
                <w:rFonts w:asciiTheme="minorHAnsi" w:hAnsiTheme="minorHAnsi" w:cstheme="minorHAnsi"/>
                <w:sz w:val="16"/>
                <w:szCs w:val="16"/>
                <w:lang w:val="en-GB" w:eastAsia="sv-SE"/>
              </w:rPr>
              <w:noBreakHyphen/>
              <w:t>R Recom</w:t>
            </w:r>
            <w:r w:rsidRPr="00A27DFB">
              <w:rPr>
                <w:rFonts w:asciiTheme="minorHAnsi" w:hAnsiTheme="minorHAnsi" w:cstheme="minorHAnsi"/>
                <w:sz w:val="16"/>
                <w:szCs w:val="16"/>
                <w:lang w:val="en-GB" w:eastAsia="sv-SE"/>
              </w:rPr>
              <w:softHyphen/>
              <w:t>mendations will be approved) prior to that conference;</w:t>
            </w:r>
          </w:p>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eastAsia="sv-SE"/>
              </w:rPr>
              <w:lastRenderedPageBreak/>
              <w:t xml:space="preserve">Studies on the future mobile market </w:t>
            </w:r>
            <w:proofErr w:type="gramStart"/>
            <w:r w:rsidRPr="00A27DFB">
              <w:rPr>
                <w:rFonts w:asciiTheme="minorHAnsi" w:hAnsiTheme="minorHAnsi" w:cstheme="minorHAnsi"/>
                <w:sz w:val="16"/>
                <w:szCs w:val="16"/>
                <w:lang w:val="en-US" w:eastAsia="sv-SE"/>
              </w:rPr>
              <w:t xml:space="preserve">ongoing  </w:t>
            </w:r>
            <w:r w:rsidRPr="00A27DFB">
              <w:rPr>
                <w:rFonts w:asciiTheme="minorHAnsi" w:hAnsiTheme="minorHAnsi" w:cstheme="minorHAnsi"/>
                <w:sz w:val="16"/>
                <w:szCs w:val="16"/>
                <w:lang w:val="en-US" w:eastAsia="sv-SE"/>
              </w:rPr>
              <w:lastRenderedPageBreak/>
              <w:t>in</w:t>
            </w:r>
            <w:proofErr w:type="gramEnd"/>
            <w:r w:rsidRPr="00A27DFB">
              <w:rPr>
                <w:rFonts w:asciiTheme="minorHAnsi" w:hAnsiTheme="minorHAnsi" w:cstheme="minorHAnsi"/>
                <w:sz w:val="16"/>
                <w:szCs w:val="16"/>
                <w:lang w:val="en-US" w:eastAsia="sv-SE"/>
              </w:rPr>
              <w:t xml:space="preserve"> WP 5D. Sharing studies </w:t>
            </w:r>
            <w:proofErr w:type="spellStart"/>
            <w:r w:rsidRPr="00A27DFB">
              <w:rPr>
                <w:rFonts w:asciiTheme="minorHAnsi" w:hAnsiTheme="minorHAnsi" w:cstheme="minorHAnsi"/>
                <w:sz w:val="16"/>
                <w:szCs w:val="16"/>
                <w:lang w:val="en-US" w:eastAsia="sv-SE"/>
              </w:rPr>
              <w:t>finalised</w:t>
            </w:r>
            <w:proofErr w:type="spellEnd"/>
            <w:r w:rsidRPr="00A27DFB">
              <w:rPr>
                <w:rFonts w:asciiTheme="minorHAnsi" w:hAnsiTheme="minorHAnsi" w:cstheme="minorHAnsi"/>
                <w:sz w:val="16"/>
                <w:szCs w:val="16"/>
                <w:lang w:val="en-US" w:eastAsia="sv-SE"/>
              </w:rPr>
              <w:t xml:space="preserve"> for the band 3400 – 4200 MHz during the study period before WRC07.</w:t>
            </w: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 xml:space="preserve">Yes. CEPT has already made relevant </w:t>
            </w:r>
            <w:r w:rsidRPr="00A27DFB">
              <w:rPr>
                <w:rFonts w:asciiTheme="minorHAnsi" w:hAnsiTheme="minorHAnsi" w:cstheme="minorHAnsi"/>
                <w:sz w:val="16"/>
                <w:szCs w:val="16"/>
                <w:lang w:val="en-GB" w:eastAsia="sv-SE"/>
              </w:rPr>
              <w:lastRenderedPageBreak/>
              <w:t>studies, which could support the relevant ITU-R studies.</w:t>
            </w: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lastRenderedPageBreak/>
              <w:t xml:space="preserve"> </w:t>
            </w:r>
          </w:p>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 xml:space="preserve">Yes. Initial work has </w:t>
            </w:r>
            <w:r w:rsidRPr="00A27DFB">
              <w:rPr>
                <w:rFonts w:asciiTheme="minorHAnsi" w:hAnsiTheme="minorHAnsi" w:cstheme="minorHAnsi"/>
                <w:sz w:val="16"/>
                <w:szCs w:val="16"/>
                <w:lang w:val="en-GB"/>
              </w:rPr>
              <w:lastRenderedPageBreak/>
              <w:t xml:space="preserve">already been carried out within WP 5B. Intended implementation </w:t>
            </w:r>
            <w:proofErr w:type="gramStart"/>
            <w:r w:rsidRPr="00A27DFB">
              <w:rPr>
                <w:rFonts w:asciiTheme="minorHAnsi" w:hAnsiTheme="minorHAnsi" w:cstheme="minorHAnsi"/>
                <w:sz w:val="16"/>
                <w:szCs w:val="16"/>
                <w:lang w:val="en-GB"/>
              </w:rPr>
              <w:t>in  2015</w:t>
            </w:r>
            <w:proofErr w:type="gramEnd"/>
            <w:r w:rsidRPr="00A27DFB">
              <w:rPr>
                <w:rFonts w:asciiTheme="minorHAnsi" w:hAnsiTheme="minorHAnsi" w:cstheme="minorHAnsi"/>
                <w:sz w:val="16"/>
                <w:szCs w:val="16"/>
                <w:lang w:val="en-GB"/>
              </w:rPr>
              <w:t>/2016.</w:t>
            </w:r>
          </w:p>
        </w:tc>
        <w:tc>
          <w:tcPr>
            <w:tcW w:w="1407" w:type="dxa"/>
          </w:tcPr>
          <w:p w:rsidR="00705B8E" w:rsidRPr="00A27DFB" w:rsidRDefault="00705B8E" w:rsidP="00EC1550">
            <w:pPr>
              <w:pStyle w:val="Normalaftertitle"/>
              <w:spacing w:after="260" w:line="260" w:lineRule="exact"/>
              <w:contextualSpacing/>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rPr>
              <w:lastRenderedPageBreak/>
              <w:t xml:space="preserve">Yes. A considerable amount of studies were </w:t>
            </w:r>
            <w:r w:rsidRPr="00A27DFB">
              <w:rPr>
                <w:rFonts w:asciiTheme="minorHAnsi" w:hAnsiTheme="minorHAnsi" w:cstheme="minorHAnsi"/>
                <w:sz w:val="16"/>
                <w:szCs w:val="16"/>
                <w:lang w:val="en-US"/>
              </w:rPr>
              <w:lastRenderedPageBreak/>
              <w:t>already performed for WRC-07. There are quite similar sharing conditions in the potential extension bands.</w:t>
            </w: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 xml:space="preserve">Yes. The sharing studies are expected </w:t>
            </w:r>
            <w:r w:rsidRPr="00A27DFB">
              <w:rPr>
                <w:rFonts w:asciiTheme="minorHAnsi" w:hAnsiTheme="minorHAnsi" w:cstheme="minorHAnsi"/>
                <w:sz w:val="16"/>
                <w:szCs w:val="16"/>
                <w:lang w:val="en-GB" w:eastAsia="sv-SE"/>
              </w:rPr>
              <w:lastRenderedPageBreak/>
              <w:t>to be completed in a reasonably short time. The sharing scenario doesn’t appear critical.</w:t>
            </w:r>
          </w:p>
        </w:tc>
        <w:tc>
          <w:tcPr>
            <w:tcW w:w="1550" w:type="dxa"/>
          </w:tcPr>
          <w:p w:rsidR="00705B8E" w:rsidRPr="00A27DFB" w:rsidRDefault="00705B8E" w:rsidP="00A27DFB">
            <w:pPr>
              <w:pStyle w:val="Normalaftertitle"/>
              <w:spacing w:before="0"/>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w:t>
            </w:r>
          </w:p>
          <w:p w:rsidR="00705B8E" w:rsidRPr="00A27DFB" w:rsidRDefault="00705B8E" w:rsidP="00A27DFB">
            <w:pPr>
              <w:pStyle w:val="Normalaftertitle"/>
              <w:spacing w:before="0"/>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Previous studies have been conducted within ITU-R WP </w:t>
            </w:r>
            <w:smartTag w:uri="urn:schemas-microsoft-com:office:smarttags" w:element="metricconverter">
              <w:smartTagPr>
                <w:attr w:name="ProductID" w:val="4C"/>
              </w:smartTagPr>
              <w:r w:rsidRPr="00A27DFB">
                <w:rPr>
                  <w:rFonts w:asciiTheme="minorHAnsi" w:hAnsiTheme="minorHAnsi" w:cstheme="minorHAnsi"/>
                  <w:sz w:val="16"/>
                  <w:szCs w:val="16"/>
                  <w:lang w:val="en-GB" w:eastAsia="sv-SE"/>
                </w:rPr>
                <w:t>4C</w:t>
              </w:r>
            </w:smartTag>
            <w:r w:rsidRPr="00A27DFB">
              <w:rPr>
                <w:rFonts w:asciiTheme="minorHAnsi" w:hAnsiTheme="minorHAnsi" w:cstheme="minorHAnsi"/>
                <w:sz w:val="16"/>
                <w:szCs w:val="16"/>
                <w:lang w:val="en-GB" w:eastAsia="sv-SE"/>
              </w:rPr>
              <w:t xml:space="preserve"> in connection with </w:t>
            </w:r>
            <w:r w:rsidRPr="00A27DFB">
              <w:rPr>
                <w:rFonts w:asciiTheme="minorHAnsi" w:hAnsiTheme="minorHAnsi" w:cstheme="minorHAnsi"/>
                <w:sz w:val="16"/>
                <w:szCs w:val="16"/>
                <w:lang w:val="en-GB" w:eastAsia="sv-SE"/>
              </w:rPr>
              <w:lastRenderedPageBreak/>
              <w:t>agenda item 1.25 (WRC-2012) when studying possible new MSS allocations to some bands between 4 and 16 GHz. In particular, the possible introduction of a new generic MSS allocation in the bands 7055-7250 MHz and 8400-8500 MHz was studied. The experience gained during these studies will be beneficial for the completion of this agenda item.</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It is to be noted that another proposal submitted under AI 8.2 for a new EESS (E-s) allocation in the band 7145-7250 MHz will have to be taken into account when performing the compatibility studies.</w:t>
            </w: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w:t>
            </w: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w:t>
            </w: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w:t>
            </w:r>
          </w:p>
        </w:tc>
      </w:tr>
      <w:tr w:rsidR="00705B8E" w:rsidRPr="00EC1550"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4)</w:t>
            </w:r>
            <w:r w:rsidRPr="00A27DFB">
              <w:rPr>
                <w:rFonts w:asciiTheme="minorHAnsi" w:hAnsiTheme="minorHAnsi" w:cstheme="minorHAnsi"/>
                <w:sz w:val="16"/>
                <w:szCs w:val="16"/>
                <w:lang w:val="en-GB" w:eastAsia="sv-SE"/>
              </w:rPr>
              <w:tab/>
            </w:r>
            <w:proofErr w:type="gramStart"/>
            <w:r w:rsidRPr="00A27DFB">
              <w:rPr>
                <w:rFonts w:asciiTheme="minorHAnsi" w:hAnsiTheme="minorHAnsi" w:cstheme="minorHAnsi"/>
                <w:sz w:val="16"/>
                <w:szCs w:val="16"/>
                <w:lang w:val="en-GB" w:eastAsia="sv-SE"/>
              </w:rPr>
              <w:t>resources</w:t>
            </w:r>
            <w:proofErr w:type="gramEnd"/>
            <w:r w:rsidRPr="00A27DFB">
              <w:rPr>
                <w:rFonts w:asciiTheme="minorHAnsi" w:hAnsiTheme="minorHAnsi" w:cstheme="minorHAnsi"/>
                <w:sz w:val="16"/>
                <w:szCs w:val="16"/>
                <w:lang w:val="en-GB" w:eastAsia="sv-SE"/>
              </w:rPr>
              <w:t xml:space="preserve"> associated with the subject are kept within a </w:t>
            </w:r>
            <w:r w:rsidRPr="00A27DFB">
              <w:rPr>
                <w:rFonts w:asciiTheme="minorHAnsi" w:hAnsiTheme="minorHAnsi" w:cstheme="minorHAnsi"/>
                <w:sz w:val="16"/>
                <w:szCs w:val="16"/>
                <w:lang w:val="en-GB" w:eastAsia="sv-SE"/>
              </w:rPr>
              <w:lastRenderedPageBreak/>
              <w:t>range which is manageable for Member States and Sector Members, the Radiocommunication Bureau and ITU</w:t>
            </w:r>
            <w:r w:rsidRPr="00A27DFB">
              <w:rPr>
                <w:rFonts w:asciiTheme="minorHAnsi" w:hAnsiTheme="minorHAnsi" w:cstheme="minorHAnsi"/>
                <w:sz w:val="16"/>
                <w:szCs w:val="16"/>
                <w:lang w:val="en-GB" w:eastAsia="sv-SE"/>
              </w:rPr>
              <w:noBreakHyphen/>
              <w:t>R Study Groups, Conference Preparatory Meeting (CPM) and the Special Committee.</w:t>
            </w:r>
          </w:p>
          <w:p w:rsidR="00705B8E" w:rsidRPr="00A27DFB" w:rsidRDefault="00705B8E" w:rsidP="00A27DFB">
            <w:pPr>
              <w:pStyle w:val="enumlev1"/>
              <w:spacing w:after="260" w:line="260" w:lineRule="exact"/>
              <w:ind w:left="0" w:firstLine="0"/>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Categories of resource implications used in the table</w:t>
            </w:r>
          </w:p>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A – low </w:t>
            </w:r>
          </w:p>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B  - medium</w:t>
            </w:r>
          </w:p>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C - high</w:t>
            </w:r>
          </w:p>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Category C</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Yes. </w:t>
            </w:r>
            <w:r w:rsidRPr="00A27DFB">
              <w:rPr>
                <w:rFonts w:asciiTheme="minorHAnsi" w:hAnsiTheme="minorHAnsi" w:cstheme="minorHAnsi"/>
                <w:sz w:val="16"/>
                <w:szCs w:val="16"/>
                <w:lang w:val="en-GB" w:eastAsia="sv-SE"/>
              </w:rPr>
              <w:lastRenderedPageBreak/>
              <w:t>Manageable for Member States and Sector Members.</w:t>
            </w:r>
          </w:p>
          <w:p w:rsidR="00705B8E" w:rsidRPr="00A27DFB" w:rsidRDefault="00705B8E" w:rsidP="00A27DFB">
            <w:pPr>
              <w:jc w:val="left"/>
              <w:rPr>
                <w:rFonts w:asciiTheme="minorHAnsi" w:hAnsiTheme="minorHAnsi" w:cstheme="minorHAnsi"/>
                <w:sz w:val="16"/>
                <w:szCs w:val="16"/>
                <w:lang w:val="en-GB" w:eastAsia="sv-SE"/>
              </w:rPr>
            </w:pP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Category A</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 see above</w:t>
            </w: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lastRenderedPageBreak/>
              <w:t>Category A in aeronautical bands</w:t>
            </w:r>
          </w:p>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 xml:space="preserve">Category C outside </w:t>
            </w:r>
            <w:r w:rsidRPr="00A27DFB">
              <w:rPr>
                <w:rFonts w:asciiTheme="minorHAnsi" w:hAnsiTheme="minorHAnsi" w:cstheme="minorHAnsi"/>
                <w:sz w:val="16"/>
                <w:szCs w:val="16"/>
                <w:lang w:val="en-GB"/>
              </w:rPr>
              <w:lastRenderedPageBreak/>
              <w:t xml:space="preserve">aeronautical bands </w:t>
            </w:r>
          </w:p>
          <w:p w:rsidR="00705B8E" w:rsidRPr="00A27DFB" w:rsidRDefault="00705B8E" w:rsidP="00A27DFB">
            <w:pPr>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Yes. Manageable for Member States and Sector Members.</w:t>
            </w:r>
          </w:p>
        </w:tc>
        <w:tc>
          <w:tcPr>
            <w:tcW w:w="1407" w:type="dxa"/>
          </w:tcPr>
          <w:p w:rsidR="00705B8E" w:rsidRPr="00A27DFB" w:rsidRDefault="00705B8E" w:rsidP="00A27DFB">
            <w:pPr>
              <w:pStyle w:val="Normalaftertitle"/>
              <w:spacing w:after="260" w:line="260" w:lineRule="exact"/>
              <w:contextualSpacing/>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Cat</w:t>
            </w:r>
            <w:r w:rsidR="00A27DFB">
              <w:rPr>
                <w:rFonts w:asciiTheme="minorHAnsi" w:hAnsiTheme="minorHAnsi" w:cstheme="minorHAnsi"/>
                <w:sz w:val="16"/>
                <w:szCs w:val="16"/>
                <w:lang w:val="en-GB" w:eastAsia="sv-SE"/>
              </w:rPr>
              <w:t>e</w:t>
            </w:r>
            <w:r w:rsidRPr="00A27DFB">
              <w:rPr>
                <w:rFonts w:asciiTheme="minorHAnsi" w:hAnsiTheme="minorHAnsi" w:cstheme="minorHAnsi"/>
                <w:sz w:val="16"/>
                <w:szCs w:val="16"/>
                <w:lang w:val="en-GB" w:eastAsia="sv-SE"/>
              </w:rPr>
              <w:t>gory B</w:t>
            </w:r>
          </w:p>
          <w:p w:rsidR="00EC1550" w:rsidRDefault="00EC1550" w:rsidP="00EC1550">
            <w:pPr>
              <w:pStyle w:val="Normalaftertitle"/>
              <w:spacing w:after="260" w:line="260" w:lineRule="exact"/>
              <w:contextualSpacing/>
              <w:jc w:val="left"/>
              <w:rPr>
                <w:rFonts w:asciiTheme="minorHAnsi" w:hAnsiTheme="minorHAnsi" w:cstheme="minorHAnsi"/>
                <w:sz w:val="16"/>
                <w:szCs w:val="16"/>
                <w:lang w:val="en-GB"/>
              </w:rPr>
            </w:pPr>
          </w:p>
          <w:p w:rsidR="00705B8E" w:rsidRPr="00A27DFB" w:rsidRDefault="00705B8E" w:rsidP="00EC1550">
            <w:pPr>
              <w:pStyle w:val="Normalaftertitle"/>
              <w:spacing w:after="260" w:line="260" w:lineRule="exact"/>
              <w:contextualSpacing/>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rPr>
              <w:t xml:space="preserve">The resources required are </w:t>
            </w:r>
            <w:r w:rsidRPr="00A27DFB">
              <w:rPr>
                <w:rFonts w:asciiTheme="minorHAnsi" w:hAnsiTheme="minorHAnsi" w:cstheme="minorHAnsi"/>
                <w:sz w:val="16"/>
                <w:szCs w:val="16"/>
                <w:lang w:val="en-US"/>
              </w:rPr>
              <w:lastRenderedPageBreak/>
              <w:t>expected to be manageable as re-use of earlier studies and contributions might limit the overall effort</w:t>
            </w:r>
            <w:proofErr w:type="gramStart"/>
            <w:r w:rsidRPr="00A27DFB">
              <w:rPr>
                <w:rFonts w:asciiTheme="minorHAnsi" w:hAnsiTheme="minorHAnsi" w:cstheme="minorHAnsi"/>
                <w:sz w:val="16"/>
                <w:szCs w:val="16"/>
                <w:lang w:val="en-US"/>
              </w:rPr>
              <w:t>..</w:t>
            </w:r>
            <w:proofErr w:type="gramEnd"/>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Category A</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 see above</w:t>
            </w:r>
          </w:p>
        </w:tc>
        <w:tc>
          <w:tcPr>
            <w:tcW w:w="155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roofErr w:type="spellStart"/>
            <w:r w:rsidRPr="00A27DFB">
              <w:rPr>
                <w:rFonts w:asciiTheme="minorHAnsi" w:hAnsiTheme="minorHAnsi" w:cstheme="minorHAnsi"/>
                <w:sz w:val="16"/>
                <w:szCs w:val="16"/>
                <w:lang w:val="en-GB" w:eastAsia="sv-SE"/>
              </w:rPr>
              <w:lastRenderedPageBreak/>
              <w:t>Catggory</w:t>
            </w:r>
            <w:proofErr w:type="spellEnd"/>
            <w:r w:rsidRPr="00A27DFB">
              <w:rPr>
                <w:rFonts w:asciiTheme="minorHAnsi" w:hAnsiTheme="minorHAnsi" w:cstheme="minorHAnsi"/>
                <w:sz w:val="16"/>
                <w:szCs w:val="16"/>
                <w:lang w:val="en-GB" w:eastAsia="sv-SE"/>
              </w:rPr>
              <w:t xml:space="preserve"> B</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 see above.</w:t>
            </w: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Category B</w:t>
            </w: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Category B</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Yes. Manageable for </w:t>
            </w:r>
            <w:r w:rsidRPr="00A27DFB">
              <w:rPr>
                <w:rFonts w:asciiTheme="minorHAnsi" w:hAnsiTheme="minorHAnsi" w:cstheme="minorHAnsi"/>
                <w:sz w:val="16"/>
                <w:szCs w:val="16"/>
                <w:lang w:val="en-GB" w:eastAsia="sv-SE"/>
              </w:rPr>
              <w:lastRenderedPageBreak/>
              <w:t>Member States and Sector Members</w:t>
            </w:r>
          </w:p>
        </w:tc>
        <w:tc>
          <w:tcPr>
            <w:tcW w:w="1563" w:type="dxa"/>
          </w:tcPr>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lastRenderedPageBreak/>
              <w:t>Category A in maritime bands</w:t>
            </w:r>
          </w:p>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 xml:space="preserve">Category C outside </w:t>
            </w:r>
            <w:r w:rsidRPr="00A27DFB">
              <w:rPr>
                <w:rFonts w:asciiTheme="minorHAnsi" w:hAnsiTheme="minorHAnsi" w:cstheme="minorHAnsi"/>
                <w:sz w:val="16"/>
                <w:szCs w:val="16"/>
                <w:lang w:val="en-GB"/>
              </w:rPr>
              <w:lastRenderedPageBreak/>
              <w:t xml:space="preserve">the maritime bands </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Manageable for Member States and Sector Members</w:t>
            </w:r>
          </w:p>
        </w:tc>
      </w:tr>
      <w:tr w:rsidR="00705B8E" w:rsidRPr="00A27DFB" w:rsidTr="00A27DFB">
        <w:tc>
          <w:tcPr>
            <w:tcW w:w="1653" w:type="dxa"/>
          </w:tcPr>
          <w:p w:rsidR="00705B8E" w:rsidRPr="00A27DFB" w:rsidRDefault="00705B8E" w:rsidP="00A27DFB">
            <w:pPr>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 xml:space="preserve">To the extent possible, agenda items arising from previous conferences, </w:t>
            </w:r>
            <w:r w:rsidRPr="00A27DFB">
              <w:rPr>
                <w:rFonts w:asciiTheme="minorHAnsi" w:hAnsiTheme="minorHAnsi" w:cstheme="minorHAnsi"/>
                <w:sz w:val="16"/>
                <w:szCs w:val="16"/>
                <w:lang w:val="en-GB" w:eastAsia="sv-SE"/>
              </w:rPr>
              <w:lastRenderedPageBreak/>
              <w:t>normally reflected in Resolutions, and which have been considered by two successive conferences, should not be considered, unless justified.</w:t>
            </w:r>
          </w:p>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eastAsia="sv-SE"/>
              </w:rPr>
              <w:lastRenderedPageBreak/>
              <w:t xml:space="preserve">Yes. WRC-12 Agenda has no item related to new spectrum </w:t>
            </w:r>
            <w:r w:rsidRPr="00A27DFB">
              <w:rPr>
                <w:rFonts w:asciiTheme="minorHAnsi" w:hAnsiTheme="minorHAnsi" w:cstheme="minorHAnsi"/>
                <w:sz w:val="16"/>
                <w:szCs w:val="16"/>
                <w:lang w:val="en-US" w:eastAsia="sv-SE"/>
              </w:rPr>
              <w:lastRenderedPageBreak/>
              <w:t>for IMT.</w:t>
            </w: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This item is new.</w:t>
            </w:r>
          </w:p>
        </w:tc>
        <w:tc>
          <w:tcPr>
            <w:tcW w:w="1574" w:type="dxa"/>
          </w:tcPr>
          <w:p w:rsidR="00705B8E" w:rsidRPr="00A27DFB" w:rsidRDefault="00705B8E" w:rsidP="00A27DFB">
            <w:pPr>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 xml:space="preserve">Yes. This is the first WAIC related WRC AI </w:t>
            </w:r>
            <w:proofErr w:type="gramStart"/>
            <w:r w:rsidRPr="00A27DFB">
              <w:rPr>
                <w:rFonts w:asciiTheme="minorHAnsi" w:hAnsiTheme="minorHAnsi" w:cstheme="minorHAnsi"/>
                <w:sz w:val="16"/>
                <w:szCs w:val="16"/>
                <w:lang w:val="en-GB"/>
              </w:rPr>
              <w:t>proposal .</w:t>
            </w:r>
            <w:proofErr w:type="gramEnd"/>
          </w:p>
        </w:tc>
        <w:tc>
          <w:tcPr>
            <w:tcW w:w="1407" w:type="dxa"/>
          </w:tcPr>
          <w:p w:rsidR="00705B8E" w:rsidRPr="00A27DFB" w:rsidRDefault="00705B8E" w:rsidP="00EC1550">
            <w:pPr>
              <w:jc w:val="left"/>
              <w:rPr>
                <w:rFonts w:asciiTheme="minorHAnsi" w:hAnsiTheme="minorHAnsi" w:cstheme="minorHAnsi"/>
                <w:sz w:val="16"/>
                <w:szCs w:val="16"/>
                <w:lang w:val="en-US"/>
              </w:rPr>
            </w:pPr>
            <w:r w:rsidRPr="00EC1550">
              <w:rPr>
                <w:rFonts w:asciiTheme="minorHAnsi" w:hAnsiTheme="minorHAnsi" w:cstheme="minorHAnsi"/>
                <w:sz w:val="16"/>
                <w:szCs w:val="16"/>
                <w:lang w:val="en-GB"/>
              </w:rPr>
              <w:t>This</w:t>
            </w:r>
            <w:r w:rsidRPr="00A27DFB">
              <w:rPr>
                <w:rFonts w:asciiTheme="minorHAnsi" w:hAnsiTheme="minorHAnsi" w:cstheme="minorHAnsi"/>
                <w:sz w:val="16"/>
                <w:szCs w:val="16"/>
                <w:lang w:val="en-US"/>
              </w:rPr>
              <w:t xml:space="preserve"> Agenda item is not included in the Agenda of WRC-12.</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NA</w:t>
            </w:r>
          </w:p>
        </w:tc>
        <w:tc>
          <w:tcPr>
            <w:tcW w:w="155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There has been no study seeking an extension of existing allocations </w:t>
            </w:r>
            <w:r w:rsidRPr="00A27DFB">
              <w:rPr>
                <w:rFonts w:asciiTheme="minorHAnsi" w:hAnsiTheme="minorHAnsi" w:cstheme="minorHAnsi"/>
                <w:sz w:val="16"/>
                <w:szCs w:val="16"/>
                <w:lang w:val="en-GB" w:eastAsia="sv-SE"/>
              </w:rPr>
              <w:lastRenderedPageBreak/>
              <w:t>to the FSS within the frame of the preparation of WRC-12.</w:t>
            </w: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Identification of additional AIS channels is discussed under AI </w:t>
            </w:r>
            <w:r w:rsidRPr="00A27DFB">
              <w:rPr>
                <w:rFonts w:asciiTheme="minorHAnsi" w:hAnsiTheme="minorHAnsi" w:cstheme="minorHAnsi"/>
                <w:sz w:val="16"/>
                <w:szCs w:val="16"/>
                <w:lang w:val="en-GB" w:eastAsia="sv-SE"/>
              </w:rPr>
              <w:lastRenderedPageBreak/>
              <w:t xml:space="preserve">1.10 at WRC-12. </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Not Item in WRC-12</w:t>
            </w:r>
          </w:p>
        </w:tc>
      </w:tr>
      <w:tr w:rsidR="00705B8E" w:rsidRPr="00EC1550" w:rsidTr="00A27DFB">
        <w:tc>
          <w:tcPr>
            <w:tcW w:w="1653" w:type="dxa"/>
          </w:tcPr>
          <w:p w:rsidR="00705B8E" w:rsidRPr="00A27DFB" w:rsidRDefault="00705B8E" w:rsidP="00A27DFB">
            <w:pPr>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In developing the conference agenda, efforts should be made to:</w:t>
            </w:r>
          </w:p>
          <w:p w:rsidR="00705B8E" w:rsidRPr="00A27DFB" w:rsidRDefault="00705B8E" w:rsidP="00A27DFB">
            <w:pPr>
              <w:pStyle w:val="enumlev1"/>
              <w:spacing w:after="260" w:line="260" w:lineRule="exact"/>
              <w:jc w:val="left"/>
              <w:rPr>
                <w:rFonts w:asciiTheme="minorHAnsi" w:eastAsia="MS Mincho" w:hAnsiTheme="minorHAnsi" w:cstheme="minorHAnsi"/>
                <w:sz w:val="16"/>
                <w:szCs w:val="16"/>
                <w:lang w:val="en-GB" w:eastAsia="sv-SE"/>
              </w:rPr>
            </w:pPr>
            <w:r w:rsidRPr="00A27DFB">
              <w:rPr>
                <w:rFonts w:asciiTheme="minorHAnsi" w:hAnsiTheme="minorHAnsi" w:cstheme="minorHAnsi"/>
                <w:i/>
                <w:iCs/>
                <w:color w:val="000000"/>
                <w:sz w:val="16"/>
                <w:szCs w:val="16"/>
                <w:lang w:val="en-GB" w:eastAsia="sv-SE"/>
              </w:rPr>
              <w:t>a)</w:t>
            </w:r>
            <w:r w:rsidRPr="00A27DFB">
              <w:rPr>
                <w:rFonts w:asciiTheme="minorHAnsi" w:hAnsiTheme="minorHAnsi" w:cstheme="minorHAnsi"/>
                <w:sz w:val="16"/>
                <w:szCs w:val="16"/>
                <w:lang w:val="en-GB" w:eastAsia="sv-SE"/>
              </w:rPr>
              <w:tab/>
              <w:t xml:space="preserve">encourage regional and interregional coordination on the </w:t>
            </w:r>
            <w:r w:rsidRPr="00A27DFB">
              <w:rPr>
                <w:rFonts w:asciiTheme="minorHAnsi" w:eastAsia="MS Mincho" w:hAnsiTheme="minorHAnsi" w:cstheme="minorHAnsi"/>
                <w:sz w:val="16"/>
                <w:szCs w:val="16"/>
                <w:lang w:val="en-GB" w:eastAsia="sv-SE"/>
              </w:rPr>
              <w:t xml:space="preserve">subjects to be considered </w:t>
            </w:r>
            <w:r w:rsidRPr="00A27DFB">
              <w:rPr>
                <w:rFonts w:asciiTheme="minorHAnsi" w:hAnsiTheme="minorHAnsi" w:cstheme="minorHAnsi"/>
                <w:sz w:val="16"/>
                <w:szCs w:val="16"/>
                <w:lang w:val="en-GB" w:eastAsia="sv-SE"/>
              </w:rPr>
              <w:t xml:space="preserve">in the preparatory process for the WRC, </w:t>
            </w:r>
            <w:r w:rsidRPr="00A27DFB">
              <w:rPr>
                <w:rFonts w:asciiTheme="minorHAnsi" w:eastAsia="MS Mincho" w:hAnsiTheme="minorHAnsi" w:cstheme="minorHAnsi"/>
                <w:sz w:val="16"/>
                <w:szCs w:val="16"/>
                <w:lang w:val="en-GB" w:eastAsia="sv-SE"/>
              </w:rPr>
              <w:t xml:space="preserve">in accordance with Resolution </w:t>
            </w:r>
            <w:r w:rsidRPr="00A27DFB">
              <w:rPr>
                <w:rFonts w:asciiTheme="minorHAnsi" w:eastAsia="MS Mincho" w:hAnsiTheme="minorHAnsi" w:cstheme="minorHAnsi"/>
                <w:b/>
                <w:bCs/>
                <w:color w:val="000000"/>
                <w:sz w:val="16"/>
                <w:szCs w:val="16"/>
                <w:lang w:val="en-GB" w:eastAsia="sv-SE"/>
              </w:rPr>
              <w:t>72</w:t>
            </w:r>
            <w:r w:rsidRPr="00A27DFB">
              <w:rPr>
                <w:rFonts w:asciiTheme="minorHAnsi" w:eastAsia="MS Mincho" w:hAnsiTheme="minorHAnsi" w:cstheme="minorHAnsi"/>
                <w:b/>
                <w:bCs/>
                <w:color w:val="000000"/>
                <w:sz w:val="16"/>
                <w:szCs w:val="16"/>
                <w:lang w:val="en-GB" w:eastAsia="ja-JP"/>
              </w:rPr>
              <w:t xml:space="preserve"> (Rev.WRC</w:t>
            </w:r>
            <w:r w:rsidRPr="00A27DFB">
              <w:rPr>
                <w:rFonts w:asciiTheme="minorHAnsi" w:eastAsia="MS Mincho" w:hAnsiTheme="minorHAnsi" w:cstheme="minorHAnsi"/>
                <w:b/>
                <w:bCs/>
                <w:color w:val="000000"/>
                <w:sz w:val="16"/>
                <w:szCs w:val="16"/>
                <w:lang w:val="en-GB" w:eastAsia="ja-JP"/>
              </w:rPr>
              <w:noBreakHyphen/>
              <w:t>07)</w:t>
            </w:r>
            <w:r w:rsidRPr="00A27DFB">
              <w:rPr>
                <w:rFonts w:asciiTheme="minorHAnsi" w:eastAsia="MS Mincho" w:hAnsiTheme="minorHAnsi" w:cstheme="minorHAnsi"/>
                <w:sz w:val="16"/>
                <w:szCs w:val="16"/>
                <w:lang w:val="en-GB" w:eastAsia="sv-SE"/>
              </w:rPr>
              <w:t xml:space="preserve"> and Resolution 80 </w:t>
            </w:r>
            <w:r w:rsidRPr="00A27DFB">
              <w:rPr>
                <w:rFonts w:asciiTheme="minorHAnsi" w:eastAsia="MS Mincho" w:hAnsiTheme="minorHAnsi" w:cstheme="minorHAnsi"/>
                <w:sz w:val="16"/>
                <w:szCs w:val="16"/>
                <w:lang w:val="en-GB" w:eastAsia="sv-SE"/>
              </w:rPr>
              <w:lastRenderedPageBreak/>
              <w:t>(Rev. Marrakesh, 2002) of the Plenipotentiary Conference;</w:t>
            </w:r>
          </w:p>
          <w:p w:rsidR="00705B8E" w:rsidRPr="00A27DFB" w:rsidRDefault="00705B8E" w:rsidP="00A27DFB">
            <w:pPr>
              <w:spacing w:after="260" w:line="260" w:lineRule="exact"/>
              <w:jc w:val="left"/>
              <w:rPr>
                <w:rFonts w:asciiTheme="minorHAnsi" w:hAnsiTheme="minorHAnsi" w:cstheme="minorHAnsi"/>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 Brought to CPG PT A September 2010.</w:t>
            </w: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Yes. Noted by CPG PTC and proposed to CPG PTA in December 2010. A similar IAP has been developed and accepted within CITEL</w:t>
            </w:r>
          </w:p>
        </w:tc>
        <w:tc>
          <w:tcPr>
            <w:tcW w:w="1407" w:type="dxa"/>
          </w:tcPr>
          <w:p w:rsidR="00705B8E" w:rsidRPr="00A27DFB" w:rsidRDefault="00705B8E" w:rsidP="00EC1550">
            <w:pPr>
              <w:pStyle w:val="Normalaftertitle"/>
              <w:spacing w:after="260" w:line="260" w:lineRule="exact"/>
              <w:contextualSpacing/>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rPr>
              <w:t>Yes. Already raised in CPG PTA, other regional groups will be encouraged to note and active support will be invited.</w:t>
            </w:r>
          </w:p>
        </w:tc>
        <w:tc>
          <w:tcPr>
            <w:tcW w:w="1203" w:type="dxa"/>
          </w:tcPr>
          <w:p w:rsidR="00705B8E" w:rsidRPr="00A27DFB" w:rsidRDefault="00705B8E" w:rsidP="00A27DFB">
            <w:pPr>
              <w:jc w:val="left"/>
              <w:rPr>
                <w:rFonts w:asciiTheme="minorHAnsi" w:hAnsiTheme="minorHAnsi" w:cstheme="minorHAnsi"/>
                <w:sz w:val="16"/>
                <w:szCs w:val="16"/>
                <w:lang w:eastAsia="sv-SE"/>
              </w:rPr>
            </w:pPr>
            <w:proofErr w:type="spellStart"/>
            <w:r w:rsidRPr="00A27DFB">
              <w:rPr>
                <w:rFonts w:asciiTheme="minorHAnsi" w:hAnsiTheme="minorHAnsi" w:cstheme="minorHAnsi"/>
                <w:sz w:val="16"/>
                <w:szCs w:val="16"/>
                <w:lang w:eastAsia="sv-SE"/>
              </w:rPr>
              <w:t>Yes</w:t>
            </w:r>
            <w:proofErr w:type="spellEnd"/>
          </w:p>
        </w:tc>
        <w:tc>
          <w:tcPr>
            <w:tcW w:w="155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Similar ideas are presented in CITEL administrations</w:t>
            </w:r>
          </w:p>
        </w:tc>
      </w:tr>
      <w:tr w:rsidR="00705B8E" w:rsidRPr="00EC1550"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i/>
                <w:iCs/>
                <w:color w:val="000000"/>
                <w:sz w:val="16"/>
                <w:szCs w:val="16"/>
                <w:lang w:val="en-GB" w:eastAsia="sv-SE"/>
              </w:rPr>
              <w:lastRenderedPageBreak/>
              <w:t>b)</w:t>
            </w:r>
            <w:r w:rsidRPr="00A27DFB">
              <w:rPr>
                <w:rFonts w:asciiTheme="minorHAnsi" w:hAnsiTheme="minorHAnsi" w:cstheme="minorHAnsi"/>
                <w:i/>
                <w:iCs/>
                <w:color w:val="000000"/>
                <w:sz w:val="16"/>
                <w:szCs w:val="16"/>
                <w:lang w:val="en-GB" w:eastAsia="sv-SE"/>
              </w:rPr>
              <w:tab/>
            </w:r>
            <w:r w:rsidRPr="00A27DFB">
              <w:rPr>
                <w:rFonts w:asciiTheme="minorHAnsi" w:hAnsiTheme="minorHAnsi" w:cstheme="minorHAnsi"/>
                <w:sz w:val="16"/>
                <w:szCs w:val="16"/>
                <w:lang w:val="en-GB" w:eastAsia="sv-SE"/>
              </w:rPr>
              <w:t>include, to the extent possible, agenda items that are prepared within regional groups, taking into account the equal right of individual administrations to submit proposals for agenda items;</w:t>
            </w:r>
          </w:p>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705B8E" w:rsidRPr="00A27DFB" w:rsidRDefault="00705B8E" w:rsidP="00A27DFB">
            <w:pPr>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Yes, proposals from CITEL, APT and individual Administrations are expected</w:t>
            </w:r>
          </w:p>
        </w:tc>
        <w:tc>
          <w:tcPr>
            <w:tcW w:w="140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Multiple proposals from different regional groups and individual administrations are expected for this Agenda Item</w:t>
            </w:r>
          </w:p>
        </w:tc>
        <w:tc>
          <w:tcPr>
            <w:tcW w:w="155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r>
      <w:tr w:rsidR="00705B8E" w:rsidRPr="00EC1550"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i/>
                <w:iCs/>
                <w:color w:val="000000"/>
                <w:sz w:val="16"/>
                <w:szCs w:val="16"/>
                <w:lang w:val="en-GB" w:eastAsia="sv-SE"/>
              </w:rPr>
              <w:t>c)</w:t>
            </w:r>
            <w:r w:rsidRPr="00A27DFB">
              <w:rPr>
                <w:rFonts w:asciiTheme="minorHAnsi" w:hAnsiTheme="minorHAnsi" w:cstheme="minorHAnsi"/>
                <w:i/>
                <w:iCs/>
                <w:color w:val="000000"/>
                <w:sz w:val="16"/>
                <w:szCs w:val="16"/>
                <w:lang w:val="en-GB" w:eastAsia="sv-SE"/>
              </w:rPr>
              <w:tab/>
            </w:r>
            <w:r w:rsidRPr="00A27DFB">
              <w:rPr>
                <w:rFonts w:asciiTheme="minorHAnsi" w:hAnsiTheme="minorHAnsi" w:cstheme="minorHAnsi"/>
                <w:sz w:val="16"/>
                <w:szCs w:val="16"/>
                <w:lang w:val="en-GB" w:eastAsia="sv-SE"/>
              </w:rPr>
              <w:t>ensure that proposals are submitted with an indication of priority;</w:t>
            </w:r>
          </w:p>
          <w:p w:rsidR="00705B8E" w:rsidRPr="00A27DFB" w:rsidRDefault="00705B8E" w:rsidP="00A27DFB">
            <w:pPr>
              <w:pStyle w:val="enumlev1"/>
              <w:spacing w:after="260" w:line="260" w:lineRule="exact"/>
              <w:jc w:val="left"/>
              <w:rPr>
                <w:rFonts w:asciiTheme="minorHAnsi" w:hAnsiTheme="minorHAnsi" w:cstheme="minorHAnsi"/>
                <w:i/>
                <w:iCs/>
                <w:color w:val="000000"/>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High priority because of improvements in efficiency and safety. Intended date (2015/2016) for implementation.</w:t>
            </w:r>
          </w:p>
        </w:tc>
        <w:tc>
          <w:tcPr>
            <w:tcW w:w="140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The allocation is needed to allow long term planning and development </w:t>
            </w:r>
            <w:r w:rsidRPr="00A27DFB">
              <w:rPr>
                <w:rFonts w:asciiTheme="minorHAnsi" w:hAnsiTheme="minorHAnsi" w:cstheme="minorHAnsi"/>
                <w:sz w:val="16"/>
                <w:szCs w:val="16"/>
                <w:lang w:val="en-GB" w:eastAsia="sv-SE"/>
              </w:rPr>
              <w:lastRenderedPageBreak/>
              <w:t>of EESS applications (PTB)</w:t>
            </w:r>
          </w:p>
        </w:tc>
        <w:tc>
          <w:tcPr>
            <w:tcW w:w="155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r>
      <w:tr w:rsidR="00705B8E" w:rsidRPr="00EC1550"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i/>
                <w:iCs/>
                <w:color w:val="000000"/>
                <w:sz w:val="16"/>
                <w:szCs w:val="16"/>
                <w:lang w:val="en-GB" w:eastAsia="sv-SE"/>
              </w:rPr>
              <w:lastRenderedPageBreak/>
              <w:t>d)</w:t>
            </w:r>
            <w:r w:rsidRPr="00A27DFB">
              <w:rPr>
                <w:rFonts w:asciiTheme="minorHAnsi" w:hAnsiTheme="minorHAnsi" w:cstheme="minorHAnsi"/>
                <w:sz w:val="16"/>
                <w:szCs w:val="16"/>
                <w:lang w:val="en-GB" w:eastAsia="sv-SE"/>
              </w:rPr>
              <w:tab/>
              <w:t>include in proposals an assessment of their financial and other resource implications (with the assistance of the Radiocommunication Bureau) to ensure that they are within the agreed budgetary limits for ITU</w:t>
            </w:r>
            <w:r w:rsidRPr="00A27DFB">
              <w:rPr>
                <w:rFonts w:asciiTheme="minorHAnsi" w:hAnsiTheme="minorHAnsi" w:cstheme="minorHAnsi"/>
                <w:sz w:val="16"/>
                <w:szCs w:val="16"/>
                <w:lang w:val="en-GB" w:eastAsia="sv-SE"/>
              </w:rPr>
              <w:noBreakHyphen/>
              <w:t>R;</w:t>
            </w:r>
          </w:p>
          <w:p w:rsidR="00705B8E" w:rsidRPr="00A27DFB" w:rsidRDefault="00705B8E" w:rsidP="00A27DFB">
            <w:pPr>
              <w:spacing w:after="260" w:line="260" w:lineRule="exact"/>
              <w:jc w:val="left"/>
              <w:rPr>
                <w:rFonts w:asciiTheme="minorHAnsi" w:hAnsiTheme="minorHAnsi" w:cstheme="minorHAnsi"/>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p>
        </w:tc>
        <w:tc>
          <w:tcPr>
            <w:tcW w:w="140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rPr>
              <w:t xml:space="preserve"> </w:t>
            </w:r>
          </w:p>
        </w:tc>
        <w:tc>
          <w:tcPr>
            <w:tcW w:w="155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US"/>
              </w:rPr>
            </w:pP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US"/>
              </w:rPr>
            </w:pP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US"/>
              </w:rPr>
            </w:pPr>
            <w:r w:rsidRPr="00A27DFB">
              <w:rPr>
                <w:rFonts w:asciiTheme="minorHAnsi" w:hAnsiTheme="minorHAnsi" w:cstheme="minorHAnsi"/>
                <w:sz w:val="16"/>
                <w:szCs w:val="16"/>
                <w:lang w:val="en-GB" w:eastAsia="sv-SE"/>
              </w:rPr>
              <w:t xml:space="preserve"> </w:t>
            </w: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p w:rsidR="00705B8E" w:rsidRPr="00A27DFB" w:rsidRDefault="00705B8E" w:rsidP="00A27DFB">
            <w:pPr>
              <w:jc w:val="left"/>
              <w:rPr>
                <w:rFonts w:asciiTheme="minorHAnsi" w:hAnsiTheme="minorHAnsi" w:cstheme="minorHAnsi"/>
                <w:sz w:val="16"/>
                <w:szCs w:val="16"/>
                <w:lang w:val="en-GB" w:eastAsia="sv-SE"/>
              </w:rPr>
            </w:pPr>
          </w:p>
        </w:tc>
      </w:tr>
      <w:tr w:rsidR="00705B8E" w:rsidRPr="00A27DFB"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i/>
                <w:iCs/>
                <w:color w:val="000000"/>
                <w:sz w:val="16"/>
                <w:szCs w:val="16"/>
                <w:lang w:val="en-GB" w:eastAsia="sv-SE"/>
              </w:rPr>
              <w:t>e)</w:t>
            </w:r>
            <w:r w:rsidRPr="00A27DFB">
              <w:rPr>
                <w:rFonts w:asciiTheme="minorHAnsi" w:hAnsiTheme="minorHAnsi" w:cstheme="minorHAnsi"/>
                <w:sz w:val="16"/>
                <w:szCs w:val="16"/>
                <w:lang w:val="en-GB" w:eastAsia="sv-SE"/>
              </w:rPr>
              <w:tab/>
              <w:t xml:space="preserve">ensure that the objectives and scope of proposed agenda items are complete and </w:t>
            </w:r>
            <w:r w:rsidRPr="00A27DFB">
              <w:rPr>
                <w:rFonts w:asciiTheme="minorHAnsi" w:hAnsiTheme="minorHAnsi" w:cstheme="minorHAnsi"/>
                <w:sz w:val="16"/>
                <w:szCs w:val="16"/>
                <w:lang w:val="en-GB" w:eastAsia="sv-SE"/>
              </w:rPr>
              <w:lastRenderedPageBreak/>
              <w:t>unambiguous;</w:t>
            </w:r>
          </w:p>
          <w:p w:rsidR="00705B8E" w:rsidRPr="00A27DFB" w:rsidRDefault="00705B8E" w:rsidP="00A27DFB">
            <w:pPr>
              <w:spacing w:after="260" w:line="260" w:lineRule="exact"/>
              <w:jc w:val="left"/>
              <w:rPr>
                <w:rFonts w:asciiTheme="minorHAnsi" w:hAnsiTheme="minorHAnsi" w:cstheme="minorHAnsi"/>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Yes. Objectives and scope defined clearly in the proposal.</w:t>
            </w: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Yes. Objectives and scope are clear and unambiguous.</w:t>
            </w:r>
          </w:p>
        </w:tc>
        <w:tc>
          <w:tcPr>
            <w:tcW w:w="1407" w:type="dxa"/>
          </w:tcPr>
          <w:p w:rsidR="00705B8E" w:rsidRPr="00A27DFB" w:rsidRDefault="00705B8E" w:rsidP="00EC1550">
            <w:pPr>
              <w:pStyle w:val="Normalaftertitle"/>
              <w:spacing w:after="260" w:line="260" w:lineRule="exact"/>
              <w:contextualSpacing/>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rPr>
              <w:t>Yes. Objectives and scope defined clearly in the proposal.</w:t>
            </w: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(PT B)</w:t>
            </w:r>
          </w:p>
        </w:tc>
        <w:tc>
          <w:tcPr>
            <w:tcW w:w="1550" w:type="dxa"/>
          </w:tcPr>
          <w:p w:rsidR="00705B8E" w:rsidRPr="00A27DFB" w:rsidRDefault="00705B8E" w:rsidP="00A27DFB">
            <w:pPr>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 Proposed wording is clear.</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It is furthermore proposed to restrict the studies on additional FSS </w:t>
            </w:r>
            <w:r w:rsidRPr="00A27DFB">
              <w:rPr>
                <w:rFonts w:asciiTheme="minorHAnsi" w:hAnsiTheme="minorHAnsi" w:cstheme="minorHAnsi"/>
                <w:sz w:val="16"/>
                <w:szCs w:val="16"/>
                <w:lang w:val="en-GB" w:eastAsia="sv-SE"/>
              </w:rPr>
              <w:lastRenderedPageBreak/>
              <w:t>allocation to the bands 7.15-7.25 GHz and 8.4-8.5 GHz in order to limit the number of studies to be carried out.</w:t>
            </w: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 xml:space="preserve">Yes </w:t>
            </w: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See proposal</w:t>
            </w: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See proposal</w:t>
            </w:r>
          </w:p>
        </w:tc>
      </w:tr>
      <w:tr w:rsidR="00705B8E" w:rsidRPr="00EC1550"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i/>
                <w:iCs/>
                <w:color w:val="000000"/>
                <w:sz w:val="16"/>
                <w:szCs w:val="16"/>
                <w:lang w:val="en-GB" w:eastAsia="sv-SE"/>
              </w:rPr>
              <w:lastRenderedPageBreak/>
              <w:t>f</w:t>
            </w:r>
            <w:r w:rsidRPr="00A27DFB">
              <w:rPr>
                <w:rFonts w:asciiTheme="minorHAnsi" w:hAnsiTheme="minorHAnsi" w:cstheme="minorHAnsi"/>
                <w:color w:val="000000"/>
                <w:sz w:val="16"/>
                <w:szCs w:val="16"/>
                <w:lang w:val="en-GB" w:eastAsia="sv-SE"/>
              </w:rPr>
              <w:t> </w:t>
            </w:r>
            <w:r w:rsidRPr="00A27DFB">
              <w:rPr>
                <w:rFonts w:asciiTheme="minorHAnsi" w:hAnsiTheme="minorHAnsi" w:cstheme="minorHAnsi"/>
                <w:i/>
                <w:iCs/>
                <w:color w:val="000000"/>
                <w:sz w:val="16"/>
                <w:szCs w:val="16"/>
                <w:lang w:val="en-GB" w:eastAsia="sv-SE"/>
              </w:rPr>
              <w:t>)</w:t>
            </w:r>
            <w:r w:rsidRPr="00A27DFB">
              <w:rPr>
                <w:rFonts w:asciiTheme="minorHAnsi" w:hAnsiTheme="minorHAnsi" w:cstheme="minorHAnsi"/>
                <w:sz w:val="16"/>
                <w:szCs w:val="16"/>
                <w:lang w:val="en-GB" w:eastAsia="sv-SE"/>
              </w:rPr>
              <w:tab/>
              <w:t>take into account the status of the ITU</w:t>
            </w:r>
            <w:r w:rsidRPr="00A27DFB">
              <w:rPr>
                <w:rFonts w:asciiTheme="minorHAnsi" w:hAnsiTheme="minorHAnsi" w:cstheme="minorHAnsi"/>
                <w:sz w:val="16"/>
                <w:szCs w:val="16"/>
                <w:lang w:val="en-GB" w:eastAsia="sv-SE"/>
              </w:rPr>
              <w:noBreakHyphen/>
              <w:t>R studies related to the potential agenda items before considering them as possible candidates for future agendas;</w:t>
            </w:r>
          </w:p>
          <w:p w:rsidR="00705B8E" w:rsidRPr="00A27DFB" w:rsidRDefault="00705B8E" w:rsidP="00A27DFB">
            <w:pPr>
              <w:spacing w:after="260" w:line="260" w:lineRule="exact"/>
              <w:jc w:val="left"/>
              <w:rPr>
                <w:rFonts w:asciiTheme="minorHAnsi" w:hAnsiTheme="minorHAnsi" w:cstheme="minorHAnsi"/>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Yes. Sharing studies and review of spectrum requirements already ongoing in ITU-R. Conference required </w:t>
            </w:r>
            <w:proofErr w:type="gramStart"/>
            <w:r w:rsidRPr="00A27DFB">
              <w:rPr>
                <w:rFonts w:asciiTheme="minorHAnsi" w:hAnsiTheme="minorHAnsi" w:cstheme="minorHAnsi"/>
                <w:sz w:val="16"/>
                <w:szCs w:val="16"/>
                <w:lang w:val="en-GB" w:eastAsia="sv-SE"/>
              </w:rPr>
              <w:t>to modify</w:t>
            </w:r>
            <w:proofErr w:type="gramEnd"/>
            <w:r w:rsidRPr="00A27DFB">
              <w:rPr>
                <w:rFonts w:asciiTheme="minorHAnsi" w:hAnsiTheme="minorHAnsi" w:cstheme="minorHAnsi"/>
                <w:sz w:val="16"/>
                <w:szCs w:val="16"/>
                <w:lang w:val="en-GB" w:eastAsia="sv-SE"/>
              </w:rPr>
              <w:t xml:space="preserve"> the table of allocations in RR.</w:t>
            </w: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Yes. Status of studies regarding WRC-12 AI 1.4 (AM(R</w:t>
            </w:r>
            <w:proofErr w:type="gramStart"/>
            <w:r w:rsidRPr="00A27DFB">
              <w:rPr>
                <w:rFonts w:asciiTheme="minorHAnsi" w:hAnsiTheme="minorHAnsi" w:cstheme="minorHAnsi"/>
                <w:sz w:val="16"/>
                <w:szCs w:val="16"/>
                <w:lang w:val="en-GB"/>
              </w:rPr>
              <w:t>)S</w:t>
            </w:r>
            <w:proofErr w:type="gramEnd"/>
            <w:r w:rsidRPr="00A27DFB">
              <w:rPr>
                <w:rFonts w:asciiTheme="minorHAnsi" w:hAnsiTheme="minorHAnsi" w:cstheme="minorHAnsi"/>
                <w:sz w:val="16"/>
                <w:szCs w:val="16"/>
                <w:lang w:val="en-GB"/>
              </w:rPr>
              <w:t xml:space="preserve"> spectrum) and WAIC related reports have been considered.</w:t>
            </w:r>
          </w:p>
        </w:tc>
        <w:tc>
          <w:tcPr>
            <w:tcW w:w="1407" w:type="dxa"/>
          </w:tcPr>
          <w:p w:rsidR="00705B8E" w:rsidRPr="00A27DFB" w:rsidRDefault="00705B8E" w:rsidP="00EC1550">
            <w:pPr>
              <w:pStyle w:val="Normalaftertitle"/>
              <w:spacing w:after="260" w:line="260" w:lineRule="exact"/>
              <w:contextualSpacing/>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US"/>
              </w:rPr>
              <w:t>Yes. Existing ITU-R sharing studies between EESS/SRS and other services, including those performed around 9.6 GHz, will be taken into account.</w:t>
            </w: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50" w:type="dxa"/>
          </w:tcPr>
          <w:p w:rsidR="00705B8E" w:rsidRPr="00A27DFB" w:rsidRDefault="00705B8E" w:rsidP="00A27DFB">
            <w:pPr>
              <w:pStyle w:val="Normalaftertitle"/>
              <w:spacing w:before="0"/>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Studies conducted within ITU-R WP </w:t>
            </w:r>
            <w:smartTag w:uri="urn:schemas-microsoft-com:office:smarttags" w:element="metricconverter">
              <w:smartTagPr>
                <w:attr w:name="ProductID" w:val="4C"/>
              </w:smartTagPr>
              <w:r w:rsidRPr="00A27DFB">
                <w:rPr>
                  <w:rFonts w:asciiTheme="minorHAnsi" w:hAnsiTheme="minorHAnsi" w:cstheme="minorHAnsi"/>
                  <w:sz w:val="16"/>
                  <w:szCs w:val="16"/>
                  <w:lang w:val="en-GB" w:eastAsia="sv-SE"/>
                </w:rPr>
                <w:t>4C</w:t>
              </w:r>
            </w:smartTag>
            <w:r w:rsidRPr="00A27DFB">
              <w:rPr>
                <w:rFonts w:asciiTheme="minorHAnsi" w:hAnsiTheme="minorHAnsi" w:cstheme="minorHAnsi"/>
                <w:sz w:val="16"/>
                <w:szCs w:val="16"/>
                <w:lang w:val="en-GB" w:eastAsia="sv-SE"/>
              </w:rPr>
              <w:t xml:space="preserve"> in connection with agenda item 1.25 (WRC-2012) have in particular concluded that sharing between systems in the mobile-satellite service (MSS) and systems in the space research service (SRS) in the bands 7145-7235 MHz and 8400-8500 MHz is not feasible.</w:t>
            </w:r>
          </w:p>
          <w:p w:rsidR="00705B8E" w:rsidRPr="00A27DFB" w:rsidRDefault="00705B8E" w:rsidP="00A27DFB">
            <w:pPr>
              <w:pStyle w:val="Normalaftertitle"/>
              <w:spacing w:before="0"/>
              <w:jc w:val="left"/>
              <w:rPr>
                <w:rFonts w:asciiTheme="minorHAnsi" w:hAnsiTheme="minorHAnsi" w:cstheme="minorHAnsi"/>
                <w:sz w:val="16"/>
                <w:szCs w:val="16"/>
                <w:lang w:val="en-GB" w:eastAsia="sv-SE"/>
              </w:rPr>
            </w:pPr>
          </w:p>
          <w:p w:rsidR="00705B8E" w:rsidRPr="00A27DFB" w:rsidRDefault="00705B8E" w:rsidP="00A27DFB">
            <w:pPr>
              <w:pStyle w:val="Normalaftertitle"/>
              <w:spacing w:before="0"/>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The proposed resolution therefore:</w:t>
            </w:r>
          </w:p>
          <w:p w:rsidR="00705B8E" w:rsidRPr="00A27DFB" w:rsidRDefault="00705B8E" w:rsidP="00A27DFB">
            <w:pPr>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stipulates that coordination between SRS and FSS systems may only be achieved if both systems employ earth stations at fixed known locations,</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 xml:space="preserve">- proposes to limit </w:t>
            </w:r>
            <w:r w:rsidRPr="00A27DFB">
              <w:rPr>
                <w:rFonts w:asciiTheme="minorHAnsi" w:hAnsiTheme="minorHAnsi" w:cstheme="minorHAnsi"/>
                <w:sz w:val="16"/>
                <w:szCs w:val="16"/>
                <w:lang w:val="en-GB" w:eastAsia="sv-SE"/>
              </w:rPr>
              <w:lastRenderedPageBreak/>
              <w:t>the studies relating to the maritime-mobile satellite service to the bands 7375-7750 MHz (space-to-Earth) and 8025-8400 MHz (Earth-to-space).</w:t>
            </w:r>
          </w:p>
        </w:tc>
        <w:tc>
          <w:tcPr>
            <w:tcW w:w="1701" w:type="dxa"/>
          </w:tcPr>
          <w:p w:rsidR="00705B8E" w:rsidRPr="00A27DFB" w:rsidRDefault="00705B8E" w:rsidP="00A27DFB">
            <w:pPr>
              <w:pStyle w:val="Normalaftertitle"/>
              <w:spacing w:before="0"/>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lastRenderedPageBreak/>
              <w:t xml:space="preserve">Recommendation ITU-R M.1478-1 already provides protection requirements against interference on </w:t>
            </w:r>
            <w:proofErr w:type="gramStart"/>
            <w:r w:rsidRPr="00A27DFB">
              <w:rPr>
                <w:rFonts w:asciiTheme="minorHAnsi" w:hAnsiTheme="minorHAnsi" w:cstheme="minorHAnsi"/>
                <w:sz w:val="16"/>
                <w:szCs w:val="16"/>
                <w:lang w:val="en-GB" w:eastAsia="sv-SE"/>
              </w:rPr>
              <w:t>receivers</w:t>
            </w:r>
            <w:proofErr w:type="gramEnd"/>
            <w:r w:rsidRPr="00A27DFB">
              <w:rPr>
                <w:rFonts w:asciiTheme="minorHAnsi" w:hAnsiTheme="minorHAnsi" w:cstheme="minorHAnsi"/>
                <w:sz w:val="16"/>
                <w:szCs w:val="16"/>
                <w:lang w:val="en-GB" w:eastAsia="sv-SE"/>
              </w:rPr>
              <w:t xml:space="preserve"> on-board operational satellites.</w:t>
            </w:r>
          </w:p>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However, these protection criteria do not adequately address the consequence of relatively high power emissions in adjacent bands that need to be investigated within the frame of a new agenda item.</w:t>
            </w: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r>
      <w:tr w:rsidR="00705B8E" w:rsidRPr="00A27DFB"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i/>
                <w:iCs/>
                <w:color w:val="000000"/>
                <w:sz w:val="16"/>
                <w:szCs w:val="16"/>
                <w:lang w:val="en-GB" w:eastAsia="sv-SE"/>
              </w:rPr>
              <w:lastRenderedPageBreak/>
              <w:t>g)</w:t>
            </w:r>
            <w:r w:rsidRPr="00A27DFB">
              <w:rPr>
                <w:rFonts w:asciiTheme="minorHAnsi" w:hAnsiTheme="minorHAnsi" w:cstheme="minorHAnsi"/>
                <w:sz w:val="16"/>
                <w:szCs w:val="16"/>
                <w:lang w:val="en-GB" w:eastAsia="sv-SE"/>
              </w:rPr>
              <w:tab/>
            </w:r>
            <w:proofErr w:type="gramStart"/>
            <w:r w:rsidRPr="00A27DFB">
              <w:rPr>
                <w:rFonts w:asciiTheme="minorHAnsi" w:hAnsiTheme="minorHAnsi" w:cstheme="minorHAnsi"/>
                <w:sz w:val="16"/>
                <w:szCs w:val="16"/>
                <w:lang w:val="en-GB" w:eastAsia="sv-SE"/>
              </w:rPr>
              <w:t>distinguish</w:t>
            </w:r>
            <w:proofErr w:type="gramEnd"/>
            <w:r w:rsidRPr="00A27DFB">
              <w:rPr>
                <w:rFonts w:asciiTheme="minorHAnsi" w:hAnsiTheme="minorHAnsi" w:cstheme="minorHAnsi"/>
                <w:sz w:val="16"/>
                <w:szCs w:val="16"/>
                <w:lang w:val="en-GB" w:eastAsia="sv-SE"/>
              </w:rPr>
              <w:t xml:space="preserve"> between items intended to result in changes to the Radio Regulations and those dealing solely with the progress of studies.</w:t>
            </w:r>
          </w:p>
          <w:p w:rsidR="00705B8E" w:rsidRPr="00A27DFB" w:rsidRDefault="00705B8E" w:rsidP="00A27DFB">
            <w:pPr>
              <w:spacing w:after="260" w:line="260" w:lineRule="exact"/>
              <w:jc w:val="left"/>
              <w:rPr>
                <w:rFonts w:asciiTheme="minorHAnsi" w:hAnsiTheme="minorHAnsi" w:cstheme="minorHAnsi"/>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rPr>
              <w:t>Yes. Changes to RR expected.</w:t>
            </w: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rPr>
              <w:t>Yes. Changes to RR expected.</w:t>
            </w: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Yes. Changes to RR expected.</w:t>
            </w:r>
          </w:p>
        </w:tc>
        <w:tc>
          <w:tcPr>
            <w:tcW w:w="140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rPr>
              <w:t>Yes. Changes to RR expected.</w:t>
            </w: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rPr>
              <w:t>Yes. Changes to RR expected.</w:t>
            </w:r>
          </w:p>
        </w:tc>
        <w:tc>
          <w:tcPr>
            <w:tcW w:w="155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rPr>
              <w:t>Yes. Changes to RR expected.</w:t>
            </w: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rPr>
              <w:t>Yes. Changes to RR expected.</w:t>
            </w: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Changes to RRs envisaged</w:t>
            </w: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Changes to RRs envisaged</w:t>
            </w:r>
          </w:p>
        </w:tc>
      </w:tr>
      <w:tr w:rsidR="00705B8E" w:rsidRPr="00A27DFB" w:rsidTr="00A27DFB">
        <w:tc>
          <w:tcPr>
            <w:tcW w:w="1653" w:type="dxa"/>
          </w:tcPr>
          <w:p w:rsidR="00705B8E" w:rsidRPr="00A27DFB" w:rsidRDefault="00705B8E" w:rsidP="00A27DFB">
            <w:pPr>
              <w:pStyle w:val="enumlev1"/>
              <w:spacing w:after="260" w:line="260" w:lineRule="exact"/>
              <w:jc w:val="left"/>
              <w:rPr>
                <w:rFonts w:asciiTheme="minorHAnsi" w:hAnsiTheme="minorHAnsi" w:cstheme="minorHAnsi"/>
                <w:color w:val="000000"/>
                <w:sz w:val="16"/>
                <w:szCs w:val="16"/>
                <w:lang w:val="en-GB" w:eastAsia="sv-SE"/>
              </w:rPr>
            </w:pPr>
            <w:r w:rsidRPr="00A27DFB">
              <w:rPr>
                <w:rFonts w:asciiTheme="minorHAnsi" w:hAnsiTheme="minorHAnsi" w:cstheme="minorHAnsi"/>
                <w:color w:val="000000"/>
                <w:sz w:val="16"/>
                <w:szCs w:val="16"/>
                <w:lang w:val="en-GB" w:eastAsia="sv-SE"/>
              </w:rPr>
              <w:t>Annex 2 template</w:t>
            </w: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w:t>
            </w: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w:t>
            </w: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r w:rsidRPr="00A27DFB">
              <w:rPr>
                <w:rFonts w:asciiTheme="minorHAnsi" w:hAnsiTheme="minorHAnsi" w:cstheme="minorHAnsi"/>
                <w:sz w:val="16"/>
                <w:szCs w:val="16"/>
                <w:lang w:val="en-GB"/>
              </w:rPr>
              <w:t>Yes</w:t>
            </w:r>
          </w:p>
        </w:tc>
        <w:tc>
          <w:tcPr>
            <w:tcW w:w="1407" w:type="dxa"/>
          </w:tcPr>
          <w:p w:rsidR="00705B8E" w:rsidRPr="00A27DFB" w:rsidRDefault="00A27DFB" w:rsidP="00A27DFB">
            <w:pPr>
              <w:pStyle w:val="Normalaftertitle"/>
              <w:spacing w:after="260" w:line="260" w:lineRule="exact"/>
              <w:jc w:val="left"/>
              <w:rPr>
                <w:rFonts w:asciiTheme="minorHAnsi" w:hAnsiTheme="minorHAnsi" w:cstheme="minorHAnsi"/>
                <w:sz w:val="16"/>
                <w:szCs w:val="16"/>
                <w:lang w:val="en-GB" w:eastAsia="sv-SE"/>
              </w:rPr>
            </w:pPr>
            <w:r>
              <w:rPr>
                <w:rFonts w:asciiTheme="minorHAnsi" w:hAnsiTheme="minorHAnsi" w:cstheme="minorHAnsi"/>
                <w:sz w:val="16"/>
                <w:szCs w:val="16"/>
                <w:lang w:val="en-GB" w:eastAsia="sv-SE"/>
              </w:rPr>
              <w:t>Y</w:t>
            </w:r>
            <w:r w:rsidR="00705B8E" w:rsidRPr="00A27DFB">
              <w:rPr>
                <w:rFonts w:asciiTheme="minorHAnsi" w:hAnsiTheme="minorHAnsi" w:cstheme="minorHAnsi"/>
                <w:sz w:val="16"/>
                <w:szCs w:val="16"/>
                <w:lang w:val="en-GB" w:eastAsia="sv-SE"/>
              </w:rPr>
              <w:t xml:space="preserve">es </w:t>
            </w:r>
          </w:p>
        </w:tc>
        <w:tc>
          <w:tcPr>
            <w:tcW w:w="1203" w:type="dxa"/>
          </w:tcPr>
          <w:p w:rsidR="00705B8E" w:rsidRPr="00A27DFB" w:rsidRDefault="00A27DFB" w:rsidP="00A27DFB">
            <w:pPr>
              <w:pStyle w:val="Normalaftertitle"/>
              <w:spacing w:after="260" w:line="260" w:lineRule="exact"/>
              <w:jc w:val="left"/>
              <w:rPr>
                <w:rFonts w:asciiTheme="minorHAnsi" w:hAnsiTheme="minorHAnsi" w:cstheme="minorHAnsi"/>
                <w:sz w:val="16"/>
                <w:szCs w:val="16"/>
                <w:lang w:val="en-GB" w:eastAsia="sv-SE"/>
              </w:rPr>
            </w:pPr>
            <w:r>
              <w:rPr>
                <w:rFonts w:asciiTheme="minorHAnsi" w:hAnsiTheme="minorHAnsi" w:cstheme="minorHAnsi"/>
                <w:sz w:val="16"/>
                <w:szCs w:val="16"/>
                <w:lang w:val="en-GB" w:eastAsia="sv-SE"/>
              </w:rPr>
              <w:t>Y</w:t>
            </w:r>
            <w:r w:rsidR="00705B8E" w:rsidRPr="00A27DFB">
              <w:rPr>
                <w:rFonts w:asciiTheme="minorHAnsi" w:hAnsiTheme="minorHAnsi" w:cstheme="minorHAnsi"/>
                <w:sz w:val="16"/>
                <w:szCs w:val="16"/>
                <w:lang w:val="en-GB" w:eastAsia="sv-SE"/>
              </w:rPr>
              <w:t>es</w:t>
            </w:r>
          </w:p>
        </w:tc>
        <w:tc>
          <w:tcPr>
            <w:tcW w:w="155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w:t>
            </w: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w:t>
            </w: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w:t>
            </w: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r w:rsidRPr="00A27DFB">
              <w:rPr>
                <w:rFonts w:asciiTheme="minorHAnsi" w:hAnsiTheme="minorHAnsi" w:cstheme="minorHAnsi"/>
                <w:sz w:val="16"/>
                <w:szCs w:val="16"/>
                <w:lang w:val="en-GB" w:eastAsia="sv-SE"/>
              </w:rPr>
              <w:t>Yes</w:t>
            </w:r>
          </w:p>
        </w:tc>
      </w:tr>
      <w:tr w:rsidR="00705B8E" w:rsidRPr="00A27DFB" w:rsidTr="00A27DFB">
        <w:tc>
          <w:tcPr>
            <w:tcW w:w="1653" w:type="dxa"/>
          </w:tcPr>
          <w:p w:rsidR="00705B8E" w:rsidRPr="00A27DFB" w:rsidRDefault="00705B8E" w:rsidP="00A27DFB">
            <w:pPr>
              <w:pStyle w:val="enumlev1"/>
              <w:spacing w:after="260" w:line="260" w:lineRule="exact"/>
              <w:ind w:left="0" w:firstLine="0"/>
              <w:jc w:val="left"/>
              <w:rPr>
                <w:rFonts w:asciiTheme="minorHAnsi" w:hAnsiTheme="minorHAnsi" w:cstheme="minorHAnsi"/>
                <w:color w:val="000000"/>
                <w:sz w:val="16"/>
                <w:szCs w:val="16"/>
                <w:lang w:val="en-GB" w:eastAsia="sv-SE"/>
              </w:rPr>
            </w:pPr>
          </w:p>
        </w:tc>
        <w:tc>
          <w:tcPr>
            <w:tcW w:w="128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276"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74" w:type="dxa"/>
          </w:tcPr>
          <w:p w:rsidR="00705B8E" w:rsidRPr="00A27DFB" w:rsidRDefault="00705B8E" w:rsidP="00A27DFB">
            <w:pPr>
              <w:pStyle w:val="Normalaftertitle"/>
              <w:jc w:val="left"/>
              <w:rPr>
                <w:rFonts w:asciiTheme="minorHAnsi" w:hAnsiTheme="minorHAnsi" w:cstheme="minorHAnsi"/>
                <w:sz w:val="16"/>
                <w:szCs w:val="16"/>
                <w:lang w:val="en-GB"/>
              </w:rPr>
            </w:pPr>
          </w:p>
        </w:tc>
        <w:tc>
          <w:tcPr>
            <w:tcW w:w="1407"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20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5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701"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0"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c>
          <w:tcPr>
            <w:tcW w:w="1563" w:type="dxa"/>
          </w:tcPr>
          <w:p w:rsidR="00705B8E" w:rsidRPr="00A27DFB" w:rsidRDefault="00705B8E" w:rsidP="00A27DFB">
            <w:pPr>
              <w:pStyle w:val="Normalaftertitle"/>
              <w:spacing w:after="260" w:line="260" w:lineRule="exact"/>
              <w:jc w:val="left"/>
              <w:rPr>
                <w:rFonts w:asciiTheme="minorHAnsi" w:hAnsiTheme="minorHAnsi" w:cstheme="minorHAnsi"/>
                <w:sz w:val="16"/>
                <w:szCs w:val="16"/>
                <w:lang w:val="en-GB" w:eastAsia="sv-SE"/>
              </w:rPr>
            </w:pPr>
          </w:p>
        </w:tc>
      </w:tr>
    </w:tbl>
    <w:p w:rsidR="00E3030F" w:rsidRPr="00351CA4" w:rsidRDefault="00E3030F" w:rsidP="00387659">
      <w:pPr>
        <w:rPr>
          <w:lang w:val="en-US"/>
        </w:rPr>
      </w:pPr>
      <w:bookmarkStart w:id="0" w:name="_GoBack"/>
      <w:bookmarkEnd w:id="0"/>
    </w:p>
    <w:sectPr w:rsidR="00E3030F" w:rsidRPr="00351CA4" w:rsidSect="002A457B">
      <w:pgSz w:w="16838" w:h="11906" w:orient="landscape"/>
      <w:pgMar w:top="1417" w:right="1417" w:bottom="1417"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1A0A352"/>
    <w:lvl w:ilvl="0">
      <w:start w:val="1"/>
      <w:numFmt w:val="decimal"/>
      <w:pStyle w:val="Aufzhlungszeichen"/>
      <w:lvlText w:val="%1."/>
      <w:lvlJc w:val="left"/>
      <w:pPr>
        <w:tabs>
          <w:tab w:val="num" w:pos="360"/>
        </w:tabs>
        <w:ind w:left="360" w:hanging="360"/>
      </w:pPr>
      <w:rPr>
        <w:rFonts w:cs="Times New Roman"/>
      </w:rPr>
    </w:lvl>
  </w:abstractNum>
  <w:abstractNum w:abstractNumId="1">
    <w:nsid w:val="FFFFFF89"/>
    <w:multiLevelType w:val="singleLevel"/>
    <w:tmpl w:val="635C4F40"/>
    <w:lvl w:ilvl="0">
      <w:start w:val="1"/>
      <w:numFmt w:val="bullet"/>
      <w:pStyle w:val="Listennummer"/>
      <w:lvlText w:val=""/>
      <w:lvlJc w:val="left"/>
      <w:pPr>
        <w:tabs>
          <w:tab w:val="num" w:pos="360"/>
        </w:tabs>
        <w:ind w:left="360" w:hanging="360"/>
      </w:pPr>
      <w:rPr>
        <w:rFonts w:ascii="Symbol" w:hAnsi="Symbol" w:hint="default"/>
      </w:rPr>
    </w:lvl>
  </w:abstractNum>
  <w:abstractNum w:abstractNumId="2">
    <w:nsid w:val="06395D02"/>
    <w:multiLevelType w:val="hybridMultilevel"/>
    <w:tmpl w:val="52BED7BE"/>
    <w:lvl w:ilvl="0" w:tplc="F9C4732A">
      <w:start w:val="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8C93905"/>
    <w:multiLevelType w:val="multilevel"/>
    <w:tmpl w:val="C64850B0"/>
    <w:lvl w:ilvl="0">
      <w:start w:val="1"/>
      <w:numFmt w:val="decimal"/>
      <w:pStyle w:val="Numreradlista1"/>
      <w:lvlText w:val="%1."/>
      <w:lvlJc w:val="left"/>
      <w:pPr>
        <w:tabs>
          <w:tab w:val="num" w:pos="0"/>
        </w:tabs>
        <w:ind w:left="794" w:hanging="454"/>
      </w:pPr>
      <w:rPr>
        <w:rFonts w:cs="Times New Roman" w:hint="default"/>
      </w:rPr>
    </w:lvl>
    <w:lvl w:ilvl="1">
      <w:start w:val="1"/>
      <w:numFmt w:val="lowerLetter"/>
      <w:pStyle w:val="Numreradlistaniv2"/>
      <w:lvlText w:val="%2."/>
      <w:lvlJc w:val="left"/>
      <w:pPr>
        <w:tabs>
          <w:tab w:val="num" w:pos="0"/>
        </w:tabs>
        <w:ind w:left="1247" w:hanging="453"/>
      </w:pPr>
      <w:rPr>
        <w:rFonts w:cs="Times New Roman" w:hint="default"/>
      </w:rPr>
    </w:lvl>
    <w:lvl w:ilvl="2">
      <w:start w:val="1"/>
      <w:numFmt w:val="lowerRoman"/>
      <w:pStyle w:val="Numreradlistaniv3"/>
      <w:lvlText w:val="%3)"/>
      <w:lvlJc w:val="left"/>
      <w:pPr>
        <w:tabs>
          <w:tab w:val="num" w:pos="0"/>
        </w:tabs>
        <w:ind w:left="1701" w:hanging="454"/>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1"/>
  </w:num>
  <w:num w:numId="15">
    <w:abstractNumId w:val="0"/>
  </w:num>
  <w:num w:numId="16">
    <w:abstractNumId w:val="0"/>
  </w:num>
  <w:num w:numId="17">
    <w:abstractNumId w:val="0"/>
  </w:num>
  <w:num w:numId="18">
    <w:abstractNumId w:val="1"/>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1D6"/>
    <w:rsid w:val="00021F01"/>
    <w:rsid w:val="00042135"/>
    <w:rsid w:val="000769D9"/>
    <w:rsid w:val="00182D1A"/>
    <w:rsid w:val="0019530E"/>
    <w:rsid w:val="001A4199"/>
    <w:rsid w:val="001A45E2"/>
    <w:rsid w:val="002159CB"/>
    <w:rsid w:val="00252588"/>
    <w:rsid w:val="00274F64"/>
    <w:rsid w:val="00280603"/>
    <w:rsid w:val="002A457B"/>
    <w:rsid w:val="002D5D34"/>
    <w:rsid w:val="00316475"/>
    <w:rsid w:val="00351CA4"/>
    <w:rsid w:val="00361DFA"/>
    <w:rsid w:val="00387659"/>
    <w:rsid w:val="003A2D70"/>
    <w:rsid w:val="003E64BD"/>
    <w:rsid w:val="00402FBC"/>
    <w:rsid w:val="00412D3D"/>
    <w:rsid w:val="00453B86"/>
    <w:rsid w:val="00460A2C"/>
    <w:rsid w:val="004A5532"/>
    <w:rsid w:val="004D22E2"/>
    <w:rsid w:val="004E738D"/>
    <w:rsid w:val="005430D5"/>
    <w:rsid w:val="00580BDE"/>
    <w:rsid w:val="005A11B0"/>
    <w:rsid w:val="005B19AC"/>
    <w:rsid w:val="005B4000"/>
    <w:rsid w:val="005B66BE"/>
    <w:rsid w:val="00607BEE"/>
    <w:rsid w:val="006744F5"/>
    <w:rsid w:val="006D62BC"/>
    <w:rsid w:val="006E3160"/>
    <w:rsid w:val="00705B8E"/>
    <w:rsid w:val="007105AE"/>
    <w:rsid w:val="0072451C"/>
    <w:rsid w:val="00747E45"/>
    <w:rsid w:val="00756449"/>
    <w:rsid w:val="00802E2F"/>
    <w:rsid w:val="00833684"/>
    <w:rsid w:val="0087577C"/>
    <w:rsid w:val="008847F1"/>
    <w:rsid w:val="008A15AF"/>
    <w:rsid w:val="008E1F6F"/>
    <w:rsid w:val="008F7DD3"/>
    <w:rsid w:val="0090250F"/>
    <w:rsid w:val="00930AAC"/>
    <w:rsid w:val="00937D1E"/>
    <w:rsid w:val="009E0714"/>
    <w:rsid w:val="009E0CFC"/>
    <w:rsid w:val="00A07AA2"/>
    <w:rsid w:val="00A17039"/>
    <w:rsid w:val="00A20E43"/>
    <w:rsid w:val="00A27DFB"/>
    <w:rsid w:val="00A81933"/>
    <w:rsid w:val="00AB5D19"/>
    <w:rsid w:val="00B20FFF"/>
    <w:rsid w:val="00B541AC"/>
    <w:rsid w:val="00B60452"/>
    <w:rsid w:val="00B95260"/>
    <w:rsid w:val="00BA41D7"/>
    <w:rsid w:val="00BD74C8"/>
    <w:rsid w:val="00BE3557"/>
    <w:rsid w:val="00BE6E53"/>
    <w:rsid w:val="00BE7927"/>
    <w:rsid w:val="00C1330F"/>
    <w:rsid w:val="00C16627"/>
    <w:rsid w:val="00C30219"/>
    <w:rsid w:val="00C361D6"/>
    <w:rsid w:val="00C36277"/>
    <w:rsid w:val="00C56973"/>
    <w:rsid w:val="00CB530C"/>
    <w:rsid w:val="00CE0CA0"/>
    <w:rsid w:val="00CE115C"/>
    <w:rsid w:val="00D52A82"/>
    <w:rsid w:val="00D81687"/>
    <w:rsid w:val="00D97DCC"/>
    <w:rsid w:val="00DA6115"/>
    <w:rsid w:val="00DC5EAA"/>
    <w:rsid w:val="00DD3AAA"/>
    <w:rsid w:val="00E0532D"/>
    <w:rsid w:val="00E3030F"/>
    <w:rsid w:val="00E726E9"/>
    <w:rsid w:val="00EA0A2F"/>
    <w:rsid w:val="00EC1550"/>
    <w:rsid w:val="00ED0A15"/>
    <w:rsid w:val="00F62FDC"/>
    <w:rsid w:val="00F762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61D6"/>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berschrift1">
    <w:name w:val="heading 1"/>
    <w:basedOn w:val="Standard"/>
    <w:next w:val="Standard"/>
    <w:link w:val="berschrift1Zchn"/>
    <w:uiPriority w:val="99"/>
    <w:qFormat/>
    <w:rsid w:val="00387659"/>
    <w:pPr>
      <w:keepNext/>
      <w:pageBreakBefore/>
      <w:tabs>
        <w:tab w:val="clear" w:pos="1134"/>
        <w:tab w:val="clear" w:pos="1871"/>
        <w:tab w:val="clear" w:pos="2268"/>
      </w:tabs>
      <w:overflowPunct/>
      <w:autoSpaceDE/>
      <w:autoSpaceDN/>
      <w:adjustRightInd/>
      <w:spacing w:before="0" w:after="240" w:line="360" w:lineRule="exact"/>
      <w:jc w:val="left"/>
      <w:textAlignment w:val="auto"/>
      <w:outlineLvl w:val="0"/>
    </w:pPr>
    <w:rPr>
      <w:rFonts w:ascii="Verdana" w:hAnsi="Verdana" w:cs="Arial"/>
      <w:b/>
      <w:bCs/>
      <w:kern w:val="32"/>
      <w:sz w:val="22"/>
      <w:szCs w:val="32"/>
      <w:lang w:val="sv-SE" w:eastAsia="sv-SE"/>
    </w:rPr>
  </w:style>
  <w:style w:type="paragraph" w:styleId="berschrift2">
    <w:name w:val="heading 2"/>
    <w:basedOn w:val="Standard"/>
    <w:next w:val="Standard"/>
    <w:link w:val="berschrift2Zchn"/>
    <w:uiPriority w:val="99"/>
    <w:qFormat/>
    <w:rsid w:val="00387659"/>
    <w:pPr>
      <w:keepNext/>
      <w:tabs>
        <w:tab w:val="clear" w:pos="1134"/>
        <w:tab w:val="clear" w:pos="1871"/>
        <w:tab w:val="clear" w:pos="2268"/>
      </w:tabs>
      <w:overflowPunct/>
      <w:autoSpaceDE/>
      <w:autoSpaceDN/>
      <w:adjustRightInd/>
      <w:spacing w:before="0" w:after="60"/>
      <w:jc w:val="left"/>
      <w:textAlignment w:val="auto"/>
      <w:outlineLvl w:val="1"/>
    </w:pPr>
    <w:rPr>
      <w:rFonts w:ascii="Verdana" w:hAnsi="Verdana" w:cs="Arial"/>
      <w:b/>
      <w:bCs/>
      <w:iCs/>
      <w:sz w:val="18"/>
      <w:szCs w:val="28"/>
      <w:lang w:val="sv-SE"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12D3D"/>
    <w:rPr>
      <w:rFonts w:ascii="Verdana" w:hAnsi="Verdana" w:cs="Arial"/>
      <w:b/>
      <w:bCs/>
      <w:kern w:val="32"/>
      <w:sz w:val="32"/>
      <w:szCs w:val="32"/>
      <w:lang w:eastAsia="sv-SE"/>
    </w:rPr>
  </w:style>
  <w:style w:type="character" w:customStyle="1" w:styleId="berschrift2Zchn">
    <w:name w:val="Überschrift 2 Zchn"/>
    <w:link w:val="berschrift2"/>
    <w:uiPriority w:val="99"/>
    <w:locked/>
    <w:rsid w:val="00412D3D"/>
    <w:rPr>
      <w:rFonts w:ascii="Verdana" w:hAnsi="Verdana" w:cs="Arial"/>
      <w:b/>
      <w:bCs/>
      <w:iCs/>
      <w:sz w:val="28"/>
      <w:szCs w:val="28"/>
      <w:lang w:eastAsia="sv-SE"/>
    </w:rPr>
  </w:style>
  <w:style w:type="paragraph" w:styleId="Aufzhlungszeichen">
    <w:name w:val="List Bullet"/>
    <w:basedOn w:val="Standard"/>
    <w:uiPriority w:val="99"/>
    <w:rsid w:val="00387659"/>
    <w:pPr>
      <w:numPr>
        <w:numId w:val="6"/>
      </w:numPr>
      <w:tabs>
        <w:tab w:val="clear" w:pos="1134"/>
        <w:tab w:val="clear" w:pos="1871"/>
        <w:tab w:val="clear" w:pos="2268"/>
      </w:tabs>
      <w:overflowPunct/>
      <w:autoSpaceDE/>
      <w:autoSpaceDN/>
      <w:adjustRightInd/>
      <w:spacing w:before="0" w:after="260"/>
      <w:contextualSpacing/>
      <w:jc w:val="left"/>
      <w:textAlignment w:val="auto"/>
    </w:pPr>
    <w:rPr>
      <w:rFonts w:ascii="Garamond" w:hAnsi="Garamond"/>
      <w:lang w:val="sv-SE" w:eastAsia="sv-SE"/>
    </w:rPr>
  </w:style>
  <w:style w:type="paragraph" w:styleId="Listennummer">
    <w:name w:val="List Number"/>
    <w:basedOn w:val="Standard"/>
    <w:uiPriority w:val="99"/>
    <w:rsid w:val="00387659"/>
    <w:pPr>
      <w:numPr>
        <w:numId w:val="5"/>
      </w:numPr>
      <w:tabs>
        <w:tab w:val="clear" w:pos="1134"/>
        <w:tab w:val="clear" w:pos="1871"/>
        <w:tab w:val="clear" w:pos="2268"/>
      </w:tabs>
      <w:overflowPunct/>
      <w:autoSpaceDE/>
      <w:autoSpaceDN/>
      <w:adjustRightInd/>
      <w:spacing w:before="0" w:after="260"/>
      <w:contextualSpacing/>
      <w:jc w:val="left"/>
      <w:textAlignment w:val="auto"/>
    </w:pPr>
    <w:rPr>
      <w:rFonts w:ascii="Garamond" w:hAnsi="Garamond"/>
      <w:lang w:val="sv-SE" w:eastAsia="sv-SE"/>
    </w:rPr>
  </w:style>
  <w:style w:type="paragraph" w:styleId="Fuzeile">
    <w:name w:val="footer"/>
    <w:basedOn w:val="Standard"/>
    <w:link w:val="FuzeileZchn"/>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sz w:val="14"/>
      <w:lang w:val="sv-SE" w:eastAsia="sv-SE"/>
    </w:rPr>
  </w:style>
  <w:style w:type="character" w:customStyle="1" w:styleId="FuzeileZchn">
    <w:name w:val="Fußzeile Zchn"/>
    <w:link w:val="Fuzeile"/>
    <w:uiPriority w:val="99"/>
    <w:locked/>
    <w:rsid w:val="00387659"/>
    <w:rPr>
      <w:rFonts w:ascii="Verdana" w:hAnsi="Verdana" w:cs="Times New Roman"/>
      <w:sz w:val="24"/>
      <w:szCs w:val="24"/>
      <w:lang w:eastAsia="sv-SE"/>
    </w:rPr>
  </w:style>
  <w:style w:type="paragraph" w:customStyle="1" w:styleId="Sidfotstor">
    <w:name w:val="Sidfot stor"/>
    <w:basedOn w:val="Standard"/>
    <w:uiPriority w:val="99"/>
    <w:rsid w:val="00387659"/>
    <w:pPr>
      <w:spacing w:line="200" w:lineRule="exact"/>
    </w:pPr>
    <w:rPr>
      <w:rFonts w:ascii="Verdana" w:hAnsi="Verdana"/>
      <w:sz w:val="16"/>
    </w:rPr>
  </w:style>
  <w:style w:type="table" w:styleId="Tabellenraster">
    <w:name w:val="Table Grid"/>
    <w:basedOn w:val="NormaleTabelle"/>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Standard"/>
    <w:uiPriority w:val="99"/>
    <w:semiHidden/>
    <w:rsid w:val="00387659"/>
    <w:pPr>
      <w:numPr>
        <w:numId w:val="19"/>
      </w:numPr>
    </w:pPr>
  </w:style>
  <w:style w:type="paragraph" w:customStyle="1" w:styleId="Numreradlistaniv2">
    <w:name w:val="Numrerad lista nivå 2"/>
    <w:basedOn w:val="Standard"/>
    <w:uiPriority w:val="99"/>
    <w:semiHidden/>
    <w:rsid w:val="00387659"/>
    <w:pPr>
      <w:numPr>
        <w:ilvl w:val="1"/>
        <w:numId w:val="19"/>
      </w:numPr>
    </w:pPr>
  </w:style>
  <w:style w:type="paragraph" w:customStyle="1" w:styleId="Numreradlistaniv3">
    <w:name w:val="Numrerad lista nivå 3"/>
    <w:basedOn w:val="Standard"/>
    <w:uiPriority w:val="99"/>
    <w:semiHidden/>
    <w:rsid w:val="00387659"/>
    <w:pPr>
      <w:numPr>
        <w:ilvl w:val="2"/>
        <w:numId w:val="19"/>
      </w:numPr>
    </w:pPr>
  </w:style>
  <w:style w:type="paragraph" w:customStyle="1" w:styleId="enumlev1">
    <w:name w:val="enumlev1"/>
    <w:basedOn w:val="Standard"/>
    <w:link w:val="enumlev1Char"/>
    <w:uiPriority w:val="99"/>
    <w:rsid w:val="00C361D6"/>
    <w:pPr>
      <w:tabs>
        <w:tab w:val="clear" w:pos="2268"/>
        <w:tab w:val="left" w:pos="2608"/>
        <w:tab w:val="left" w:pos="3345"/>
      </w:tabs>
      <w:spacing w:before="120"/>
      <w:ind w:left="454" w:hanging="454"/>
    </w:pPr>
  </w:style>
  <w:style w:type="paragraph" w:customStyle="1" w:styleId="Normalaftertitle">
    <w:name w:val="Normal after title"/>
    <w:basedOn w:val="Standard"/>
    <w:next w:val="Standard"/>
    <w:link w:val="NormalaftertitleChar"/>
    <w:uiPriority w:val="99"/>
    <w:rsid w:val="00C361D6"/>
    <w:pPr>
      <w:spacing w:before="360"/>
    </w:pPr>
  </w:style>
  <w:style w:type="paragraph" w:customStyle="1" w:styleId="Annextitle">
    <w:name w:val="Annex_title"/>
    <w:basedOn w:val="Standard"/>
    <w:next w:val="Standard"/>
    <w:uiPriority w:val="99"/>
    <w:rsid w:val="00C361D6"/>
    <w:pPr>
      <w:keepNext/>
      <w:keepLines/>
      <w:tabs>
        <w:tab w:val="clear" w:pos="1134"/>
        <w:tab w:val="clear" w:pos="1871"/>
        <w:tab w:val="clear" w:pos="2268"/>
      </w:tabs>
      <w:spacing w:before="160"/>
      <w:jc w:val="center"/>
    </w:pPr>
    <w:rPr>
      <w:b/>
      <w:bCs/>
      <w:noProof/>
      <w:sz w:val="28"/>
      <w:szCs w:val="28"/>
      <w:lang w:val="en-US"/>
    </w:rPr>
  </w:style>
  <w:style w:type="paragraph" w:customStyle="1" w:styleId="Restitle">
    <w:name w:val="Res_title"/>
    <w:basedOn w:val="Standard"/>
    <w:next w:val="Standard"/>
    <w:link w:val="RestitleChar"/>
    <w:uiPriority w:val="99"/>
    <w:rsid w:val="00C361D6"/>
    <w:pPr>
      <w:keepNext/>
      <w:keepLines/>
      <w:tabs>
        <w:tab w:val="clear" w:pos="1134"/>
        <w:tab w:val="clear" w:pos="1871"/>
        <w:tab w:val="clear" w:pos="2268"/>
      </w:tabs>
      <w:spacing w:before="160" w:after="120"/>
      <w:jc w:val="center"/>
    </w:pPr>
    <w:rPr>
      <w:b/>
      <w:bCs/>
      <w:noProof/>
      <w:sz w:val="28"/>
      <w:szCs w:val="28"/>
      <w:lang w:val="en-US"/>
    </w:rPr>
  </w:style>
  <w:style w:type="character" w:customStyle="1" w:styleId="NormalaftertitleChar">
    <w:name w:val="Normal after title Char"/>
    <w:link w:val="Normalaftertitle"/>
    <w:uiPriority w:val="99"/>
    <w:locked/>
    <w:rsid w:val="00C361D6"/>
    <w:rPr>
      <w:rFonts w:ascii="Times New Roman" w:hAnsi="Times New Roman" w:cs="Times New Roman"/>
      <w:sz w:val="24"/>
      <w:szCs w:val="24"/>
      <w:lang w:val="fr-FR"/>
    </w:rPr>
  </w:style>
  <w:style w:type="character" w:customStyle="1" w:styleId="enumlev1Char">
    <w:name w:val="enumlev1 Char"/>
    <w:link w:val="enumlev1"/>
    <w:uiPriority w:val="99"/>
    <w:locked/>
    <w:rsid w:val="00C361D6"/>
    <w:rPr>
      <w:rFonts w:ascii="Times New Roman" w:hAnsi="Times New Roman" w:cs="Times New Roman"/>
      <w:sz w:val="24"/>
      <w:szCs w:val="24"/>
      <w:lang w:val="fr-FR"/>
    </w:rPr>
  </w:style>
  <w:style w:type="character" w:customStyle="1" w:styleId="RestitleChar">
    <w:name w:val="Res_title Char"/>
    <w:link w:val="Restitle"/>
    <w:uiPriority w:val="99"/>
    <w:locked/>
    <w:rsid w:val="00C361D6"/>
    <w:rPr>
      <w:rFonts w:ascii="Times New Roman" w:hAnsi="Times New Roman" w:cs="Times New Roman"/>
      <w:b/>
      <w:bCs/>
      <w:noProof/>
      <w:sz w:val="28"/>
      <w:szCs w:val="28"/>
      <w:lang w:val="en-US"/>
    </w:rPr>
  </w:style>
  <w:style w:type="paragraph" w:styleId="Sprechblasentext">
    <w:name w:val="Balloon Text"/>
    <w:basedOn w:val="Standard"/>
    <w:link w:val="SprechblasentextZchn"/>
    <w:uiPriority w:val="99"/>
    <w:semiHidden/>
    <w:rsid w:val="003E64BD"/>
    <w:rPr>
      <w:rFonts w:ascii="Tahoma" w:hAnsi="Tahoma" w:cs="Tahoma"/>
      <w:sz w:val="16"/>
      <w:szCs w:val="16"/>
    </w:rPr>
  </w:style>
  <w:style w:type="character" w:customStyle="1" w:styleId="SprechblasentextZchn">
    <w:name w:val="Sprechblasentext Zchn"/>
    <w:link w:val="Sprechblasentext"/>
    <w:uiPriority w:val="99"/>
    <w:semiHidden/>
    <w:locked/>
    <w:rsid w:val="00252588"/>
    <w:rPr>
      <w:rFonts w:ascii="Times New Roman" w:hAnsi="Times New Roman" w:cs="Times New Roman"/>
      <w:sz w:val="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Bullet" w:locked="1" w:semiHidden="0" w:uiPriority="0" w:unhideWhenUsed="0"/>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361D6"/>
    <w:pPr>
      <w:tabs>
        <w:tab w:val="left" w:pos="1134"/>
        <w:tab w:val="left" w:pos="1871"/>
        <w:tab w:val="left" w:pos="2268"/>
      </w:tabs>
      <w:overflowPunct w:val="0"/>
      <w:autoSpaceDE w:val="0"/>
      <w:autoSpaceDN w:val="0"/>
      <w:adjustRightInd w:val="0"/>
      <w:spacing w:before="240"/>
      <w:jc w:val="both"/>
      <w:textAlignment w:val="baseline"/>
    </w:pPr>
    <w:rPr>
      <w:rFonts w:ascii="Times New Roman" w:hAnsi="Times New Roman"/>
      <w:sz w:val="24"/>
      <w:szCs w:val="24"/>
      <w:lang w:val="fr-FR" w:eastAsia="en-US"/>
    </w:rPr>
  </w:style>
  <w:style w:type="paragraph" w:styleId="berschrift1">
    <w:name w:val="heading 1"/>
    <w:basedOn w:val="Standard"/>
    <w:next w:val="Standard"/>
    <w:link w:val="berschrift1Zchn"/>
    <w:uiPriority w:val="99"/>
    <w:qFormat/>
    <w:rsid w:val="00387659"/>
    <w:pPr>
      <w:keepNext/>
      <w:pageBreakBefore/>
      <w:tabs>
        <w:tab w:val="clear" w:pos="1134"/>
        <w:tab w:val="clear" w:pos="1871"/>
        <w:tab w:val="clear" w:pos="2268"/>
      </w:tabs>
      <w:overflowPunct/>
      <w:autoSpaceDE/>
      <w:autoSpaceDN/>
      <w:adjustRightInd/>
      <w:spacing w:before="0" w:after="240" w:line="360" w:lineRule="exact"/>
      <w:jc w:val="left"/>
      <w:textAlignment w:val="auto"/>
      <w:outlineLvl w:val="0"/>
    </w:pPr>
    <w:rPr>
      <w:rFonts w:ascii="Verdana" w:hAnsi="Verdana" w:cs="Arial"/>
      <w:b/>
      <w:bCs/>
      <w:kern w:val="32"/>
      <w:sz w:val="22"/>
      <w:szCs w:val="32"/>
      <w:lang w:val="sv-SE" w:eastAsia="sv-SE"/>
    </w:rPr>
  </w:style>
  <w:style w:type="paragraph" w:styleId="berschrift2">
    <w:name w:val="heading 2"/>
    <w:basedOn w:val="Standard"/>
    <w:next w:val="Standard"/>
    <w:link w:val="berschrift2Zchn"/>
    <w:uiPriority w:val="99"/>
    <w:qFormat/>
    <w:rsid w:val="00387659"/>
    <w:pPr>
      <w:keepNext/>
      <w:tabs>
        <w:tab w:val="clear" w:pos="1134"/>
        <w:tab w:val="clear" w:pos="1871"/>
        <w:tab w:val="clear" w:pos="2268"/>
      </w:tabs>
      <w:overflowPunct/>
      <w:autoSpaceDE/>
      <w:autoSpaceDN/>
      <w:adjustRightInd/>
      <w:spacing w:before="0" w:after="60"/>
      <w:jc w:val="left"/>
      <w:textAlignment w:val="auto"/>
      <w:outlineLvl w:val="1"/>
    </w:pPr>
    <w:rPr>
      <w:rFonts w:ascii="Verdana" w:hAnsi="Verdana" w:cs="Arial"/>
      <w:b/>
      <w:bCs/>
      <w:iCs/>
      <w:sz w:val="18"/>
      <w:szCs w:val="28"/>
      <w:lang w:val="sv-SE" w:eastAsia="sv-S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12D3D"/>
    <w:rPr>
      <w:rFonts w:ascii="Verdana" w:hAnsi="Verdana" w:cs="Arial"/>
      <w:b/>
      <w:bCs/>
      <w:kern w:val="32"/>
      <w:sz w:val="32"/>
      <w:szCs w:val="32"/>
      <w:lang w:eastAsia="sv-SE"/>
    </w:rPr>
  </w:style>
  <w:style w:type="character" w:customStyle="1" w:styleId="berschrift2Zchn">
    <w:name w:val="Überschrift 2 Zchn"/>
    <w:link w:val="berschrift2"/>
    <w:uiPriority w:val="99"/>
    <w:locked/>
    <w:rsid w:val="00412D3D"/>
    <w:rPr>
      <w:rFonts w:ascii="Verdana" w:hAnsi="Verdana" w:cs="Arial"/>
      <w:b/>
      <w:bCs/>
      <w:iCs/>
      <w:sz w:val="28"/>
      <w:szCs w:val="28"/>
      <w:lang w:eastAsia="sv-SE"/>
    </w:rPr>
  </w:style>
  <w:style w:type="paragraph" w:styleId="Aufzhlungszeichen">
    <w:name w:val="List Bullet"/>
    <w:basedOn w:val="Standard"/>
    <w:uiPriority w:val="99"/>
    <w:rsid w:val="00387659"/>
    <w:pPr>
      <w:numPr>
        <w:numId w:val="6"/>
      </w:numPr>
      <w:tabs>
        <w:tab w:val="clear" w:pos="1134"/>
        <w:tab w:val="clear" w:pos="1871"/>
        <w:tab w:val="clear" w:pos="2268"/>
      </w:tabs>
      <w:overflowPunct/>
      <w:autoSpaceDE/>
      <w:autoSpaceDN/>
      <w:adjustRightInd/>
      <w:spacing w:before="0" w:after="260"/>
      <w:contextualSpacing/>
      <w:jc w:val="left"/>
      <w:textAlignment w:val="auto"/>
    </w:pPr>
    <w:rPr>
      <w:rFonts w:ascii="Garamond" w:hAnsi="Garamond"/>
      <w:lang w:val="sv-SE" w:eastAsia="sv-SE"/>
    </w:rPr>
  </w:style>
  <w:style w:type="paragraph" w:styleId="Listennummer">
    <w:name w:val="List Number"/>
    <w:basedOn w:val="Standard"/>
    <w:uiPriority w:val="99"/>
    <w:rsid w:val="00387659"/>
    <w:pPr>
      <w:numPr>
        <w:numId w:val="5"/>
      </w:numPr>
      <w:tabs>
        <w:tab w:val="clear" w:pos="1134"/>
        <w:tab w:val="clear" w:pos="1871"/>
        <w:tab w:val="clear" w:pos="2268"/>
      </w:tabs>
      <w:overflowPunct/>
      <w:autoSpaceDE/>
      <w:autoSpaceDN/>
      <w:adjustRightInd/>
      <w:spacing w:before="0" w:after="260"/>
      <w:contextualSpacing/>
      <w:jc w:val="left"/>
      <w:textAlignment w:val="auto"/>
    </w:pPr>
    <w:rPr>
      <w:rFonts w:ascii="Garamond" w:hAnsi="Garamond"/>
      <w:lang w:val="sv-SE" w:eastAsia="sv-SE"/>
    </w:rPr>
  </w:style>
  <w:style w:type="paragraph" w:styleId="Fuzeile">
    <w:name w:val="footer"/>
    <w:basedOn w:val="Standard"/>
    <w:link w:val="FuzeileZchn"/>
    <w:uiPriority w:val="99"/>
    <w:rsid w:val="00387659"/>
    <w:pPr>
      <w:tabs>
        <w:tab w:val="clear" w:pos="1134"/>
        <w:tab w:val="clear" w:pos="1871"/>
        <w:tab w:val="clear" w:pos="2268"/>
      </w:tabs>
      <w:overflowPunct/>
      <w:autoSpaceDE/>
      <w:autoSpaceDN/>
      <w:adjustRightInd/>
      <w:spacing w:before="0" w:line="200" w:lineRule="exact"/>
      <w:jc w:val="left"/>
      <w:textAlignment w:val="auto"/>
    </w:pPr>
    <w:rPr>
      <w:rFonts w:ascii="Verdana" w:hAnsi="Verdana"/>
      <w:sz w:val="14"/>
      <w:lang w:val="sv-SE" w:eastAsia="sv-SE"/>
    </w:rPr>
  </w:style>
  <w:style w:type="character" w:customStyle="1" w:styleId="FuzeileZchn">
    <w:name w:val="Fußzeile Zchn"/>
    <w:link w:val="Fuzeile"/>
    <w:uiPriority w:val="99"/>
    <w:locked/>
    <w:rsid w:val="00387659"/>
    <w:rPr>
      <w:rFonts w:ascii="Verdana" w:hAnsi="Verdana" w:cs="Times New Roman"/>
      <w:sz w:val="24"/>
      <w:szCs w:val="24"/>
      <w:lang w:eastAsia="sv-SE"/>
    </w:rPr>
  </w:style>
  <w:style w:type="paragraph" w:customStyle="1" w:styleId="Sidfotstor">
    <w:name w:val="Sidfot stor"/>
    <w:basedOn w:val="Standard"/>
    <w:uiPriority w:val="99"/>
    <w:rsid w:val="00387659"/>
    <w:pPr>
      <w:spacing w:line="200" w:lineRule="exact"/>
    </w:pPr>
    <w:rPr>
      <w:rFonts w:ascii="Verdana" w:hAnsi="Verdana"/>
      <w:sz w:val="16"/>
    </w:rPr>
  </w:style>
  <w:style w:type="table" w:styleId="Tabellenraster">
    <w:name w:val="Table Grid"/>
    <w:basedOn w:val="NormaleTabelle"/>
    <w:uiPriority w:val="99"/>
    <w:rsid w:val="00387659"/>
    <w:pPr>
      <w:spacing w:after="260" w:line="260" w:lineRule="exact"/>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Standard"/>
    <w:uiPriority w:val="99"/>
    <w:semiHidden/>
    <w:rsid w:val="00387659"/>
    <w:pPr>
      <w:numPr>
        <w:numId w:val="19"/>
      </w:numPr>
    </w:pPr>
  </w:style>
  <w:style w:type="paragraph" w:customStyle="1" w:styleId="Numreradlistaniv2">
    <w:name w:val="Numrerad lista nivå 2"/>
    <w:basedOn w:val="Standard"/>
    <w:uiPriority w:val="99"/>
    <w:semiHidden/>
    <w:rsid w:val="00387659"/>
    <w:pPr>
      <w:numPr>
        <w:ilvl w:val="1"/>
        <w:numId w:val="19"/>
      </w:numPr>
    </w:pPr>
  </w:style>
  <w:style w:type="paragraph" w:customStyle="1" w:styleId="Numreradlistaniv3">
    <w:name w:val="Numrerad lista nivå 3"/>
    <w:basedOn w:val="Standard"/>
    <w:uiPriority w:val="99"/>
    <w:semiHidden/>
    <w:rsid w:val="00387659"/>
    <w:pPr>
      <w:numPr>
        <w:ilvl w:val="2"/>
        <w:numId w:val="19"/>
      </w:numPr>
    </w:pPr>
  </w:style>
  <w:style w:type="paragraph" w:customStyle="1" w:styleId="enumlev1">
    <w:name w:val="enumlev1"/>
    <w:basedOn w:val="Standard"/>
    <w:link w:val="enumlev1Char"/>
    <w:uiPriority w:val="99"/>
    <w:rsid w:val="00C361D6"/>
    <w:pPr>
      <w:tabs>
        <w:tab w:val="clear" w:pos="2268"/>
        <w:tab w:val="left" w:pos="2608"/>
        <w:tab w:val="left" w:pos="3345"/>
      </w:tabs>
      <w:spacing w:before="120"/>
      <w:ind w:left="454" w:hanging="454"/>
    </w:pPr>
  </w:style>
  <w:style w:type="paragraph" w:customStyle="1" w:styleId="Normalaftertitle">
    <w:name w:val="Normal after title"/>
    <w:basedOn w:val="Standard"/>
    <w:next w:val="Standard"/>
    <w:link w:val="NormalaftertitleChar"/>
    <w:uiPriority w:val="99"/>
    <w:rsid w:val="00C361D6"/>
    <w:pPr>
      <w:spacing w:before="360"/>
    </w:pPr>
  </w:style>
  <w:style w:type="paragraph" w:customStyle="1" w:styleId="Annextitle">
    <w:name w:val="Annex_title"/>
    <w:basedOn w:val="Standard"/>
    <w:next w:val="Standard"/>
    <w:uiPriority w:val="99"/>
    <w:rsid w:val="00C361D6"/>
    <w:pPr>
      <w:keepNext/>
      <w:keepLines/>
      <w:tabs>
        <w:tab w:val="clear" w:pos="1134"/>
        <w:tab w:val="clear" w:pos="1871"/>
        <w:tab w:val="clear" w:pos="2268"/>
      </w:tabs>
      <w:spacing w:before="160"/>
      <w:jc w:val="center"/>
    </w:pPr>
    <w:rPr>
      <w:b/>
      <w:bCs/>
      <w:noProof/>
      <w:sz w:val="28"/>
      <w:szCs w:val="28"/>
      <w:lang w:val="en-US"/>
    </w:rPr>
  </w:style>
  <w:style w:type="paragraph" w:customStyle="1" w:styleId="Restitle">
    <w:name w:val="Res_title"/>
    <w:basedOn w:val="Standard"/>
    <w:next w:val="Standard"/>
    <w:link w:val="RestitleChar"/>
    <w:uiPriority w:val="99"/>
    <w:rsid w:val="00C361D6"/>
    <w:pPr>
      <w:keepNext/>
      <w:keepLines/>
      <w:tabs>
        <w:tab w:val="clear" w:pos="1134"/>
        <w:tab w:val="clear" w:pos="1871"/>
        <w:tab w:val="clear" w:pos="2268"/>
      </w:tabs>
      <w:spacing w:before="160" w:after="120"/>
      <w:jc w:val="center"/>
    </w:pPr>
    <w:rPr>
      <w:b/>
      <w:bCs/>
      <w:noProof/>
      <w:sz w:val="28"/>
      <w:szCs w:val="28"/>
      <w:lang w:val="en-US"/>
    </w:rPr>
  </w:style>
  <w:style w:type="character" w:customStyle="1" w:styleId="NormalaftertitleChar">
    <w:name w:val="Normal after title Char"/>
    <w:link w:val="Normalaftertitle"/>
    <w:uiPriority w:val="99"/>
    <w:locked/>
    <w:rsid w:val="00C361D6"/>
    <w:rPr>
      <w:rFonts w:ascii="Times New Roman" w:hAnsi="Times New Roman" w:cs="Times New Roman"/>
      <w:sz w:val="24"/>
      <w:szCs w:val="24"/>
      <w:lang w:val="fr-FR"/>
    </w:rPr>
  </w:style>
  <w:style w:type="character" w:customStyle="1" w:styleId="enumlev1Char">
    <w:name w:val="enumlev1 Char"/>
    <w:link w:val="enumlev1"/>
    <w:uiPriority w:val="99"/>
    <w:locked/>
    <w:rsid w:val="00C361D6"/>
    <w:rPr>
      <w:rFonts w:ascii="Times New Roman" w:hAnsi="Times New Roman" w:cs="Times New Roman"/>
      <w:sz w:val="24"/>
      <w:szCs w:val="24"/>
      <w:lang w:val="fr-FR"/>
    </w:rPr>
  </w:style>
  <w:style w:type="character" w:customStyle="1" w:styleId="RestitleChar">
    <w:name w:val="Res_title Char"/>
    <w:link w:val="Restitle"/>
    <w:uiPriority w:val="99"/>
    <w:locked/>
    <w:rsid w:val="00C361D6"/>
    <w:rPr>
      <w:rFonts w:ascii="Times New Roman" w:hAnsi="Times New Roman" w:cs="Times New Roman"/>
      <w:b/>
      <w:bCs/>
      <w:noProof/>
      <w:sz w:val="28"/>
      <w:szCs w:val="28"/>
      <w:lang w:val="en-US"/>
    </w:rPr>
  </w:style>
  <w:style w:type="paragraph" w:styleId="Sprechblasentext">
    <w:name w:val="Balloon Text"/>
    <w:basedOn w:val="Standard"/>
    <w:link w:val="SprechblasentextZchn"/>
    <w:uiPriority w:val="99"/>
    <w:semiHidden/>
    <w:rsid w:val="003E64BD"/>
    <w:rPr>
      <w:rFonts w:ascii="Tahoma" w:hAnsi="Tahoma" w:cs="Tahoma"/>
      <w:sz w:val="16"/>
      <w:szCs w:val="16"/>
    </w:rPr>
  </w:style>
  <w:style w:type="character" w:customStyle="1" w:styleId="SprechblasentextZchn">
    <w:name w:val="Sprechblasentext Zchn"/>
    <w:link w:val="Sprechblasentext"/>
    <w:uiPriority w:val="99"/>
    <w:semiHidden/>
    <w:locked/>
    <w:rsid w:val="00252588"/>
    <w:rPr>
      <w:rFonts w:ascii="Times New Roman" w:hAnsi="Times New Roman" w:cs="Times New Roman"/>
      <w:sz w:val="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1578</Words>
  <Characters>8652</Characters>
  <Application>Microsoft Office Word</Application>
  <DocSecurity>0</DocSecurity>
  <Lines>72</Lines>
  <Paragraphs>20</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TEMP008</vt:lpstr>
      <vt:lpstr>TEMP008</vt:lpstr>
    </vt:vector>
  </TitlesOfParts>
  <Company>PTS</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TEMP008</dc:title>
  <dc:creator>fch</dc:creator>
  <cp:lastModifiedBy>PTA Chairman</cp:lastModifiedBy>
  <cp:revision>2</cp:revision>
  <dcterms:created xsi:type="dcterms:W3CDTF">2011-10-20T02:26:00Z</dcterms:created>
  <dcterms:modified xsi:type="dcterms:W3CDTF">2011-10-20T02:26:00Z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