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20"/>
        <w:gridCol w:w="4516"/>
      </w:tblGrid>
      <w:tr w:rsidR="00E55CCB" w:rsidRPr="009F2056" w:rsidTr="00537E90">
        <w:trPr>
          <w:cantSplit/>
          <w:trHeight w:val="1843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5CCB" w:rsidRPr="009F2056" w:rsidRDefault="00E55CCB" w:rsidP="00537E90">
            <w:pPr>
              <w:rPr>
                <w:b/>
                <w:noProof/>
              </w:rPr>
            </w:pPr>
            <w:r>
              <w:rPr>
                <w:b/>
                <w:noProof/>
                <w:lang w:val="fr-FR" w:eastAsia="fr-FR"/>
              </w:rPr>
              <w:drawing>
                <wp:inline distT="0" distB="0" distL="0" distR="0">
                  <wp:extent cx="1565275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5CCB" w:rsidRPr="009F2056" w:rsidRDefault="00E55CCB" w:rsidP="00537E90">
            <w:pPr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CCB" w:rsidRPr="009F2056" w:rsidRDefault="00E55CCB" w:rsidP="003363C0">
            <w:pPr>
              <w:jc w:val="center"/>
              <w:rPr>
                <w:b/>
                <w:sz w:val="24"/>
                <w:szCs w:val="24"/>
              </w:rPr>
            </w:pPr>
            <w:r w:rsidRPr="009F2056">
              <w:rPr>
                <w:b/>
                <w:sz w:val="24"/>
                <w:szCs w:val="24"/>
              </w:rPr>
              <w:t>Doc. ECC/CPG12(201</w:t>
            </w:r>
            <w:r>
              <w:rPr>
                <w:b/>
                <w:sz w:val="24"/>
                <w:szCs w:val="24"/>
              </w:rPr>
              <w:t>1</w:t>
            </w:r>
            <w:r w:rsidR="00810D28">
              <w:rPr>
                <w:b/>
                <w:sz w:val="24"/>
                <w:szCs w:val="24"/>
              </w:rPr>
              <w:t>) 056</w:t>
            </w:r>
          </w:p>
        </w:tc>
      </w:tr>
      <w:tr w:rsidR="00E55CCB" w:rsidRPr="009F2056" w:rsidTr="00537E90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CCB" w:rsidRPr="009F2056" w:rsidRDefault="00E55CCB" w:rsidP="00537E90">
            <w:pPr>
              <w:rPr>
                <w:b/>
                <w:sz w:val="24"/>
                <w:szCs w:val="24"/>
              </w:rPr>
            </w:pPr>
            <w:r w:rsidRPr="009F2056">
              <w:rPr>
                <w:b/>
                <w:sz w:val="24"/>
                <w:szCs w:val="24"/>
              </w:rPr>
              <w:t>CPG1</w:t>
            </w:r>
            <w:smartTag w:uri="urn:schemas-microsoft-com:office:smarttags" w:element="PersonName">
              <w:r w:rsidRPr="009F2056">
                <w:rPr>
                  <w:b/>
                  <w:sz w:val="24"/>
                  <w:szCs w:val="24"/>
                </w:rPr>
                <w:t>2</w:t>
              </w:r>
            </w:smartTag>
            <w:r w:rsidRPr="009F2056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8</w:t>
            </w:r>
          </w:p>
          <w:p w:rsidR="00E55CCB" w:rsidRPr="009F2056" w:rsidRDefault="00E55CCB" w:rsidP="00537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Bucharest 1 – 4 November 2011</w:t>
            </w:r>
          </w:p>
          <w:p w:rsidR="00E55CCB" w:rsidRPr="009F2056" w:rsidRDefault="00E55CCB" w:rsidP="00537E90">
            <w:pPr>
              <w:rPr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</w:tcPr>
          <w:p w:rsidR="00E55CCB" w:rsidRPr="009F2056" w:rsidRDefault="00E55CCB" w:rsidP="00537E90">
            <w:pPr>
              <w:rPr>
                <w:sz w:val="24"/>
                <w:szCs w:val="24"/>
              </w:rPr>
            </w:pPr>
          </w:p>
        </w:tc>
      </w:tr>
      <w:tr w:rsidR="00E55CCB" w:rsidRPr="009F2056" w:rsidTr="00537E90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CCB" w:rsidRPr="009F2056" w:rsidRDefault="00E55CCB" w:rsidP="00537E90">
            <w:pPr>
              <w:tabs>
                <w:tab w:val="left" w:pos="1414"/>
              </w:tabs>
              <w:rPr>
                <w:sz w:val="24"/>
                <w:szCs w:val="24"/>
              </w:rPr>
            </w:pPr>
            <w:r w:rsidRPr="009F2056">
              <w:rPr>
                <w:sz w:val="24"/>
                <w:szCs w:val="24"/>
              </w:rPr>
              <w:t xml:space="preserve">Date issued:   </w:t>
            </w:r>
            <w:r>
              <w:rPr>
                <w:sz w:val="24"/>
                <w:szCs w:val="24"/>
              </w:rPr>
              <w:t>2</w:t>
            </w:r>
            <w:r w:rsidR="00810D28">
              <w:rPr>
                <w:sz w:val="24"/>
                <w:szCs w:val="24"/>
              </w:rPr>
              <w:t>7</w:t>
            </w:r>
            <w:r w:rsidR="00810D28" w:rsidRPr="00810D28">
              <w:rPr>
                <w:sz w:val="24"/>
                <w:szCs w:val="24"/>
                <w:vertAlign w:val="superscript"/>
              </w:rPr>
              <w:t>th</w:t>
            </w:r>
            <w:r w:rsidR="00810D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October 2011</w:t>
            </w:r>
            <w:r w:rsidRPr="009F2056">
              <w:rPr>
                <w:sz w:val="24"/>
                <w:szCs w:val="24"/>
              </w:rPr>
              <w:tab/>
            </w:r>
          </w:p>
          <w:p w:rsidR="00E55CCB" w:rsidRPr="009F2056" w:rsidRDefault="00E55CCB" w:rsidP="00537E90">
            <w:pPr>
              <w:tabs>
                <w:tab w:val="left" w:pos="1414"/>
              </w:tabs>
              <w:rPr>
                <w:sz w:val="24"/>
                <w:szCs w:val="24"/>
              </w:rPr>
            </w:pPr>
            <w:r w:rsidRPr="009F2056">
              <w:rPr>
                <w:sz w:val="24"/>
                <w:szCs w:val="24"/>
              </w:rPr>
              <w:t xml:space="preserve">Source: </w:t>
            </w:r>
            <w:r w:rsidR="003363C0">
              <w:rPr>
                <w:sz w:val="24"/>
                <w:szCs w:val="24"/>
              </w:rPr>
              <w:t>United Kingdom</w:t>
            </w:r>
            <w:r w:rsidRPr="009F2056">
              <w:rPr>
                <w:sz w:val="24"/>
                <w:szCs w:val="24"/>
              </w:rPr>
              <w:tab/>
            </w:r>
          </w:p>
          <w:p w:rsidR="00E55CCB" w:rsidRPr="009F2056" w:rsidRDefault="00E55CCB" w:rsidP="003363C0">
            <w:pPr>
              <w:tabs>
                <w:tab w:val="left" w:pos="1414"/>
              </w:tabs>
              <w:rPr>
                <w:sz w:val="24"/>
                <w:szCs w:val="24"/>
              </w:rPr>
            </w:pPr>
            <w:r w:rsidRPr="009F2056">
              <w:rPr>
                <w:sz w:val="24"/>
                <w:szCs w:val="24"/>
              </w:rPr>
              <w:t xml:space="preserve">Subject:  </w:t>
            </w:r>
            <w:r w:rsidR="003363C0">
              <w:rPr>
                <w:sz w:val="24"/>
                <w:szCs w:val="24"/>
              </w:rPr>
              <w:t xml:space="preserve">Agenda Item 8.2 </w:t>
            </w:r>
          </w:p>
        </w:tc>
      </w:tr>
    </w:tbl>
    <w:p w:rsidR="00E55CCB" w:rsidRPr="009F2056" w:rsidRDefault="00E55CCB" w:rsidP="00E55CCB">
      <w:pPr>
        <w:rPr>
          <w:sz w:val="22"/>
          <w:szCs w:val="22"/>
        </w:rPr>
      </w:pPr>
    </w:p>
    <w:p w:rsidR="00E55CCB" w:rsidRPr="009F2056" w:rsidRDefault="00E55CCB" w:rsidP="00E55CCB">
      <w:pPr>
        <w:jc w:val="center"/>
        <w:rPr>
          <w:sz w:val="22"/>
          <w:szCs w:val="22"/>
        </w:rPr>
      </w:pPr>
    </w:p>
    <w:p w:rsidR="00E55CCB" w:rsidRDefault="003363C0" w:rsidP="00336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Discussion on proposed Agenda Item 8.2 Item 11 </w:t>
      </w:r>
    </w:p>
    <w:p w:rsidR="00E55CCB" w:rsidRDefault="00E55CCB" w:rsidP="00E55CCB">
      <w:pPr>
        <w:jc w:val="center"/>
        <w:rPr>
          <w:b/>
          <w:sz w:val="28"/>
          <w:szCs w:val="28"/>
        </w:rPr>
      </w:pPr>
    </w:p>
    <w:p w:rsidR="00E55CCB" w:rsidRPr="003363C0" w:rsidRDefault="00E55CCB" w:rsidP="00E55CCB">
      <w:pPr>
        <w:rPr>
          <w:rFonts w:ascii="Arial" w:hAnsi="Arial" w:cs="Arial"/>
          <w:sz w:val="24"/>
          <w:szCs w:val="24"/>
        </w:rPr>
      </w:pPr>
      <w:r w:rsidRPr="003363C0">
        <w:rPr>
          <w:rFonts w:ascii="Arial" w:hAnsi="Arial" w:cs="Arial"/>
          <w:sz w:val="24"/>
          <w:szCs w:val="24"/>
        </w:rPr>
        <w:t xml:space="preserve">Attached you will find </w:t>
      </w:r>
      <w:r w:rsidR="003363C0" w:rsidRPr="003363C0">
        <w:rPr>
          <w:rFonts w:ascii="Arial" w:hAnsi="Arial" w:cs="Arial"/>
          <w:sz w:val="24"/>
          <w:szCs w:val="24"/>
        </w:rPr>
        <w:t xml:space="preserve">a question for CPG to discuss concerning </w:t>
      </w:r>
      <w:r w:rsidRPr="003363C0">
        <w:rPr>
          <w:rFonts w:ascii="Arial" w:hAnsi="Arial" w:cs="Arial"/>
          <w:sz w:val="24"/>
          <w:szCs w:val="24"/>
        </w:rPr>
        <w:t xml:space="preserve">the </w:t>
      </w:r>
      <w:r w:rsidR="003363C0" w:rsidRPr="003363C0">
        <w:rPr>
          <w:rFonts w:ascii="Arial" w:hAnsi="Arial" w:cs="Arial"/>
          <w:sz w:val="24"/>
          <w:szCs w:val="24"/>
        </w:rPr>
        <w:t>draft Brief</w:t>
      </w:r>
      <w:r w:rsidRPr="003363C0">
        <w:rPr>
          <w:rFonts w:ascii="Arial" w:hAnsi="Arial" w:cs="Arial"/>
          <w:sz w:val="24"/>
          <w:szCs w:val="24"/>
        </w:rPr>
        <w:t xml:space="preserve"> concerning the WRC-12 agenda items </w:t>
      </w:r>
      <w:r w:rsidR="003363C0" w:rsidRPr="003363C0">
        <w:rPr>
          <w:rFonts w:ascii="Arial" w:hAnsi="Arial" w:cs="Arial"/>
          <w:sz w:val="24"/>
          <w:szCs w:val="24"/>
        </w:rPr>
        <w:t>8.2. The item concerns the proposed Cospas</w:t>
      </w:r>
      <w:r w:rsidR="003363C0">
        <w:rPr>
          <w:rFonts w:ascii="Arial" w:hAnsi="Arial" w:cs="Arial"/>
          <w:sz w:val="24"/>
          <w:szCs w:val="24"/>
        </w:rPr>
        <w:t>-</w:t>
      </w:r>
      <w:r w:rsidR="003363C0" w:rsidRPr="003363C0">
        <w:rPr>
          <w:rFonts w:ascii="Arial" w:hAnsi="Arial" w:cs="Arial"/>
          <w:sz w:val="24"/>
          <w:szCs w:val="24"/>
        </w:rPr>
        <w:t>Sarsat agenda item</w:t>
      </w:r>
      <w:r w:rsidR="004B292C">
        <w:rPr>
          <w:rFonts w:ascii="Arial" w:hAnsi="Arial" w:cs="Arial"/>
          <w:sz w:val="24"/>
          <w:szCs w:val="24"/>
        </w:rPr>
        <w:t xml:space="preserve"> 11</w:t>
      </w:r>
      <w:r w:rsidR="003363C0" w:rsidRPr="003363C0">
        <w:rPr>
          <w:rFonts w:ascii="Arial" w:hAnsi="Arial" w:cs="Arial"/>
          <w:sz w:val="24"/>
          <w:szCs w:val="24"/>
        </w:rPr>
        <w:t>.</w:t>
      </w:r>
    </w:p>
    <w:p w:rsidR="003363C0" w:rsidRPr="003363C0" w:rsidRDefault="003363C0" w:rsidP="00E55CCB">
      <w:pPr>
        <w:rPr>
          <w:rFonts w:ascii="Arial" w:hAnsi="Arial" w:cs="Arial"/>
          <w:sz w:val="24"/>
          <w:szCs w:val="24"/>
        </w:rPr>
      </w:pPr>
    </w:p>
    <w:p w:rsidR="003363C0" w:rsidRPr="004B292C" w:rsidRDefault="003363C0" w:rsidP="003363C0">
      <w:pPr>
        <w:overflowPunct/>
        <w:textAlignment w:val="auto"/>
        <w:rPr>
          <w:i/>
          <w:sz w:val="24"/>
          <w:szCs w:val="24"/>
          <w:lang w:val="en-US"/>
        </w:rPr>
      </w:pPr>
      <w:r w:rsidRPr="004B292C">
        <w:rPr>
          <w:i/>
          <w:sz w:val="24"/>
          <w:szCs w:val="24"/>
          <w:lang w:val="en-US"/>
        </w:rPr>
        <w:t>1.11</w:t>
      </w:r>
      <w:r w:rsidRPr="004B292C">
        <w:rPr>
          <w:i/>
          <w:sz w:val="24"/>
          <w:szCs w:val="24"/>
          <w:lang w:val="en-US"/>
        </w:rPr>
        <w:tab/>
        <w:t>to consider the adequate protection of mobile-satellite service operating in the 406-406.1 MHz band from unwanted emissions caused by systems operating in the lower adjacent bands (390-406 MHz) and in the upper adjacent bands (406.1-420 MHz), based on the results of compatibility and regulatory studies.</w:t>
      </w:r>
    </w:p>
    <w:p w:rsidR="003363C0" w:rsidRPr="000D6ECB" w:rsidRDefault="003363C0" w:rsidP="00E55CCB">
      <w:pPr>
        <w:rPr>
          <w:rFonts w:ascii="Arial" w:hAnsi="Arial" w:cs="Arial"/>
        </w:rPr>
      </w:pPr>
      <w:bookmarkStart w:id="0" w:name="_GoBack"/>
      <w:bookmarkEnd w:id="0"/>
    </w:p>
    <w:p w:rsidR="003363C0" w:rsidRPr="000D6ECB" w:rsidRDefault="003363C0" w:rsidP="00E55CCB">
      <w:pPr>
        <w:rPr>
          <w:rFonts w:ascii="Arial" w:hAnsi="Arial" w:cs="Arial"/>
          <w:sz w:val="24"/>
          <w:szCs w:val="24"/>
        </w:rPr>
      </w:pPr>
      <w:r w:rsidRPr="000D6ECB">
        <w:rPr>
          <w:rFonts w:ascii="Arial" w:hAnsi="Arial" w:cs="Arial"/>
          <w:sz w:val="24"/>
          <w:szCs w:val="24"/>
        </w:rPr>
        <w:t xml:space="preserve">The United Kingdom supports the agenda item. However, we do ask CPG to review the overall band limits proposed for the compatibility and regulatory studies. </w:t>
      </w:r>
    </w:p>
    <w:p w:rsidR="003363C0" w:rsidRPr="000D6ECB" w:rsidRDefault="003363C0" w:rsidP="00E55CCB">
      <w:pPr>
        <w:rPr>
          <w:rFonts w:ascii="Arial" w:hAnsi="Arial" w:cs="Arial"/>
          <w:sz w:val="24"/>
          <w:szCs w:val="24"/>
        </w:rPr>
      </w:pPr>
    </w:p>
    <w:p w:rsidR="000D6ECB" w:rsidRPr="000D6ECB" w:rsidRDefault="003363C0" w:rsidP="00E55CCB">
      <w:pPr>
        <w:rPr>
          <w:rFonts w:ascii="Arial" w:hAnsi="Arial" w:cs="Arial"/>
          <w:sz w:val="24"/>
          <w:szCs w:val="24"/>
        </w:rPr>
      </w:pPr>
      <w:r w:rsidRPr="000D6ECB">
        <w:rPr>
          <w:rFonts w:ascii="Arial" w:hAnsi="Arial" w:cs="Arial"/>
          <w:sz w:val="24"/>
          <w:szCs w:val="24"/>
        </w:rPr>
        <w:t xml:space="preserve">Cospas-Sarsat operates within the band 406-406.1 MHz and it provides an essential system for search and rescue functions.  </w:t>
      </w:r>
    </w:p>
    <w:p w:rsidR="000D6ECB" w:rsidRPr="000D6ECB" w:rsidRDefault="000D6ECB" w:rsidP="00E55CCB">
      <w:pPr>
        <w:rPr>
          <w:rFonts w:ascii="Arial" w:hAnsi="Arial" w:cs="Arial"/>
          <w:sz w:val="24"/>
          <w:szCs w:val="24"/>
        </w:rPr>
      </w:pPr>
    </w:p>
    <w:p w:rsidR="003363C0" w:rsidRPr="000D6ECB" w:rsidRDefault="000D6ECB" w:rsidP="00E55CCB">
      <w:pPr>
        <w:rPr>
          <w:rFonts w:ascii="Arial" w:hAnsi="Arial" w:cs="Arial"/>
          <w:sz w:val="24"/>
          <w:szCs w:val="24"/>
        </w:rPr>
      </w:pPr>
      <w:r w:rsidRPr="000D6ECB">
        <w:rPr>
          <w:rFonts w:ascii="Arial" w:hAnsi="Arial" w:cs="Arial"/>
          <w:sz w:val="24"/>
          <w:szCs w:val="24"/>
        </w:rPr>
        <w:t xml:space="preserve">Many different non-geostationary and geostationary satellite systems implement </w:t>
      </w:r>
      <w:r w:rsidR="003363C0" w:rsidRPr="000D6ECB">
        <w:rPr>
          <w:rFonts w:ascii="Arial" w:hAnsi="Arial" w:cs="Arial"/>
          <w:sz w:val="24"/>
          <w:szCs w:val="24"/>
        </w:rPr>
        <w:t xml:space="preserve">Cospas-Sarsat receivers. </w:t>
      </w:r>
      <w:r w:rsidRPr="000D6ECB">
        <w:rPr>
          <w:rFonts w:ascii="Arial" w:hAnsi="Arial" w:cs="Arial"/>
          <w:sz w:val="24"/>
          <w:szCs w:val="24"/>
        </w:rPr>
        <w:t>ITU-R recently updated t</w:t>
      </w:r>
      <w:r w:rsidR="003363C0" w:rsidRPr="000D6ECB">
        <w:rPr>
          <w:rFonts w:ascii="Arial" w:hAnsi="Arial" w:cs="Arial"/>
          <w:sz w:val="24"/>
          <w:szCs w:val="24"/>
        </w:rPr>
        <w:t xml:space="preserve">he in-band protection criteria for </w:t>
      </w:r>
      <w:r w:rsidRPr="000D6ECB">
        <w:rPr>
          <w:rFonts w:ascii="Arial" w:hAnsi="Arial" w:cs="Arial"/>
          <w:sz w:val="24"/>
          <w:szCs w:val="24"/>
        </w:rPr>
        <w:t xml:space="preserve">these receivers </w:t>
      </w:r>
      <w:r w:rsidR="003363C0" w:rsidRPr="000D6ECB">
        <w:rPr>
          <w:rFonts w:ascii="Arial" w:hAnsi="Arial" w:cs="Arial"/>
          <w:sz w:val="24"/>
          <w:szCs w:val="24"/>
        </w:rPr>
        <w:t xml:space="preserve">in </w:t>
      </w:r>
      <w:r w:rsidRPr="000D6ECB">
        <w:rPr>
          <w:rFonts w:ascii="Arial" w:hAnsi="Arial" w:cs="Arial"/>
          <w:sz w:val="24"/>
          <w:szCs w:val="24"/>
        </w:rPr>
        <w:t>Recommendation ITU-R M.1478 “Protection criteria for Cospas-Sarsat search and rescue instruments in the band 406-406.1 MHz”.</w:t>
      </w:r>
    </w:p>
    <w:p w:rsidR="000D6ECB" w:rsidRPr="000D6ECB" w:rsidRDefault="000D6ECB" w:rsidP="00E55CCB">
      <w:pPr>
        <w:rPr>
          <w:rFonts w:ascii="Arial" w:hAnsi="Arial" w:cs="Arial"/>
          <w:sz w:val="24"/>
          <w:szCs w:val="24"/>
        </w:rPr>
      </w:pPr>
    </w:p>
    <w:p w:rsidR="00EE7B21" w:rsidRDefault="000D6ECB" w:rsidP="00E55CCB">
      <w:pPr>
        <w:rPr>
          <w:rFonts w:ascii="Arial" w:hAnsi="Arial" w:cs="Arial"/>
          <w:sz w:val="24"/>
          <w:szCs w:val="24"/>
        </w:rPr>
      </w:pPr>
      <w:r w:rsidRPr="000D6ECB">
        <w:rPr>
          <w:rFonts w:ascii="Arial" w:hAnsi="Arial" w:cs="Arial"/>
          <w:sz w:val="24"/>
          <w:szCs w:val="24"/>
        </w:rPr>
        <w:t>We would propose that the compatibility and regulatory studies for Cospas-Sarsat are set at 402-406 MHz and 406.1-</w:t>
      </w:r>
      <w:r w:rsidR="00864006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 xml:space="preserve">10 </w:t>
      </w:r>
      <w:r w:rsidRPr="000D6ECB">
        <w:rPr>
          <w:rFonts w:ascii="Arial" w:hAnsi="Arial" w:cs="Arial"/>
          <w:sz w:val="24"/>
          <w:szCs w:val="24"/>
        </w:rPr>
        <w:t xml:space="preserve">MHz, rather than the extensions out to 390 and 420 MHz as currently proposed. </w:t>
      </w:r>
    </w:p>
    <w:p w:rsidR="00EE7B21" w:rsidRDefault="00EE7B21" w:rsidP="00E55CCB">
      <w:pPr>
        <w:rPr>
          <w:rFonts w:ascii="Arial" w:hAnsi="Arial" w:cs="Arial"/>
          <w:sz w:val="24"/>
          <w:szCs w:val="24"/>
        </w:rPr>
      </w:pPr>
    </w:p>
    <w:p w:rsidR="00EE7B21" w:rsidRDefault="000D6ECB" w:rsidP="00E55CCB">
      <w:pPr>
        <w:rPr>
          <w:rFonts w:ascii="Arial" w:hAnsi="Arial" w:cs="Arial"/>
          <w:sz w:val="24"/>
          <w:szCs w:val="24"/>
          <w:lang w:eastAsia="zh-CN"/>
        </w:rPr>
      </w:pPr>
      <w:r w:rsidRPr="000D6ECB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 xml:space="preserve">premise </w:t>
      </w:r>
      <w:r w:rsidR="00EE7B21">
        <w:rPr>
          <w:rFonts w:ascii="Arial" w:hAnsi="Arial" w:cs="Arial"/>
          <w:sz w:val="24"/>
          <w:szCs w:val="24"/>
        </w:rPr>
        <w:t xml:space="preserve">is </w:t>
      </w:r>
      <w:r w:rsidRPr="000D6ECB">
        <w:rPr>
          <w:rFonts w:ascii="Arial" w:hAnsi="Arial" w:cs="Arial"/>
          <w:sz w:val="24"/>
          <w:szCs w:val="24"/>
        </w:rPr>
        <w:t xml:space="preserve">based on </w:t>
      </w:r>
      <w:r w:rsidR="00EE7B21">
        <w:rPr>
          <w:rFonts w:ascii="Arial" w:hAnsi="Arial" w:cs="Arial"/>
          <w:sz w:val="24"/>
          <w:szCs w:val="24"/>
        </w:rPr>
        <w:t xml:space="preserve">the </w:t>
      </w:r>
      <w:r w:rsidRPr="000D6ECB">
        <w:rPr>
          <w:rFonts w:ascii="Arial" w:hAnsi="Arial" w:cs="Arial"/>
          <w:sz w:val="24"/>
          <w:szCs w:val="24"/>
        </w:rPr>
        <w:t xml:space="preserve">reasonable </w:t>
      </w:r>
      <w:r w:rsidR="00EE7B21">
        <w:rPr>
          <w:rFonts w:ascii="Arial" w:hAnsi="Arial" w:cs="Arial"/>
          <w:sz w:val="24"/>
          <w:szCs w:val="24"/>
        </w:rPr>
        <w:t xml:space="preserve">assumption that realistic </w:t>
      </w:r>
      <w:r>
        <w:rPr>
          <w:rFonts w:ascii="Arial" w:hAnsi="Arial" w:cs="Arial"/>
          <w:sz w:val="24"/>
          <w:szCs w:val="24"/>
        </w:rPr>
        <w:t xml:space="preserve">receiver </w:t>
      </w:r>
      <w:r w:rsidRPr="000D6ECB">
        <w:rPr>
          <w:rFonts w:ascii="Arial" w:hAnsi="Arial" w:cs="Arial"/>
          <w:sz w:val="24"/>
          <w:szCs w:val="24"/>
        </w:rPr>
        <w:t xml:space="preserve">filtering is possible within 1% of the centre </w:t>
      </w:r>
      <w:r>
        <w:rPr>
          <w:rFonts w:ascii="Arial" w:hAnsi="Arial" w:cs="Arial"/>
          <w:sz w:val="24"/>
          <w:szCs w:val="24"/>
        </w:rPr>
        <w:t xml:space="preserve">frequency i.e. </w:t>
      </w:r>
      <w:r w:rsidRPr="000D6ECB">
        <w:rPr>
          <w:rFonts w:ascii="Arial" w:hAnsi="Arial" w:cs="Arial"/>
          <w:sz w:val="24"/>
          <w:szCs w:val="24"/>
        </w:rPr>
        <w:t>±</w:t>
      </w:r>
      <w:r w:rsidRPr="000D6ECB">
        <w:rPr>
          <w:rFonts w:ascii="Arial" w:hAnsi="Arial" w:cs="Arial"/>
          <w:sz w:val="24"/>
          <w:szCs w:val="24"/>
          <w:lang w:eastAsia="zh-CN"/>
        </w:rPr>
        <w:t xml:space="preserve"> 4M</w:t>
      </w:r>
      <w:r w:rsidR="00EE7B21">
        <w:rPr>
          <w:rFonts w:ascii="Arial" w:hAnsi="Arial" w:cs="Arial"/>
          <w:sz w:val="24"/>
          <w:szCs w:val="24"/>
          <w:lang w:eastAsia="zh-CN"/>
        </w:rPr>
        <w:t>Hz.</w:t>
      </w:r>
    </w:p>
    <w:p w:rsidR="00EE7B21" w:rsidRDefault="00EE7B21" w:rsidP="00E55CCB">
      <w:pPr>
        <w:rPr>
          <w:rFonts w:ascii="Arial" w:hAnsi="Arial" w:cs="Arial"/>
          <w:sz w:val="24"/>
          <w:szCs w:val="24"/>
          <w:lang w:eastAsia="zh-CN"/>
        </w:rPr>
      </w:pPr>
    </w:p>
    <w:p w:rsidR="000D6ECB" w:rsidRDefault="000D6ECB" w:rsidP="00E55CCB">
      <w:pPr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In addition, </w:t>
      </w:r>
      <w:r w:rsidR="004B292C">
        <w:rPr>
          <w:rFonts w:ascii="Arial" w:hAnsi="Arial" w:cs="Arial"/>
          <w:sz w:val="24"/>
          <w:szCs w:val="24"/>
          <w:lang w:eastAsia="zh-CN"/>
        </w:rPr>
        <w:t xml:space="preserve">that with the current band range, </w:t>
      </w:r>
      <w:r>
        <w:rPr>
          <w:rFonts w:ascii="Arial" w:hAnsi="Arial" w:cs="Arial"/>
          <w:sz w:val="24"/>
          <w:szCs w:val="24"/>
          <w:lang w:eastAsia="zh-CN"/>
        </w:rPr>
        <w:t xml:space="preserve">terrestrial services operating close to Cospas-Sarsat would have to be operating </w:t>
      </w:r>
      <w:r w:rsidR="004B292C">
        <w:rPr>
          <w:rFonts w:ascii="Arial" w:hAnsi="Arial" w:cs="Arial"/>
          <w:sz w:val="24"/>
          <w:szCs w:val="24"/>
          <w:lang w:eastAsia="zh-CN"/>
        </w:rPr>
        <w:t>at 5.6 MHz channel bandwidths for unwanted emissions in the out</w:t>
      </w:r>
      <w:r w:rsidR="004B292C">
        <w:rPr>
          <w:rFonts w:ascii="Arial" w:hAnsi="Arial" w:cs="Arial"/>
          <w:sz w:val="24"/>
          <w:szCs w:val="24"/>
          <w:lang w:eastAsia="zh-CN"/>
        </w:rPr>
        <w:noBreakHyphen/>
        <w:t>of</w:t>
      </w:r>
      <w:r w:rsidR="004B292C">
        <w:rPr>
          <w:rFonts w:ascii="Arial" w:hAnsi="Arial" w:cs="Arial"/>
          <w:sz w:val="24"/>
          <w:szCs w:val="24"/>
          <w:lang w:eastAsia="zh-CN"/>
        </w:rPr>
        <w:noBreakHyphen/>
        <w:t>band domain (1</w:t>
      </w:r>
      <w:r>
        <w:rPr>
          <w:rFonts w:ascii="Arial" w:hAnsi="Arial" w:cs="Arial"/>
          <w:sz w:val="24"/>
          <w:szCs w:val="24"/>
          <w:lang w:eastAsia="zh-CN"/>
        </w:rPr>
        <w:t>4MHz</w:t>
      </w:r>
      <w:r w:rsidR="00BF6406">
        <w:rPr>
          <w:rFonts w:ascii="Arial" w:hAnsi="Arial" w:cs="Arial"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>/</w:t>
      </w:r>
      <w:r w:rsidR="00BF6406">
        <w:rPr>
          <w:rFonts w:ascii="Arial" w:hAnsi="Arial" w:cs="Arial"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>250%</w:t>
      </w:r>
      <w:r w:rsidR="004B292C">
        <w:rPr>
          <w:rFonts w:ascii="Arial" w:hAnsi="Arial" w:cs="Arial"/>
          <w:sz w:val="24"/>
          <w:szCs w:val="24"/>
          <w:lang w:eastAsia="zh-CN"/>
        </w:rPr>
        <w:t>)</w:t>
      </w:r>
      <w:r>
        <w:rPr>
          <w:rFonts w:ascii="Arial" w:hAnsi="Arial" w:cs="Arial"/>
          <w:sz w:val="24"/>
          <w:szCs w:val="24"/>
          <w:lang w:eastAsia="zh-CN"/>
        </w:rPr>
        <w:t>, whereas systems operating in this area are usually operating at much lower channel bandwidths (i.e.) 25 kHz</w:t>
      </w:r>
      <w:r w:rsidR="003F1AFE">
        <w:rPr>
          <w:rFonts w:ascii="Arial" w:hAnsi="Arial" w:cs="Arial"/>
          <w:sz w:val="24"/>
          <w:szCs w:val="24"/>
          <w:lang w:eastAsia="zh-CN"/>
        </w:rPr>
        <w:t xml:space="preserve">. Therefore, studies on unwanted emissions in the out band domain would automatically be covered for systems having channel bandwidths up to </w:t>
      </w:r>
      <w:r w:rsidR="00BF6406">
        <w:rPr>
          <w:rFonts w:ascii="Arial" w:hAnsi="Arial" w:cs="Arial"/>
          <w:sz w:val="24"/>
          <w:szCs w:val="24"/>
          <w:lang w:eastAsia="zh-CN"/>
        </w:rPr>
        <w:t>~</w:t>
      </w:r>
      <w:r w:rsidR="003F1AFE">
        <w:rPr>
          <w:rFonts w:ascii="Arial" w:hAnsi="Arial" w:cs="Arial"/>
          <w:sz w:val="24"/>
          <w:szCs w:val="24"/>
          <w:lang w:eastAsia="zh-CN"/>
        </w:rPr>
        <w:t xml:space="preserve">1.6 MHz. </w:t>
      </w:r>
      <w:r w:rsidR="00AF6AC5">
        <w:rPr>
          <w:rFonts w:ascii="Arial" w:hAnsi="Arial" w:cs="Arial"/>
          <w:sz w:val="24"/>
          <w:szCs w:val="24"/>
          <w:lang w:eastAsia="zh-CN"/>
        </w:rPr>
        <w:lastRenderedPageBreak/>
        <w:t>D</w:t>
      </w:r>
      <w:r w:rsidR="003F1AFE">
        <w:rPr>
          <w:rFonts w:ascii="Arial" w:hAnsi="Arial" w:cs="Arial"/>
          <w:sz w:val="24"/>
          <w:szCs w:val="24"/>
          <w:lang w:eastAsia="zh-CN"/>
        </w:rPr>
        <w:t xml:space="preserve">ifficult to </w:t>
      </w:r>
      <w:r w:rsidR="00BF6406">
        <w:rPr>
          <w:rFonts w:ascii="Arial" w:hAnsi="Arial" w:cs="Arial"/>
          <w:sz w:val="24"/>
          <w:szCs w:val="24"/>
          <w:lang w:eastAsia="zh-CN"/>
        </w:rPr>
        <w:t>define</w:t>
      </w:r>
      <w:r w:rsidR="003F1AFE">
        <w:rPr>
          <w:rFonts w:ascii="Arial" w:hAnsi="Arial" w:cs="Arial"/>
          <w:sz w:val="24"/>
          <w:szCs w:val="24"/>
          <w:lang w:eastAsia="zh-CN"/>
        </w:rPr>
        <w:t xml:space="preserve"> are band limits to cover unwanted emissions in the spurious domain. </w:t>
      </w:r>
    </w:p>
    <w:p w:rsidR="00EE7B21" w:rsidRDefault="00EE7B21" w:rsidP="00E55CCB">
      <w:pPr>
        <w:rPr>
          <w:rFonts w:ascii="Arial" w:hAnsi="Arial" w:cs="Arial"/>
          <w:sz w:val="24"/>
          <w:szCs w:val="24"/>
          <w:lang w:eastAsia="zh-CN"/>
        </w:rPr>
      </w:pPr>
    </w:p>
    <w:p w:rsidR="000D6ECB" w:rsidRPr="003363C0" w:rsidRDefault="00EE7B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The proposal made here </w:t>
      </w:r>
      <w:r w:rsidR="00BF6406">
        <w:rPr>
          <w:rFonts w:ascii="Arial" w:hAnsi="Arial" w:cs="Arial"/>
          <w:sz w:val="24"/>
          <w:szCs w:val="24"/>
          <w:lang w:eastAsia="zh-CN"/>
        </w:rPr>
        <w:t xml:space="preserve">is </w:t>
      </w:r>
      <w:r w:rsidR="003F1AFE">
        <w:rPr>
          <w:rFonts w:ascii="Arial" w:hAnsi="Arial" w:cs="Arial"/>
          <w:sz w:val="24"/>
          <w:szCs w:val="24"/>
          <w:lang w:eastAsia="zh-CN"/>
        </w:rPr>
        <w:t xml:space="preserve">for CPG to review the band limits </w:t>
      </w:r>
      <w:r w:rsidR="00BF6406">
        <w:rPr>
          <w:rFonts w:ascii="Arial" w:hAnsi="Arial" w:cs="Arial"/>
          <w:sz w:val="24"/>
          <w:szCs w:val="24"/>
          <w:lang w:eastAsia="zh-CN"/>
        </w:rPr>
        <w:t xml:space="preserve">and </w:t>
      </w:r>
      <w:r>
        <w:rPr>
          <w:rFonts w:ascii="Arial" w:hAnsi="Arial" w:cs="Arial"/>
          <w:sz w:val="24"/>
          <w:szCs w:val="24"/>
          <w:lang w:eastAsia="zh-CN"/>
        </w:rPr>
        <w:t xml:space="preserve">to </w:t>
      </w:r>
      <w:r w:rsidR="003F1AFE">
        <w:rPr>
          <w:rFonts w:ascii="Arial" w:hAnsi="Arial" w:cs="Arial"/>
          <w:sz w:val="24"/>
          <w:szCs w:val="24"/>
          <w:lang w:eastAsia="zh-CN"/>
        </w:rPr>
        <w:t xml:space="preserve">promote it </w:t>
      </w:r>
      <w:r>
        <w:rPr>
          <w:rFonts w:ascii="Arial" w:hAnsi="Arial" w:cs="Arial"/>
          <w:sz w:val="24"/>
          <w:szCs w:val="24"/>
          <w:lang w:eastAsia="zh-CN"/>
        </w:rPr>
        <w:t xml:space="preserve">to consider at the outset a reasonable band range </w:t>
      </w:r>
      <w:r w:rsidR="003F1AFE">
        <w:rPr>
          <w:rFonts w:ascii="Arial" w:hAnsi="Arial" w:cs="Arial"/>
          <w:sz w:val="24"/>
          <w:szCs w:val="24"/>
          <w:lang w:eastAsia="zh-CN"/>
        </w:rPr>
        <w:t xml:space="preserve">for the </w:t>
      </w:r>
      <w:r>
        <w:rPr>
          <w:rFonts w:ascii="Arial" w:hAnsi="Arial" w:cs="Arial"/>
          <w:sz w:val="24"/>
          <w:szCs w:val="24"/>
          <w:lang w:eastAsia="zh-CN"/>
        </w:rPr>
        <w:t xml:space="preserve">conduct </w:t>
      </w:r>
      <w:r w:rsidR="003F1AFE">
        <w:rPr>
          <w:rFonts w:ascii="Arial" w:hAnsi="Arial" w:cs="Arial"/>
          <w:sz w:val="24"/>
          <w:szCs w:val="24"/>
          <w:lang w:eastAsia="zh-CN"/>
        </w:rPr>
        <w:t xml:space="preserve">of </w:t>
      </w:r>
      <w:r>
        <w:rPr>
          <w:rFonts w:ascii="Arial" w:hAnsi="Arial" w:cs="Arial"/>
          <w:sz w:val="24"/>
          <w:szCs w:val="24"/>
          <w:lang w:eastAsia="zh-CN"/>
        </w:rPr>
        <w:t>studies</w:t>
      </w:r>
      <w:r w:rsidR="003F1AFE">
        <w:rPr>
          <w:rFonts w:ascii="Arial" w:hAnsi="Arial" w:cs="Arial"/>
          <w:sz w:val="24"/>
          <w:szCs w:val="24"/>
          <w:lang w:eastAsia="zh-CN"/>
        </w:rPr>
        <w:t>.</w:t>
      </w:r>
    </w:p>
    <w:sectPr w:rsidR="000D6ECB" w:rsidRPr="003363C0" w:rsidSect="00192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55CCB"/>
    <w:rsid w:val="00057A2E"/>
    <w:rsid w:val="000D6ECB"/>
    <w:rsid w:val="00192503"/>
    <w:rsid w:val="003363C0"/>
    <w:rsid w:val="003671C6"/>
    <w:rsid w:val="003F1AFE"/>
    <w:rsid w:val="004B292C"/>
    <w:rsid w:val="006D409A"/>
    <w:rsid w:val="00810D28"/>
    <w:rsid w:val="00864006"/>
    <w:rsid w:val="00AF6AC5"/>
    <w:rsid w:val="00BF6406"/>
    <w:rsid w:val="00C971A7"/>
    <w:rsid w:val="00D614A6"/>
    <w:rsid w:val="00E55CCB"/>
    <w:rsid w:val="00EE7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C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40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09A"/>
    <w:rPr>
      <w:rFonts w:ascii="Tahoma" w:eastAsia="Times New Roman" w:hAnsi="Tahoma" w:cs="Tahoma"/>
      <w:sz w:val="16"/>
      <w:szCs w:val="16"/>
      <w:lang w:val="en-GB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C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Agentschap Telecom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van Diepenbeek</dc:creator>
  <cp:lastModifiedBy>RISSONE Christian</cp:lastModifiedBy>
  <cp:revision>3</cp:revision>
  <dcterms:created xsi:type="dcterms:W3CDTF">2011-10-27T10:20:00Z</dcterms:created>
  <dcterms:modified xsi:type="dcterms:W3CDTF">2011-10-27T12:16:00Z</dcterms:modified>
</cp:coreProperties>
</file>