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4A0" w:firstRow="1" w:lastRow="0" w:firstColumn="1" w:lastColumn="0" w:noHBand="0" w:noVBand="1"/>
      </w:tblPr>
      <w:tblGrid>
        <w:gridCol w:w="4482"/>
        <w:gridCol w:w="905"/>
        <w:gridCol w:w="3827"/>
      </w:tblGrid>
      <w:tr w:rsidR="00942D25" w:rsidTr="00942D25">
        <w:trPr>
          <w:cantSplit/>
          <w:trHeight w:val="1843"/>
        </w:trPr>
        <w:tc>
          <w:tcPr>
            <w:tcW w:w="5387" w:type="dxa"/>
            <w:gridSpan w:val="2"/>
          </w:tcPr>
          <w:p w:rsidR="00942D25" w:rsidRDefault="00942D25">
            <w:pPr>
              <w:rPr>
                <w:b/>
              </w:rPr>
            </w:pPr>
            <w:r>
              <w:rPr>
                <w:b/>
                <w:noProof/>
                <w:lang w:eastAsia="en-GB"/>
              </w:rPr>
              <w:drawing>
                <wp:inline distT="0" distB="0" distL="0" distR="0">
                  <wp:extent cx="163068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680" cy="838200"/>
                          </a:xfrm>
                          <a:prstGeom prst="rect">
                            <a:avLst/>
                          </a:prstGeom>
                          <a:noFill/>
                          <a:ln>
                            <a:noFill/>
                          </a:ln>
                        </pic:spPr>
                      </pic:pic>
                    </a:graphicData>
                  </a:graphic>
                </wp:inline>
              </w:drawing>
            </w:r>
          </w:p>
          <w:p w:rsidR="00942D25" w:rsidRDefault="00942D25">
            <w:pPr>
              <w:rPr>
                <w:b/>
              </w:rPr>
            </w:pPr>
          </w:p>
        </w:tc>
        <w:tc>
          <w:tcPr>
            <w:tcW w:w="3827" w:type="dxa"/>
            <w:hideMark/>
          </w:tcPr>
          <w:p w:rsidR="00942D25" w:rsidRDefault="00942D25">
            <w:pPr>
              <w:rPr>
                <w:b/>
              </w:rPr>
            </w:pPr>
            <w:r>
              <w:rPr>
                <w:b/>
              </w:rPr>
              <w:t>Doc. ECC/CPG15(12)</w:t>
            </w:r>
            <w:r w:rsidR="00371896">
              <w:rPr>
                <w:b/>
              </w:rPr>
              <w:t>005</w:t>
            </w:r>
          </w:p>
        </w:tc>
      </w:tr>
      <w:tr w:rsidR="00942D25" w:rsidTr="00942D25">
        <w:trPr>
          <w:cantSplit/>
        </w:trPr>
        <w:tc>
          <w:tcPr>
            <w:tcW w:w="4482" w:type="dxa"/>
            <w:tcMar>
              <w:top w:w="0" w:type="dxa"/>
              <w:left w:w="108" w:type="dxa"/>
              <w:bottom w:w="0" w:type="dxa"/>
              <w:right w:w="108" w:type="dxa"/>
            </w:tcMar>
          </w:tcPr>
          <w:p w:rsidR="00942D25" w:rsidRDefault="00942D25">
            <w:pPr>
              <w:rPr>
                <w:b/>
              </w:rPr>
            </w:pPr>
            <w:r>
              <w:rPr>
                <w:b/>
              </w:rPr>
              <w:t>CPG15 – 1</w:t>
            </w:r>
          </w:p>
          <w:p w:rsidR="00942D25" w:rsidRDefault="00942D25">
            <w:pPr>
              <w:rPr>
                <w:b/>
              </w:rPr>
            </w:pPr>
            <w:r>
              <w:rPr>
                <w:b/>
              </w:rPr>
              <w:t>Mainz, 16 April – 18 April 2012</w:t>
            </w:r>
          </w:p>
          <w:p w:rsidR="00942D25" w:rsidRDefault="00942D25"/>
        </w:tc>
        <w:tc>
          <w:tcPr>
            <w:tcW w:w="4732" w:type="dxa"/>
            <w:gridSpan w:val="2"/>
            <w:tcMar>
              <w:top w:w="0" w:type="dxa"/>
              <w:left w:w="108" w:type="dxa"/>
              <w:bottom w:w="0" w:type="dxa"/>
              <w:right w:w="108" w:type="dxa"/>
            </w:tcMar>
          </w:tcPr>
          <w:p w:rsidR="00942D25" w:rsidRDefault="00942D25"/>
        </w:tc>
      </w:tr>
      <w:tr w:rsidR="00942D25" w:rsidRPr="00942D25" w:rsidTr="00942D25">
        <w:trPr>
          <w:cantSplit/>
        </w:trPr>
        <w:tc>
          <w:tcPr>
            <w:tcW w:w="9214" w:type="dxa"/>
            <w:gridSpan w:val="3"/>
            <w:tcMar>
              <w:top w:w="0" w:type="dxa"/>
              <w:left w:w="108" w:type="dxa"/>
              <w:bottom w:w="0" w:type="dxa"/>
              <w:right w:w="108" w:type="dxa"/>
            </w:tcMar>
          </w:tcPr>
          <w:p w:rsidR="00942D25" w:rsidRDefault="00942D25">
            <w:r>
              <w:rPr>
                <w:b/>
              </w:rPr>
              <w:t>Date issued:</w:t>
            </w:r>
            <w:r>
              <w:t xml:space="preserve">  </w:t>
            </w:r>
            <w:r w:rsidR="00371896">
              <w:t>10</w:t>
            </w:r>
            <w:bookmarkStart w:id="0" w:name="_GoBack"/>
            <w:bookmarkEnd w:id="0"/>
            <w:r>
              <w:t xml:space="preserve"> </w:t>
            </w:r>
            <w:r w:rsidR="00D26514">
              <w:t>April</w:t>
            </w:r>
            <w:r>
              <w:t xml:space="preserve"> 2012</w:t>
            </w:r>
            <w:r>
              <w:tab/>
            </w:r>
          </w:p>
          <w:p w:rsidR="00942D25" w:rsidRDefault="00942D25">
            <w:r>
              <w:rPr>
                <w:b/>
              </w:rPr>
              <w:t>Source:</w:t>
            </w:r>
            <w:r>
              <w:tab/>
            </w:r>
            <w:r w:rsidR="00D26514">
              <w:t xml:space="preserve"> </w:t>
            </w:r>
            <w:r w:rsidR="00D26514" w:rsidRPr="00406DA8">
              <w:t>Broadcast Networks Europe</w:t>
            </w:r>
          </w:p>
          <w:p w:rsidR="00942D25" w:rsidRDefault="00942D25">
            <w:r>
              <w:rPr>
                <w:b/>
              </w:rPr>
              <w:t>Subject:</w:t>
            </w:r>
            <w:r>
              <w:t xml:space="preserve"> Proposal related to studies to be performed in relation to WRC-15 Agenda items 1.1 and 1.2</w:t>
            </w:r>
            <w:r w:rsidR="00D26514">
              <w:t xml:space="preserve"> within CEPT</w:t>
            </w:r>
          </w:p>
          <w:p w:rsidR="00942D25" w:rsidRDefault="00942D25"/>
          <w:p w:rsidR="00563B9C" w:rsidRDefault="00563B9C"/>
        </w:tc>
      </w:tr>
    </w:tbl>
    <w:p w:rsidR="00942D25" w:rsidRDefault="00942D25" w:rsidP="00D26514">
      <w:pPr>
        <w:pStyle w:val="Heading1"/>
        <w:ind w:left="0" w:firstLine="0"/>
      </w:pPr>
      <w:r w:rsidRPr="002D669C">
        <w:t>Introduction</w:t>
      </w:r>
    </w:p>
    <w:p w:rsidR="00942D25" w:rsidRPr="00942D25" w:rsidRDefault="00942D25" w:rsidP="00942D25"/>
    <w:p w:rsidR="00942D25" w:rsidRDefault="00942D25" w:rsidP="00942D25">
      <w:r w:rsidRPr="00406DA8">
        <w:t>Broadcast Networks Europe</w:t>
      </w:r>
      <w:r w:rsidRPr="00406DA8">
        <w:rPr>
          <w:b/>
        </w:rPr>
        <w:t xml:space="preserve"> </w:t>
      </w:r>
      <w:r w:rsidRPr="003C1524">
        <w:t>(BNE)</w:t>
      </w:r>
      <w:r w:rsidRPr="001B35BC">
        <w:t xml:space="preserve"> </w:t>
      </w:r>
      <w:r>
        <w:t>represents terrestrial broadcast network operators with operations in 25 European countries. BNE</w:t>
      </w:r>
      <w:r w:rsidRPr="00406DA8">
        <w:t xml:space="preserve"> is dedicated to maintaining an efficient and fair operational environment for </w:t>
      </w:r>
      <w:r>
        <w:t>such o</w:t>
      </w:r>
      <w:r w:rsidRPr="00406DA8">
        <w:t>perators with a view to ensuring that European citizens continue to receive universal access to a broad range of TV and radio programmes as well as other over the air services</w:t>
      </w:r>
      <w:r>
        <w:t>.</w:t>
      </w:r>
    </w:p>
    <w:p w:rsidR="00942D25" w:rsidRDefault="00942D25" w:rsidP="00942D25">
      <w:r>
        <w:t>BNE has closely followed the work of WRC-12 and will have a continued and active interest in forthcoming studies and WRC</w:t>
      </w:r>
      <w:r>
        <w:noBreakHyphen/>
        <w:t>15/16.</w:t>
      </w:r>
    </w:p>
    <w:p w:rsidR="007B7717" w:rsidRDefault="00942D25" w:rsidP="00942D25">
      <w:r>
        <w:t xml:space="preserve">This document addresses studies to be carried out in response to Resolution </w:t>
      </w:r>
      <w:r w:rsidRPr="00AC0B16">
        <w:rPr>
          <w:b/>
          <w:bCs/>
        </w:rPr>
        <w:t>COM6/8</w:t>
      </w:r>
      <w:r>
        <w:t xml:space="preserve"> and Resolution </w:t>
      </w:r>
      <w:r w:rsidRPr="00AC0B16">
        <w:rPr>
          <w:b/>
          <w:bCs/>
        </w:rPr>
        <w:t>COM5/10</w:t>
      </w:r>
      <w:r>
        <w:t xml:space="preserve"> of WRC-12 and the way they will be addressed within CEPT. </w:t>
      </w:r>
    </w:p>
    <w:p w:rsidR="00942D25" w:rsidRDefault="00942D25" w:rsidP="00942D25">
      <w:r>
        <w:t xml:space="preserve">Resolution </w:t>
      </w:r>
      <w:r w:rsidRPr="00AC0B16">
        <w:rPr>
          <w:b/>
          <w:bCs/>
        </w:rPr>
        <w:t>COM6/8</w:t>
      </w:r>
      <w:r>
        <w:t xml:space="preserve"> calls for ‘</w:t>
      </w:r>
      <w:r w:rsidRPr="00697545">
        <w:t>Studies on frequency-related matters on IMT and other terrestrial mobile broadband applications</w:t>
      </w:r>
      <w:r>
        <w:t xml:space="preserve">’. Resolution </w:t>
      </w:r>
      <w:r w:rsidRPr="00AC0B16">
        <w:rPr>
          <w:b/>
          <w:bCs/>
        </w:rPr>
        <w:t>COM5/10</w:t>
      </w:r>
      <w:r>
        <w:t xml:space="preserve"> covers ‘</w:t>
      </w:r>
      <w:r w:rsidRPr="0094667C">
        <w:t>The use of the frequency band 694-790 MHz by the mobile, except aeronautical mobile, service in Region 1 and related studies</w:t>
      </w:r>
      <w:r>
        <w:t>’. Both these resolutions relate to spectrum requirements and spectrum use for mobile services, but they also ask for studies of spectrum requirements and sharing conditions related to other services, in particular the broadcasting service.</w:t>
      </w:r>
    </w:p>
    <w:p w:rsidR="00942D25" w:rsidRDefault="00942D25" w:rsidP="00942D25">
      <w:r>
        <w:t>Those studies will involve, depending on the candidate bands under consideration, e.g. broadcasting, satellite, aeronautical and science services.</w:t>
      </w:r>
    </w:p>
    <w:p w:rsidR="00942D25" w:rsidRDefault="00942D25" w:rsidP="00942D25">
      <w:pPr>
        <w:pStyle w:val="Heading1"/>
      </w:pPr>
      <w:r w:rsidRPr="002D669C">
        <w:lastRenderedPageBreak/>
        <w:t>Proposal</w:t>
      </w:r>
    </w:p>
    <w:p w:rsidR="00942D25" w:rsidRPr="00942D25" w:rsidRDefault="00942D25" w:rsidP="00942D25"/>
    <w:p w:rsidR="007B7717" w:rsidRDefault="00942D25" w:rsidP="00942D25">
      <w:r>
        <w:t>Broadcast Network Europe (BNE) supports the idea to set up a specific project team in charge of the CEPT preparation of WRC Agenda item 1.1 and 1.2 at the CPG level</w:t>
      </w:r>
      <w:r w:rsidR="007B7717">
        <w:t xml:space="preserve"> where all services would be represented</w:t>
      </w:r>
      <w:r>
        <w:t xml:space="preserve">. </w:t>
      </w:r>
      <w:r w:rsidR="007B7717">
        <w:t>Such a project team would be the better way according to us to prepare CEPT proposals to the ITU Joint Task Group 4-5-6-7, established at the CPM-15 in February, which was also the result of the same wish to involve at the same level all parties for better efficiency.</w:t>
      </w:r>
    </w:p>
    <w:p w:rsidR="00942D25" w:rsidRPr="00AC0B16" w:rsidRDefault="00942D25" w:rsidP="00942D25">
      <w:pPr>
        <w:jc w:val="center"/>
        <w:rPr>
          <w:lang w:eastAsia="zh-CN"/>
        </w:rPr>
      </w:pPr>
      <w:r>
        <w:rPr>
          <w:lang w:eastAsia="zh-CN"/>
        </w:rPr>
        <w:t>______________</w:t>
      </w:r>
    </w:p>
    <w:p w:rsidR="00C8724F" w:rsidRPr="00942D25" w:rsidRDefault="00C8724F">
      <w:pPr>
        <w:rPr>
          <w:lang w:val="en-US"/>
        </w:rPr>
      </w:pPr>
    </w:p>
    <w:sectPr w:rsidR="00C8724F" w:rsidRPr="00942D25" w:rsidSect="00746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25"/>
    <w:rsid w:val="0034108C"/>
    <w:rsid w:val="00371896"/>
    <w:rsid w:val="00563B9C"/>
    <w:rsid w:val="00746881"/>
    <w:rsid w:val="007B7717"/>
    <w:rsid w:val="0083639B"/>
    <w:rsid w:val="00927275"/>
    <w:rsid w:val="00942D25"/>
    <w:rsid w:val="00C8724F"/>
    <w:rsid w:val="00D26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25"/>
    <w:rPr>
      <w:rFonts w:ascii="Calibri" w:eastAsia="Calibri" w:hAnsi="Calibri" w:cs="Times New Roman"/>
      <w:lang w:val="en-GB"/>
    </w:rPr>
  </w:style>
  <w:style w:type="paragraph" w:styleId="Heading1">
    <w:name w:val="heading 1"/>
    <w:basedOn w:val="Normal"/>
    <w:next w:val="Normal"/>
    <w:link w:val="Titre1Car"/>
    <w:uiPriority w:val="99"/>
    <w:qFormat/>
    <w:rsid w:val="00942D25"/>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edebullesCar"/>
    <w:uiPriority w:val="99"/>
    <w:semiHidden/>
    <w:unhideWhenUsed/>
    <w:rsid w:val="00942D25"/>
    <w:pPr>
      <w:spacing w:after="0" w:line="240" w:lineRule="auto"/>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942D25"/>
    <w:rPr>
      <w:rFonts w:ascii="Tahoma" w:eastAsia="Calibri" w:hAnsi="Tahoma" w:cs="Tahoma"/>
      <w:sz w:val="16"/>
      <w:szCs w:val="16"/>
      <w:lang w:val="en-GB"/>
    </w:rPr>
  </w:style>
  <w:style w:type="character" w:customStyle="1" w:styleId="Titre1Car">
    <w:name w:val="Titre 1 Car"/>
    <w:basedOn w:val="DefaultParagraphFont"/>
    <w:link w:val="Heading1"/>
    <w:uiPriority w:val="99"/>
    <w:rsid w:val="00942D25"/>
    <w:rPr>
      <w:rFonts w:ascii="Times New Roman" w:eastAsia="Times New Roman" w:hAnsi="Times New Roman" w:cs="Times New Roman"/>
      <w:b/>
      <w:sz w:val="28"/>
      <w:szCs w:val="20"/>
      <w:lang w:val="en-GB"/>
    </w:rPr>
  </w:style>
  <w:style w:type="paragraph" w:customStyle="1" w:styleId="enumlev1">
    <w:name w:val="enumlev1"/>
    <w:basedOn w:val="Normal"/>
    <w:rsid w:val="00942D25"/>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25"/>
    <w:rPr>
      <w:rFonts w:ascii="Calibri" w:eastAsia="Calibri" w:hAnsi="Calibri" w:cs="Times New Roman"/>
      <w:lang w:val="en-GB"/>
    </w:rPr>
  </w:style>
  <w:style w:type="paragraph" w:styleId="Heading1">
    <w:name w:val="heading 1"/>
    <w:basedOn w:val="Normal"/>
    <w:next w:val="Normal"/>
    <w:link w:val="Titre1Car"/>
    <w:uiPriority w:val="99"/>
    <w:qFormat/>
    <w:rsid w:val="00942D25"/>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edebullesCar"/>
    <w:uiPriority w:val="99"/>
    <w:semiHidden/>
    <w:unhideWhenUsed/>
    <w:rsid w:val="00942D25"/>
    <w:pPr>
      <w:spacing w:after="0" w:line="240" w:lineRule="auto"/>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942D25"/>
    <w:rPr>
      <w:rFonts w:ascii="Tahoma" w:eastAsia="Calibri" w:hAnsi="Tahoma" w:cs="Tahoma"/>
      <w:sz w:val="16"/>
      <w:szCs w:val="16"/>
      <w:lang w:val="en-GB"/>
    </w:rPr>
  </w:style>
  <w:style w:type="character" w:customStyle="1" w:styleId="Titre1Car">
    <w:name w:val="Titre 1 Car"/>
    <w:basedOn w:val="DefaultParagraphFont"/>
    <w:link w:val="Heading1"/>
    <w:uiPriority w:val="99"/>
    <w:rsid w:val="00942D25"/>
    <w:rPr>
      <w:rFonts w:ascii="Times New Roman" w:eastAsia="Times New Roman" w:hAnsi="Times New Roman" w:cs="Times New Roman"/>
      <w:b/>
      <w:sz w:val="28"/>
      <w:szCs w:val="20"/>
      <w:lang w:val="en-GB"/>
    </w:rPr>
  </w:style>
  <w:style w:type="paragraph" w:customStyle="1" w:styleId="enumlev1">
    <w:name w:val="enumlev1"/>
    <w:basedOn w:val="Normal"/>
    <w:rsid w:val="00942D25"/>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TDF</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Debreux</dc:creator>
  <cp:lastModifiedBy>wesley.milton</cp:lastModifiedBy>
  <cp:revision>2</cp:revision>
  <cp:lastPrinted>2012-04-05T12:07:00Z</cp:lastPrinted>
  <dcterms:created xsi:type="dcterms:W3CDTF">2012-04-10T19:07:00Z</dcterms:created>
  <dcterms:modified xsi:type="dcterms:W3CDTF">2012-04-10T19:07:00Z</dcterms:modified>
</cp:coreProperties>
</file>