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142" w:rsidRDefault="00054142" w:rsidP="00054142">
      <w:r>
        <w:rPr>
          <w:noProof/>
          <w:lang w:eastAsia="en-GB"/>
        </w:rPr>
        <w:drawing>
          <wp:inline distT="0" distB="0" distL="0" distR="0">
            <wp:extent cx="1349528" cy="6976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8228" cy="702166"/>
                    </a:xfrm>
                    <a:prstGeom prst="rect">
                      <a:avLst/>
                    </a:prstGeom>
                    <a:noFill/>
                  </pic:spPr>
                </pic:pic>
              </a:graphicData>
            </a:graphic>
          </wp:inline>
        </w:drawing>
      </w:r>
      <w:r>
        <w:tab/>
      </w:r>
      <w:r>
        <w:tab/>
      </w:r>
      <w:r>
        <w:tab/>
      </w:r>
      <w:r>
        <w:tab/>
      </w:r>
      <w:r>
        <w:tab/>
      </w:r>
      <w:r>
        <w:tab/>
      </w:r>
      <w:r w:rsidRPr="00054142">
        <w:rPr>
          <w:b/>
        </w:rPr>
        <w:t>Doc. ECC/CPG15(12)00</w:t>
      </w:r>
      <w:bookmarkStart w:id="0" w:name="_GoBack"/>
      <w:bookmarkEnd w:id="0"/>
      <w:r w:rsidR="0086247F">
        <w:rPr>
          <w:b/>
        </w:rPr>
        <w:t>6</w:t>
      </w:r>
    </w:p>
    <w:p w:rsidR="00054142" w:rsidRPr="00054142" w:rsidRDefault="00054142" w:rsidP="00054142">
      <w:pPr>
        <w:rPr>
          <w:b/>
        </w:rPr>
      </w:pPr>
      <w:r w:rsidRPr="00054142">
        <w:rPr>
          <w:b/>
        </w:rPr>
        <w:t>CPG15 – 1</w:t>
      </w:r>
    </w:p>
    <w:p w:rsidR="00054142" w:rsidRPr="00054142" w:rsidRDefault="00054142" w:rsidP="00054142">
      <w:pPr>
        <w:rPr>
          <w:b/>
        </w:rPr>
      </w:pPr>
      <w:r w:rsidRPr="00054142">
        <w:rPr>
          <w:b/>
        </w:rPr>
        <w:t>Mainz, 16 April – 18 April 2012</w:t>
      </w:r>
    </w:p>
    <w:p w:rsidR="00054142" w:rsidRDefault="00054142" w:rsidP="00054142">
      <w:pPr>
        <w:rPr>
          <w:b/>
        </w:rPr>
      </w:pPr>
    </w:p>
    <w:p w:rsidR="00054142" w:rsidRPr="00054142" w:rsidRDefault="00054142" w:rsidP="00054142">
      <w:pPr>
        <w:rPr>
          <w:b/>
        </w:rPr>
      </w:pPr>
      <w:r w:rsidRPr="00054142">
        <w:rPr>
          <w:b/>
        </w:rPr>
        <w:t>Date issued:   1</w:t>
      </w:r>
      <w:r w:rsidR="00404C31">
        <w:rPr>
          <w:b/>
        </w:rPr>
        <w:t>2</w:t>
      </w:r>
      <w:r w:rsidRPr="00054142">
        <w:rPr>
          <w:b/>
        </w:rPr>
        <w:t xml:space="preserve"> April 2012</w:t>
      </w:r>
      <w:r w:rsidRPr="00054142">
        <w:rPr>
          <w:b/>
        </w:rPr>
        <w:tab/>
      </w:r>
    </w:p>
    <w:p w:rsidR="00054142" w:rsidRPr="00054142" w:rsidRDefault="00054142" w:rsidP="00054142">
      <w:pPr>
        <w:rPr>
          <w:b/>
        </w:rPr>
      </w:pPr>
      <w:r w:rsidRPr="00054142">
        <w:rPr>
          <w:b/>
        </w:rPr>
        <w:t>Source:</w:t>
      </w:r>
      <w:r w:rsidRPr="00054142">
        <w:rPr>
          <w:b/>
        </w:rPr>
        <w:tab/>
        <w:t xml:space="preserve"> United Kingdom</w:t>
      </w:r>
    </w:p>
    <w:p w:rsidR="00054142" w:rsidRPr="00054142" w:rsidRDefault="00054142" w:rsidP="00054142">
      <w:pPr>
        <w:rPr>
          <w:b/>
        </w:rPr>
      </w:pPr>
      <w:r w:rsidRPr="00054142">
        <w:rPr>
          <w:b/>
        </w:rPr>
        <w:t xml:space="preserve">Subject:  </w:t>
      </w:r>
      <w:r w:rsidR="00ED7980">
        <w:rPr>
          <w:b/>
        </w:rPr>
        <w:t>Options for s</w:t>
      </w:r>
      <w:r w:rsidRPr="00054142">
        <w:rPr>
          <w:b/>
        </w:rPr>
        <w:t>tructure of CPG-15</w:t>
      </w:r>
    </w:p>
    <w:p w:rsidR="00054142" w:rsidRDefault="00054142" w:rsidP="00054142"/>
    <w:p w:rsidR="00054142" w:rsidRDefault="00054142" w:rsidP="00054142">
      <w:r>
        <w:t xml:space="preserve">The UK welcomes </w:t>
      </w:r>
      <w:r w:rsidR="00C81DB0">
        <w:t>the</w:t>
      </w:r>
      <w:r>
        <w:t xml:space="preserve"> proposals from the CPG management team on the future WRC-15 structure, but would like to make further suggestions relating to the allocation of work regarding WRC AI 1.1, 1.2 and 1.3.</w:t>
      </w:r>
    </w:p>
    <w:p w:rsidR="00054142" w:rsidRDefault="00054142" w:rsidP="00054142">
      <w:r>
        <w:t>The provisional structure found in CPG document (12)002 proposes that ECC PT1 takes on the work of agenda items</w:t>
      </w:r>
      <w:r w:rsidR="00A90AF8">
        <w:t xml:space="preserve"> 1.1 and 1.2</w:t>
      </w:r>
      <w:r>
        <w:t xml:space="preserve">.  Since ECC PT1 was created, it has specifically dealt with IMT issues.  Whilst this </w:t>
      </w:r>
      <w:r w:rsidR="00A90AF8">
        <w:t>c</w:t>
      </w:r>
      <w:r>
        <w:t xml:space="preserve">ould be the appropriate group to deal with a WRC agenda item specifically for a mobile allocation, as </w:t>
      </w:r>
      <w:r w:rsidR="00AD4614">
        <w:t>this</w:t>
      </w:r>
      <w:r w:rsidR="00A90AF8">
        <w:t xml:space="preserve"> work on has an impact on</w:t>
      </w:r>
      <w:r>
        <w:t xml:space="preserve"> other service groups</w:t>
      </w:r>
      <w:r w:rsidR="00A90AF8">
        <w:t xml:space="preserve"> and there are other </w:t>
      </w:r>
      <w:r w:rsidR="00156D3C">
        <w:t>possibilities</w:t>
      </w:r>
      <w:r>
        <w:t xml:space="preserve"> for CPG to consider.</w:t>
      </w:r>
    </w:p>
    <w:p w:rsidR="00054142" w:rsidRDefault="00054142" w:rsidP="00054142">
      <w:pPr>
        <w:rPr>
          <w:b/>
        </w:rPr>
      </w:pPr>
      <w:r>
        <w:t>The UK would suggest that CPG discusses the following options:</w:t>
      </w:r>
    </w:p>
    <w:p w:rsidR="00054142" w:rsidRPr="00054142" w:rsidRDefault="00054142" w:rsidP="00054142">
      <w:pPr>
        <w:pBdr>
          <w:top w:val="single" w:sz="4" w:space="1" w:color="auto"/>
          <w:left w:val="single" w:sz="4" w:space="4" w:color="auto"/>
          <w:bottom w:val="single" w:sz="4" w:space="1" w:color="auto"/>
          <w:right w:val="single" w:sz="4" w:space="4" w:color="auto"/>
        </w:pBdr>
        <w:rPr>
          <w:b/>
        </w:rPr>
      </w:pPr>
      <w:r w:rsidRPr="00054142">
        <w:rPr>
          <w:b/>
        </w:rPr>
        <w:t xml:space="preserve">Option 1  - A new CPG project team is created to deal with WRC-15 AI 1.1, 1.2 and 1.3. </w:t>
      </w:r>
    </w:p>
    <w:p w:rsidR="00054142" w:rsidRDefault="00156D3C" w:rsidP="00054142">
      <w:pPr>
        <w:pBdr>
          <w:top w:val="single" w:sz="4" w:space="1" w:color="auto"/>
          <w:left w:val="single" w:sz="4" w:space="4" w:color="auto"/>
          <w:bottom w:val="single" w:sz="4" w:space="1" w:color="auto"/>
          <w:right w:val="single" w:sz="4" w:space="4" w:color="auto"/>
        </w:pBdr>
      </w:pPr>
      <w:r>
        <w:t>The UK is of the view that a consequence of this option is that ECC</w:t>
      </w:r>
      <w:r w:rsidR="00054142">
        <w:t xml:space="preserve"> would need to assess the future of ECC PT1 at </w:t>
      </w:r>
      <w:r>
        <w:t>its</w:t>
      </w:r>
      <w:r w:rsidR="00054142">
        <w:t xml:space="preserve"> next  meeting in June, and either close the group with its remaining work items transferred </w:t>
      </w:r>
      <w:r w:rsidR="00AD4614">
        <w:t>elsewhere</w:t>
      </w:r>
      <w:r w:rsidR="00054142">
        <w:t xml:space="preserve">, or put it on hold until after WRC-15.  It would be inefficient and confusing to the outside world in having more than one group </w:t>
      </w:r>
      <w:r w:rsidR="000430C2">
        <w:t>looking at IMT related issues.</w:t>
      </w:r>
    </w:p>
    <w:p w:rsidR="00054142" w:rsidRPr="00054142" w:rsidRDefault="00054142" w:rsidP="00054142">
      <w:pPr>
        <w:pBdr>
          <w:top w:val="single" w:sz="4" w:space="1" w:color="auto"/>
          <w:left w:val="single" w:sz="4" w:space="4" w:color="auto"/>
          <w:bottom w:val="single" w:sz="4" w:space="1" w:color="auto"/>
          <w:right w:val="single" w:sz="4" w:space="4" w:color="auto"/>
        </w:pBdr>
        <w:rPr>
          <w:b/>
          <w:i/>
        </w:rPr>
      </w:pPr>
      <w:r w:rsidRPr="00054142">
        <w:rPr>
          <w:b/>
          <w:i/>
        </w:rPr>
        <w:t xml:space="preserve">Advantages </w:t>
      </w:r>
    </w:p>
    <w:p w:rsidR="00054142" w:rsidRDefault="00054142" w:rsidP="00054142">
      <w:pPr>
        <w:pBdr>
          <w:top w:val="single" w:sz="4" w:space="1" w:color="auto"/>
          <w:left w:val="single" w:sz="4" w:space="4" w:color="auto"/>
          <w:bottom w:val="single" w:sz="4" w:space="1" w:color="auto"/>
          <w:right w:val="single" w:sz="4" w:space="4" w:color="auto"/>
        </w:pBdr>
      </w:pPr>
      <w:r>
        <w:t>•</w:t>
      </w:r>
      <w:r>
        <w:tab/>
      </w:r>
      <w:r w:rsidR="00C81DB0">
        <w:t xml:space="preserve">A new Project Team may be perceived </w:t>
      </w:r>
      <w:r w:rsidR="00156D3C">
        <w:t xml:space="preserve">by </w:t>
      </w:r>
      <w:r w:rsidR="00CA4D3C">
        <w:t xml:space="preserve">some stakeholders </w:t>
      </w:r>
      <w:r w:rsidR="00C81DB0">
        <w:t>to be better placed to address the issue in an open</w:t>
      </w:r>
      <w:r w:rsidR="00DD2985">
        <w:t>,</w:t>
      </w:r>
      <w:r w:rsidR="00C81DB0">
        <w:t xml:space="preserve"> transparent</w:t>
      </w:r>
      <w:r w:rsidR="00DD2985">
        <w:t xml:space="preserve"> and unbiased</w:t>
      </w:r>
      <w:r w:rsidR="00C81DB0">
        <w:t xml:space="preserve"> manner (</w:t>
      </w:r>
      <w:r w:rsidR="000470FC">
        <w:t>i.e.</w:t>
      </w:r>
      <w:r w:rsidR="00C81DB0">
        <w:t xml:space="preserve"> without the associated history of PT1 which </w:t>
      </w:r>
      <w:r w:rsidR="00CA4D3C">
        <w:t>is an</w:t>
      </w:r>
      <w:r w:rsidR="00C81DB0">
        <w:t xml:space="preserve"> IMT </w:t>
      </w:r>
      <w:r w:rsidR="00CA4D3C">
        <w:t xml:space="preserve">focussed </w:t>
      </w:r>
      <w:r w:rsidR="00C81DB0">
        <w:t>group)</w:t>
      </w:r>
      <w:r w:rsidR="000470FC">
        <w:t>.  CPG documents 003 and 005 from EBU and BNE also stress the need for this.</w:t>
      </w:r>
    </w:p>
    <w:p w:rsidR="00054142" w:rsidRDefault="00054142" w:rsidP="00054142">
      <w:pPr>
        <w:pBdr>
          <w:top w:val="single" w:sz="4" w:space="1" w:color="auto"/>
          <w:left w:val="single" w:sz="4" w:space="4" w:color="auto"/>
          <w:bottom w:val="single" w:sz="4" w:space="1" w:color="auto"/>
          <w:right w:val="single" w:sz="4" w:space="4" w:color="auto"/>
        </w:pBdr>
      </w:pPr>
      <w:r>
        <w:t>•</w:t>
      </w:r>
      <w:r>
        <w:tab/>
        <w:t>Keeps all the WRC work under the CPG hierarchy</w:t>
      </w:r>
      <w:r w:rsidR="000470FC">
        <w:t xml:space="preserve"> without the need for any groups report</w:t>
      </w:r>
      <w:r w:rsidR="000430C2">
        <w:t>ing</w:t>
      </w:r>
      <w:r w:rsidR="000470FC">
        <w:t xml:space="preserve"> to both CPG and ECC</w:t>
      </w:r>
      <w:r w:rsidR="00CA4D3C">
        <w:t xml:space="preserve"> and avoids mixing WRC and non-WRC matters</w:t>
      </w:r>
      <w:r w:rsidR="000470FC">
        <w:t>.</w:t>
      </w:r>
    </w:p>
    <w:p w:rsidR="00054142" w:rsidRPr="00054142" w:rsidRDefault="00054142" w:rsidP="00054142">
      <w:pPr>
        <w:pBdr>
          <w:top w:val="single" w:sz="4" w:space="1" w:color="auto"/>
          <w:left w:val="single" w:sz="4" w:space="4" w:color="auto"/>
          <w:bottom w:val="single" w:sz="4" w:space="1" w:color="auto"/>
          <w:right w:val="single" w:sz="4" w:space="4" w:color="auto"/>
        </w:pBdr>
        <w:rPr>
          <w:b/>
          <w:i/>
        </w:rPr>
      </w:pPr>
      <w:r w:rsidRPr="00054142">
        <w:rPr>
          <w:b/>
          <w:i/>
        </w:rPr>
        <w:t>Disadvantages</w:t>
      </w:r>
    </w:p>
    <w:p w:rsidR="00054142" w:rsidRDefault="00054142" w:rsidP="00054142">
      <w:pPr>
        <w:pBdr>
          <w:top w:val="single" w:sz="4" w:space="1" w:color="auto"/>
          <w:left w:val="single" w:sz="4" w:space="4" w:color="auto"/>
          <w:bottom w:val="single" w:sz="4" w:space="1" w:color="auto"/>
          <w:right w:val="single" w:sz="4" w:space="4" w:color="auto"/>
        </w:pBdr>
      </w:pPr>
      <w:r>
        <w:lastRenderedPageBreak/>
        <w:t>•</w:t>
      </w:r>
      <w:r>
        <w:tab/>
        <w:t>There is already a group within the ECC family examining IMT related issues</w:t>
      </w:r>
      <w:r w:rsidR="00C81DB0">
        <w:t xml:space="preserve"> – would need to confirm changes to ECC PT1 (through ECC) along the lines set out above</w:t>
      </w:r>
    </w:p>
    <w:p w:rsidR="00054142" w:rsidRDefault="00054142" w:rsidP="00054142"/>
    <w:p w:rsidR="00054142" w:rsidRDefault="00054142" w:rsidP="00054142"/>
    <w:p w:rsidR="00054142" w:rsidRPr="00054142" w:rsidRDefault="00054142" w:rsidP="000470FC">
      <w:pPr>
        <w:pBdr>
          <w:top w:val="single" w:sz="4" w:space="1" w:color="auto"/>
          <w:left w:val="single" w:sz="4" w:space="4" w:color="auto"/>
          <w:bottom w:val="single" w:sz="4" w:space="1" w:color="auto"/>
          <w:right w:val="single" w:sz="4" w:space="4" w:color="auto"/>
        </w:pBdr>
        <w:rPr>
          <w:b/>
        </w:rPr>
      </w:pPr>
      <w:r w:rsidRPr="00054142">
        <w:rPr>
          <w:b/>
        </w:rPr>
        <w:t>Option 2 - The studies are completed in ECC PT1</w:t>
      </w:r>
    </w:p>
    <w:p w:rsidR="00054142" w:rsidRDefault="00054142" w:rsidP="000470FC">
      <w:pPr>
        <w:pBdr>
          <w:top w:val="single" w:sz="4" w:space="1" w:color="auto"/>
          <w:left w:val="single" w:sz="4" w:space="4" w:color="auto"/>
          <w:bottom w:val="single" w:sz="4" w:space="1" w:color="auto"/>
          <w:right w:val="single" w:sz="4" w:space="4" w:color="auto"/>
        </w:pBdr>
      </w:pPr>
      <w:r>
        <w:t xml:space="preserve">The ECC </w:t>
      </w:r>
      <w:r w:rsidR="00CA4D3C">
        <w:t xml:space="preserve">would need to </w:t>
      </w:r>
      <w:r>
        <w:t xml:space="preserve">amend the </w:t>
      </w:r>
      <w:proofErr w:type="spellStart"/>
      <w:r>
        <w:t>ToR</w:t>
      </w:r>
      <w:proofErr w:type="spellEnd"/>
      <w:r>
        <w:t xml:space="preserve"> of PT1, adding the appropriate references to WRC-15 preparation in the usual format for CPG project teams and removing references to promoting IMT.   As mentioned above we would seek to ensure that the group operates in a way which takes account of the needs of all spectrum users</w:t>
      </w:r>
      <w:r w:rsidR="007038EE">
        <w:t>, e.g. by encouraging wider industry participation.</w:t>
      </w:r>
      <w:r>
        <w:t xml:space="preserve"> .</w:t>
      </w:r>
    </w:p>
    <w:p w:rsidR="00054142" w:rsidRPr="00054142" w:rsidRDefault="00054142" w:rsidP="000470FC">
      <w:pPr>
        <w:pBdr>
          <w:top w:val="single" w:sz="4" w:space="1" w:color="auto"/>
          <w:left w:val="single" w:sz="4" w:space="4" w:color="auto"/>
          <w:bottom w:val="single" w:sz="4" w:space="1" w:color="auto"/>
          <w:right w:val="single" w:sz="4" w:space="4" w:color="auto"/>
        </w:pBdr>
        <w:rPr>
          <w:b/>
          <w:i/>
        </w:rPr>
      </w:pPr>
      <w:r w:rsidRPr="00054142">
        <w:rPr>
          <w:b/>
          <w:i/>
        </w:rPr>
        <w:t>Advantages</w:t>
      </w:r>
    </w:p>
    <w:p w:rsidR="00054142" w:rsidRDefault="00054142" w:rsidP="000470FC">
      <w:pPr>
        <w:pBdr>
          <w:top w:val="single" w:sz="4" w:space="1" w:color="auto"/>
          <w:left w:val="single" w:sz="4" w:space="4" w:color="auto"/>
          <w:bottom w:val="single" w:sz="4" w:space="1" w:color="auto"/>
          <w:right w:val="single" w:sz="4" w:space="4" w:color="auto"/>
        </w:pBdr>
      </w:pPr>
      <w:r>
        <w:t>•</w:t>
      </w:r>
      <w:r>
        <w:tab/>
      </w:r>
      <w:r w:rsidR="00C81DB0">
        <w:t xml:space="preserve">Well established group and </w:t>
      </w:r>
      <w:r>
        <w:t>IMT expertise already in place</w:t>
      </w:r>
    </w:p>
    <w:p w:rsidR="00054142" w:rsidRDefault="00DD2985" w:rsidP="000470FC">
      <w:pPr>
        <w:pBdr>
          <w:top w:val="single" w:sz="4" w:space="1" w:color="auto"/>
          <w:left w:val="single" w:sz="4" w:space="4" w:color="auto"/>
          <w:bottom w:val="single" w:sz="4" w:space="1" w:color="auto"/>
          <w:right w:val="single" w:sz="4" w:space="4" w:color="auto"/>
        </w:pBdr>
      </w:pPr>
      <w:r>
        <w:t>•</w:t>
      </w:r>
      <w:r>
        <w:tab/>
      </w:r>
      <w:r w:rsidR="00C81DB0">
        <w:t>Avoids needing to set up a new Project Team and keeps all IMT related issues in one group</w:t>
      </w:r>
    </w:p>
    <w:p w:rsidR="00054142" w:rsidRPr="00054142" w:rsidRDefault="00054142" w:rsidP="000470FC">
      <w:pPr>
        <w:pBdr>
          <w:top w:val="single" w:sz="4" w:space="1" w:color="auto"/>
          <w:left w:val="single" w:sz="4" w:space="4" w:color="auto"/>
          <w:bottom w:val="single" w:sz="4" w:space="1" w:color="auto"/>
          <w:right w:val="single" w:sz="4" w:space="4" w:color="auto"/>
        </w:pBdr>
        <w:rPr>
          <w:b/>
          <w:i/>
        </w:rPr>
      </w:pPr>
      <w:r w:rsidRPr="00054142">
        <w:rPr>
          <w:b/>
          <w:i/>
        </w:rPr>
        <w:t>Disadvantages</w:t>
      </w:r>
    </w:p>
    <w:p w:rsidR="00054142" w:rsidRDefault="00054142" w:rsidP="000470FC">
      <w:pPr>
        <w:pBdr>
          <w:top w:val="single" w:sz="4" w:space="1" w:color="auto"/>
          <w:left w:val="single" w:sz="4" w:space="4" w:color="auto"/>
          <w:bottom w:val="single" w:sz="4" w:space="1" w:color="auto"/>
          <w:right w:val="single" w:sz="4" w:space="4" w:color="auto"/>
        </w:pBdr>
      </w:pPr>
      <w:r>
        <w:t>•</w:t>
      </w:r>
      <w:r>
        <w:tab/>
        <w:t xml:space="preserve">Existing </w:t>
      </w:r>
      <w:proofErr w:type="spellStart"/>
      <w:r>
        <w:t>ToR</w:t>
      </w:r>
      <w:proofErr w:type="spellEnd"/>
      <w:r>
        <w:t xml:space="preserve"> too focused on IMT</w:t>
      </w:r>
      <w:r w:rsidR="00C81DB0">
        <w:t xml:space="preserve"> – these would need to be amended</w:t>
      </w:r>
      <w:r>
        <w:t>.</w:t>
      </w:r>
    </w:p>
    <w:p w:rsidR="00212C75" w:rsidRDefault="00054142" w:rsidP="000470FC">
      <w:pPr>
        <w:pBdr>
          <w:top w:val="single" w:sz="4" w:space="1" w:color="auto"/>
          <w:left w:val="single" w:sz="4" w:space="4" w:color="auto"/>
          <w:bottom w:val="single" w:sz="4" w:space="1" w:color="auto"/>
          <w:right w:val="single" w:sz="4" w:space="4" w:color="auto"/>
        </w:pBdr>
      </w:pPr>
      <w:r>
        <w:t>•</w:t>
      </w:r>
      <w:r>
        <w:tab/>
        <w:t>ECC PT1’s has a worldwide reputation as an IMT expert group</w:t>
      </w:r>
      <w:r w:rsidR="00C81DB0">
        <w:t xml:space="preserve"> attended by the IMT community</w:t>
      </w:r>
      <w:r w:rsidR="0020109D">
        <w:t xml:space="preserve"> </w:t>
      </w:r>
      <w:r w:rsidR="007038EE">
        <w:t xml:space="preserve">which achieves </w:t>
      </w:r>
      <w:r w:rsidR="00AD4614">
        <w:t>excellent</w:t>
      </w:r>
      <w:r w:rsidR="007038EE">
        <w:t xml:space="preserve"> results but</w:t>
      </w:r>
      <w:r w:rsidR="0020109D">
        <w:t xml:space="preserve"> has</w:t>
      </w:r>
      <w:r w:rsidR="0020109D" w:rsidRPr="0020109D">
        <w:t xml:space="preserve"> </w:t>
      </w:r>
      <w:r w:rsidR="0020109D">
        <w:t>limited expertise outside the IMT field</w:t>
      </w:r>
      <w:r>
        <w:t xml:space="preserve">.  </w:t>
      </w:r>
      <w:r w:rsidR="00310897">
        <w:t xml:space="preserve">Effort would need to be made to ensure the group is opened up to all interested parties (not least in terms of perceptions as to how the group may operate) and ensure that </w:t>
      </w:r>
      <w:r>
        <w:t xml:space="preserve">the rest of the world </w:t>
      </w:r>
      <w:r w:rsidR="00310897">
        <w:t xml:space="preserve">isn’t given </w:t>
      </w:r>
      <w:r>
        <w:t>an</w:t>
      </w:r>
      <w:r w:rsidR="00310897">
        <w:t>y misleading</w:t>
      </w:r>
      <w:r>
        <w:t xml:space="preserve"> impression o</w:t>
      </w:r>
      <w:r w:rsidR="00310897">
        <w:t>f</w:t>
      </w:r>
      <w:r>
        <w:t xml:space="preserve"> the direction </w:t>
      </w:r>
      <w:r w:rsidR="00310897">
        <w:t xml:space="preserve">in which CEPT </w:t>
      </w:r>
      <w:r w:rsidR="00CB5B3E">
        <w:t>is</w:t>
      </w:r>
      <w:r>
        <w:t xml:space="preserve"> heading.</w:t>
      </w:r>
    </w:p>
    <w:p w:rsidR="00D676C2" w:rsidRDefault="00D676C2" w:rsidP="000470FC">
      <w:pPr>
        <w:rPr>
          <w:b/>
        </w:rPr>
      </w:pPr>
    </w:p>
    <w:p w:rsidR="000470FC" w:rsidRPr="000470FC" w:rsidRDefault="000470FC" w:rsidP="000470FC">
      <w:pPr>
        <w:rPr>
          <w:b/>
        </w:rPr>
      </w:pPr>
      <w:r w:rsidRPr="000470FC">
        <w:rPr>
          <w:b/>
        </w:rPr>
        <w:t>Conclusion</w:t>
      </w:r>
    </w:p>
    <w:p w:rsidR="000470FC" w:rsidRDefault="000470FC" w:rsidP="000470FC">
      <w:r>
        <w:t xml:space="preserve">The </w:t>
      </w:r>
      <w:r w:rsidRPr="000470FC">
        <w:t xml:space="preserve">UK </w:t>
      </w:r>
      <w:r w:rsidR="007038EE">
        <w:t>believes that either of the two options above could provide a good way forward, however</w:t>
      </w:r>
      <w:r w:rsidRPr="000470FC">
        <w:t xml:space="preserve"> we do not support creating a new CPG PT if PT1 continues unchanged.</w:t>
      </w:r>
      <w:r>
        <w:t xml:space="preserve">  It is important that there is a clear understanding within CEPT and to the outside world on who is leading in each area, and to have </w:t>
      </w:r>
      <w:r w:rsidR="000430C2">
        <w:t>different</w:t>
      </w:r>
      <w:r>
        <w:t xml:space="preserve"> </w:t>
      </w:r>
      <w:r w:rsidR="000430C2">
        <w:t>project teams</w:t>
      </w:r>
      <w:r>
        <w:t xml:space="preserve"> looking at IMT related issues would cause unnecessary confusion.</w:t>
      </w:r>
    </w:p>
    <w:p w:rsidR="000430C2" w:rsidRDefault="000430C2" w:rsidP="000470FC">
      <w:r>
        <w:t xml:space="preserve">If the meeting decides to go down the route of </w:t>
      </w:r>
      <w:r w:rsidRPr="000430C2">
        <w:rPr>
          <w:b/>
        </w:rPr>
        <w:t>Option 1</w:t>
      </w:r>
      <w:r>
        <w:t>, the UK would suggest the following:</w:t>
      </w:r>
    </w:p>
    <w:p w:rsidR="000430C2" w:rsidRDefault="000430C2" w:rsidP="000430C2">
      <w:pPr>
        <w:pStyle w:val="ListParagraph"/>
        <w:numPr>
          <w:ilvl w:val="0"/>
          <w:numId w:val="1"/>
        </w:numPr>
      </w:pPr>
      <w:r>
        <w:t xml:space="preserve">A CPG PT is created to examine WRC AI 1.1, 1.2 and 1.3 with a broad </w:t>
      </w:r>
      <w:proofErr w:type="spellStart"/>
      <w:r>
        <w:t>ToR</w:t>
      </w:r>
      <w:proofErr w:type="spellEnd"/>
      <w:r>
        <w:t xml:space="preserve"> </w:t>
      </w:r>
      <w:r w:rsidR="007038EE">
        <w:t>in line with usual CPG practice</w:t>
      </w:r>
      <w:r>
        <w:t>.</w:t>
      </w:r>
    </w:p>
    <w:p w:rsidR="000430C2" w:rsidRPr="000470FC" w:rsidRDefault="000430C2" w:rsidP="000430C2">
      <w:pPr>
        <w:pStyle w:val="ListParagraph"/>
        <w:numPr>
          <w:ilvl w:val="0"/>
          <w:numId w:val="1"/>
        </w:numPr>
      </w:pPr>
      <w:r>
        <w:t xml:space="preserve">That ECC PT1s remaining work items are transferred into a suitable part of the ECC family.  </w:t>
      </w:r>
      <w:r w:rsidR="007038EE">
        <w:t>Although not a matter for CPG discussion, i</w:t>
      </w:r>
      <w:r>
        <w:t xml:space="preserve">t may also be advantageous to create a new ‘mobile’ project team, </w:t>
      </w:r>
      <w:r w:rsidR="00D676C2">
        <w:t>merging the work of PT1 and SE7, which could report to either FM or SE.</w:t>
      </w:r>
    </w:p>
    <w:p w:rsidR="000470FC" w:rsidRDefault="000430C2" w:rsidP="000470FC">
      <w:r>
        <w:t xml:space="preserve">If </w:t>
      </w:r>
      <w:r w:rsidRPr="00D676C2">
        <w:rPr>
          <w:b/>
        </w:rPr>
        <w:t>Option 2</w:t>
      </w:r>
      <w:r>
        <w:t xml:space="preserve"> is deemed more suitable, then we would suggest the following action:</w:t>
      </w:r>
    </w:p>
    <w:p w:rsidR="00D676C2" w:rsidRDefault="000430C2" w:rsidP="00D676C2">
      <w:pPr>
        <w:pStyle w:val="ListParagraph"/>
        <w:numPr>
          <w:ilvl w:val="0"/>
          <w:numId w:val="2"/>
        </w:numPr>
      </w:pPr>
      <w:r>
        <w:lastRenderedPageBreak/>
        <w:t xml:space="preserve">That CPG drafts a suitable </w:t>
      </w:r>
      <w:r w:rsidR="007038EE">
        <w:t xml:space="preserve">revised </w:t>
      </w:r>
      <w:proofErr w:type="spellStart"/>
      <w:r>
        <w:t>ToR</w:t>
      </w:r>
      <w:proofErr w:type="spellEnd"/>
      <w:r>
        <w:t xml:space="preserve"> </w:t>
      </w:r>
      <w:r w:rsidR="007038EE">
        <w:t xml:space="preserve">for ECC PT1 </w:t>
      </w:r>
      <w:r>
        <w:t xml:space="preserve">to be submitted to the next ECC meeting for consideration, removing any references </w:t>
      </w:r>
      <w:r w:rsidR="00D676C2">
        <w:t>to specific technologies.</w:t>
      </w:r>
    </w:p>
    <w:p w:rsidR="00AD4614" w:rsidRDefault="00AD4614" w:rsidP="00FA06DB"/>
    <w:sectPr w:rsidR="00AD4614" w:rsidSect="00212C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D79F5"/>
    <w:multiLevelType w:val="hybridMultilevel"/>
    <w:tmpl w:val="2354B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3DD081A"/>
    <w:multiLevelType w:val="hybridMultilevel"/>
    <w:tmpl w:val="A7E47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FA40381"/>
    <w:multiLevelType w:val="hybridMultilevel"/>
    <w:tmpl w:val="9FBEC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142"/>
    <w:rsid w:val="000430C2"/>
    <w:rsid w:val="000470FC"/>
    <w:rsid w:val="00054142"/>
    <w:rsid w:val="00116654"/>
    <w:rsid w:val="00156D3C"/>
    <w:rsid w:val="0020109D"/>
    <w:rsid w:val="00212C75"/>
    <w:rsid w:val="00310897"/>
    <w:rsid w:val="00404C31"/>
    <w:rsid w:val="007038EE"/>
    <w:rsid w:val="0086247F"/>
    <w:rsid w:val="00A90AF8"/>
    <w:rsid w:val="00AD4614"/>
    <w:rsid w:val="00C17E40"/>
    <w:rsid w:val="00C81DB0"/>
    <w:rsid w:val="00CA4D3C"/>
    <w:rsid w:val="00CB5B3E"/>
    <w:rsid w:val="00D676C2"/>
    <w:rsid w:val="00DD2985"/>
    <w:rsid w:val="00ED3F2D"/>
    <w:rsid w:val="00ED7980"/>
    <w:rsid w:val="00FA06D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4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142"/>
    <w:rPr>
      <w:rFonts w:ascii="Tahoma" w:hAnsi="Tahoma" w:cs="Tahoma"/>
      <w:sz w:val="16"/>
      <w:szCs w:val="16"/>
    </w:rPr>
  </w:style>
  <w:style w:type="character" w:styleId="CommentReference">
    <w:name w:val="annotation reference"/>
    <w:basedOn w:val="DefaultParagraphFont"/>
    <w:uiPriority w:val="99"/>
    <w:semiHidden/>
    <w:unhideWhenUsed/>
    <w:rsid w:val="00C81DB0"/>
    <w:rPr>
      <w:sz w:val="16"/>
      <w:szCs w:val="16"/>
    </w:rPr>
  </w:style>
  <w:style w:type="paragraph" w:styleId="CommentText">
    <w:name w:val="annotation text"/>
    <w:basedOn w:val="Normal"/>
    <w:link w:val="CommentTextChar"/>
    <w:uiPriority w:val="99"/>
    <w:semiHidden/>
    <w:unhideWhenUsed/>
    <w:rsid w:val="00C81DB0"/>
    <w:pPr>
      <w:spacing w:line="240" w:lineRule="auto"/>
    </w:pPr>
    <w:rPr>
      <w:sz w:val="20"/>
      <w:szCs w:val="20"/>
    </w:rPr>
  </w:style>
  <w:style w:type="character" w:customStyle="1" w:styleId="CommentTextChar">
    <w:name w:val="Comment Text Char"/>
    <w:basedOn w:val="DefaultParagraphFont"/>
    <w:link w:val="CommentText"/>
    <w:uiPriority w:val="99"/>
    <w:semiHidden/>
    <w:rsid w:val="00C81DB0"/>
    <w:rPr>
      <w:sz w:val="20"/>
      <w:szCs w:val="20"/>
    </w:rPr>
  </w:style>
  <w:style w:type="paragraph" w:styleId="CommentSubject">
    <w:name w:val="annotation subject"/>
    <w:basedOn w:val="CommentText"/>
    <w:next w:val="CommentText"/>
    <w:link w:val="CommentSubjectChar"/>
    <w:uiPriority w:val="99"/>
    <w:semiHidden/>
    <w:unhideWhenUsed/>
    <w:rsid w:val="00C81DB0"/>
    <w:rPr>
      <w:b/>
      <w:bCs/>
    </w:rPr>
  </w:style>
  <w:style w:type="character" w:customStyle="1" w:styleId="CommentSubjectChar">
    <w:name w:val="Comment Subject Char"/>
    <w:basedOn w:val="CommentTextChar"/>
    <w:link w:val="CommentSubject"/>
    <w:uiPriority w:val="99"/>
    <w:semiHidden/>
    <w:rsid w:val="00C81DB0"/>
    <w:rPr>
      <w:b/>
      <w:bCs/>
      <w:sz w:val="20"/>
      <w:szCs w:val="20"/>
    </w:rPr>
  </w:style>
  <w:style w:type="paragraph" w:styleId="ListParagraph">
    <w:name w:val="List Paragraph"/>
    <w:basedOn w:val="Normal"/>
    <w:uiPriority w:val="34"/>
    <w:qFormat/>
    <w:rsid w:val="00C81D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4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142"/>
    <w:rPr>
      <w:rFonts w:ascii="Tahoma" w:hAnsi="Tahoma" w:cs="Tahoma"/>
      <w:sz w:val="16"/>
      <w:szCs w:val="16"/>
    </w:rPr>
  </w:style>
  <w:style w:type="character" w:styleId="CommentReference">
    <w:name w:val="annotation reference"/>
    <w:basedOn w:val="DefaultParagraphFont"/>
    <w:uiPriority w:val="99"/>
    <w:semiHidden/>
    <w:unhideWhenUsed/>
    <w:rsid w:val="00C81DB0"/>
    <w:rPr>
      <w:sz w:val="16"/>
      <w:szCs w:val="16"/>
    </w:rPr>
  </w:style>
  <w:style w:type="paragraph" w:styleId="CommentText">
    <w:name w:val="annotation text"/>
    <w:basedOn w:val="Normal"/>
    <w:link w:val="CommentTextChar"/>
    <w:uiPriority w:val="99"/>
    <w:semiHidden/>
    <w:unhideWhenUsed/>
    <w:rsid w:val="00C81DB0"/>
    <w:pPr>
      <w:spacing w:line="240" w:lineRule="auto"/>
    </w:pPr>
    <w:rPr>
      <w:sz w:val="20"/>
      <w:szCs w:val="20"/>
    </w:rPr>
  </w:style>
  <w:style w:type="character" w:customStyle="1" w:styleId="CommentTextChar">
    <w:name w:val="Comment Text Char"/>
    <w:basedOn w:val="DefaultParagraphFont"/>
    <w:link w:val="CommentText"/>
    <w:uiPriority w:val="99"/>
    <w:semiHidden/>
    <w:rsid w:val="00C81DB0"/>
    <w:rPr>
      <w:sz w:val="20"/>
      <w:szCs w:val="20"/>
    </w:rPr>
  </w:style>
  <w:style w:type="paragraph" w:styleId="CommentSubject">
    <w:name w:val="annotation subject"/>
    <w:basedOn w:val="CommentText"/>
    <w:next w:val="CommentText"/>
    <w:link w:val="CommentSubjectChar"/>
    <w:uiPriority w:val="99"/>
    <w:semiHidden/>
    <w:unhideWhenUsed/>
    <w:rsid w:val="00C81DB0"/>
    <w:rPr>
      <w:b/>
      <w:bCs/>
    </w:rPr>
  </w:style>
  <w:style w:type="character" w:customStyle="1" w:styleId="CommentSubjectChar">
    <w:name w:val="Comment Subject Char"/>
    <w:basedOn w:val="CommentTextChar"/>
    <w:link w:val="CommentSubject"/>
    <w:uiPriority w:val="99"/>
    <w:semiHidden/>
    <w:rsid w:val="00C81DB0"/>
    <w:rPr>
      <w:b/>
      <w:bCs/>
      <w:sz w:val="20"/>
      <w:szCs w:val="20"/>
    </w:rPr>
  </w:style>
  <w:style w:type="paragraph" w:styleId="ListParagraph">
    <w:name w:val="List Paragraph"/>
    <w:basedOn w:val="Normal"/>
    <w:uiPriority w:val="34"/>
    <w:qFormat/>
    <w:rsid w:val="00C81D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29412">
      <w:bodyDiv w:val="1"/>
      <w:marLeft w:val="0"/>
      <w:marRight w:val="0"/>
      <w:marTop w:val="0"/>
      <w:marBottom w:val="0"/>
      <w:divBdr>
        <w:top w:val="none" w:sz="0" w:space="0" w:color="auto"/>
        <w:left w:val="none" w:sz="0" w:space="0" w:color="auto"/>
        <w:bottom w:val="none" w:sz="0" w:space="0" w:color="auto"/>
        <w:right w:val="none" w:sz="0" w:space="0" w:color="auto"/>
      </w:divBdr>
    </w:div>
    <w:div w:id="346256864">
      <w:bodyDiv w:val="1"/>
      <w:marLeft w:val="0"/>
      <w:marRight w:val="0"/>
      <w:marTop w:val="0"/>
      <w:marBottom w:val="0"/>
      <w:divBdr>
        <w:top w:val="none" w:sz="0" w:space="0" w:color="auto"/>
        <w:left w:val="none" w:sz="0" w:space="0" w:color="auto"/>
        <w:bottom w:val="none" w:sz="0" w:space="0" w:color="auto"/>
        <w:right w:val="none" w:sz="0" w:space="0" w:color="auto"/>
      </w:divBdr>
    </w:div>
    <w:div w:id="144160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OFCOM</Company>
  <LinksUpToDate>false</LinksUpToDate>
  <CharactersWithSpaces>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wesley.milton</dc:creator>
  <cp:lastModifiedBy>wesley.milton</cp:lastModifiedBy>
  <cp:revision>3</cp:revision>
  <dcterms:created xsi:type="dcterms:W3CDTF">2012-04-12T09:50:00Z</dcterms:created>
  <dcterms:modified xsi:type="dcterms:W3CDTF">2012-04-12T10:20:00Z</dcterms:modified>
</cp:coreProperties>
</file>