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4111"/>
      </w:tblGrid>
      <w:tr w:rsidR="00EC4026" w:rsidRPr="00EC4026" w:rsidTr="006314EF">
        <w:trPr>
          <w:cantSplit/>
          <w:trHeight w:val="1843"/>
        </w:trPr>
        <w:tc>
          <w:tcPr>
            <w:tcW w:w="5387" w:type="dxa"/>
            <w:gridSpan w:val="2"/>
            <w:tcBorders>
              <w:top w:val="nil"/>
              <w:left w:val="nil"/>
              <w:bottom w:val="nil"/>
              <w:right w:val="nil"/>
            </w:tcBorders>
          </w:tcPr>
          <w:p w:rsidR="00EC4026" w:rsidRPr="00EC4026" w:rsidRDefault="00EC4026" w:rsidP="00EC4026">
            <w:pPr>
              <w:rPr>
                <w:b/>
              </w:rPr>
            </w:pPr>
            <w:r w:rsidRPr="00EC4026">
              <w:rPr>
                <w:b/>
                <w:noProof/>
                <w:lang w:eastAsia="en-GB"/>
              </w:rPr>
              <w:drawing>
                <wp:inline distT="0" distB="0" distL="0" distR="0" wp14:anchorId="003C0A25" wp14:editId="1A5DE7D0">
                  <wp:extent cx="162877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EC4026" w:rsidRPr="00EC4026" w:rsidRDefault="00EC4026" w:rsidP="00EC4026">
            <w:pPr>
              <w:rPr>
                <w:b/>
              </w:rPr>
            </w:pPr>
          </w:p>
        </w:tc>
        <w:tc>
          <w:tcPr>
            <w:tcW w:w="4111" w:type="dxa"/>
            <w:tcBorders>
              <w:top w:val="nil"/>
              <w:left w:val="nil"/>
              <w:bottom w:val="nil"/>
              <w:right w:val="nil"/>
            </w:tcBorders>
          </w:tcPr>
          <w:p w:rsidR="00EC4026" w:rsidRPr="00EC4026" w:rsidRDefault="000044CE" w:rsidP="00712F0E">
            <w:pPr>
              <w:rPr>
                <w:b/>
              </w:rPr>
            </w:pPr>
            <w:r>
              <w:rPr>
                <w:b/>
              </w:rPr>
              <w:t>Info d</w:t>
            </w:r>
            <w:r w:rsidR="003D0E65">
              <w:rPr>
                <w:b/>
              </w:rPr>
              <w:t>oc 6</w:t>
            </w:r>
            <w:bookmarkStart w:id="0" w:name="_GoBack"/>
            <w:bookmarkEnd w:id="0"/>
          </w:p>
        </w:tc>
      </w:tr>
      <w:tr w:rsidR="00EC4026" w:rsidRPr="00EC4026" w:rsidTr="006314EF">
        <w:tblPrEx>
          <w:tblCellMar>
            <w:left w:w="108" w:type="dxa"/>
            <w:right w:w="108" w:type="dxa"/>
          </w:tblCellMar>
        </w:tblPrEx>
        <w:trPr>
          <w:cantSplit/>
        </w:trPr>
        <w:tc>
          <w:tcPr>
            <w:tcW w:w="4482" w:type="dxa"/>
            <w:tcBorders>
              <w:top w:val="nil"/>
              <w:left w:val="nil"/>
              <w:bottom w:val="nil"/>
              <w:right w:val="nil"/>
            </w:tcBorders>
          </w:tcPr>
          <w:p w:rsidR="00EC4026" w:rsidRPr="00EC4026" w:rsidRDefault="00EC4026" w:rsidP="00EC4026">
            <w:pPr>
              <w:rPr>
                <w:b/>
              </w:rPr>
            </w:pPr>
            <w:r w:rsidRPr="00EC4026">
              <w:rPr>
                <w:b/>
              </w:rPr>
              <w:t>CPG15 – 1</w:t>
            </w:r>
          </w:p>
          <w:p w:rsidR="00EC4026" w:rsidRPr="00EC4026" w:rsidRDefault="00EC4026" w:rsidP="00EC4026">
            <w:pPr>
              <w:rPr>
                <w:b/>
              </w:rPr>
            </w:pPr>
            <w:r w:rsidRPr="00EC4026">
              <w:rPr>
                <w:b/>
              </w:rPr>
              <w:t>Mainz, 16 April – 18 April 2012</w:t>
            </w:r>
          </w:p>
          <w:p w:rsidR="00EC4026" w:rsidRPr="00EC4026" w:rsidRDefault="00EC4026" w:rsidP="00EC4026"/>
        </w:tc>
        <w:tc>
          <w:tcPr>
            <w:tcW w:w="5016" w:type="dxa"/>
            <w:gridSpan w:val="2"/>
            <w:tcBorders>
              <w:top w:val="nil"/>
              <w:left w:val="nil"/>
              <w:bottom w:val="nil"/>
              <w:right w:val="nil"/>
            </w:tcBorders>
          </w:tcPr>
          <w:p w:rsidR="00EC4026" w:rsidRPr="00EC4026" w:rsidRDefault="00EC4026" w:rsidP="00EC4026"/>
        </w:tc>
      </w:tr>
      <w:tr w:rsidR="00EC4026" w:rsidRPr="00EC4026" w:rsidTr="00C32E50">
        <w:tblPrEx>
          <w:tblCellMar>
            <w:left w:w="108" w:type="dxa"/>
            <w:right w:w="108" w:type="dxa"/>
          </w:tblCellMar>
        </w:tblPrEx>
        <w:trPr>
          <w:cantSplit/>
          <w:trHeight w:val="4628"/>
        </w:trPr>
        <w:tc>
          <w:tcPr>
            <w:tcW w:w="9498" w:type="dxa"/>
            <w:gridSpan w:val="3"/>
            <w:tcBorders>
              <w:top w:val="nil"/>
              <w:left w:val="nil"/>
              <w:bottom w:val="nil"/>
              <w:right w:val="nil"/>
            </w:tcBorders>
          </w:tcPr>
          <w:p w:rsidR="00EC4026" w:rsidRPr="00EC4026" w:rsidRDefault="00EC4026" w:rsidP="00EC4026">
            <w:r w:rsidRPr="00EC4026">
              <w:rPr>
                <w:b/>
              </w:rPr>
              <w:t>Date issued:</w:t>
            </w:r>
            <w:r w:rsidRPr="00EC4026">
              <w:t xml:space="preserve">   </w:t>
            </w:r>
            <w:r w:rsidR="00B02816">
              <w:t xml:space="preserve">12 April </w:t>
            </w:r>
            <w:r w:rsidRPr="00EC4026">
              <w:t>2012</w:t>
            </w:r>
            <w:r w:rsidRPr="00EC4026">
              <w:tab/>
            </w:r>
          </w:p>
          <w:p w:rsidR="00EC4026" w:rsidRDefault="00EC4026" w:rsidP="00EC4026">
            <w:r w:rsidRPr="00EC4026">
              <w:rPr>
                <w:b/>
              </w:rPr>
              <w:t>Source:</w:t>
            </w:r>
            <w:r w:rsidRPr="00EC4026">
              <w:tab/>
            </w:r>
            <w:r w:rsidR="00457AA5">
              <w:t xml:space="preserve"> </w:t>
            </w:r>
            <w:r w:rsidR="00457AA5" w:rsidRPr="00457AA5">
              <w:t>ECO</w:t>
            </w:r>
          </w:p>
          <w:p w:rsidR="00457AA5" w:rsidRPr="00EC4026" w:rsidRDefault="00457AA5" w:rsidP="00EC4026">
            <w:r w:rsidRPr="00457AA5">
              <w:rPr>
                <w:b/>
              </w:rPr>
              <w:t>Status:</w:t>
            </w:r>
            <w:r w:rsidRPr="00457AA5">
              <w:rPr>
                <w:b/>
              </w:rPr>
              <w:tab/>
            </w:r>
            <w:r w:rsidRPr="00457AA5">
              <w:t>For information</w:t>
            </w:r>
          </w:p>
          <w:p w:rsidR="00EC4026" w:rsidRDefault="00EC4026" w:rsidP="00EC4026">
            <w:r w:rsidRPr="00EC4026">
              <w:rPr>
                <w:b/>
              </w:rPr>
              <w:t>Subject:</w:t>
            </w:r>
            <w:r w:rsidRPr="00EC4026">
              <w:t xml:space="preserve"> </w:t>
            </w:r>
            <w:r w:rsidR="00457AA5">
              <w:t xml:space="preserve"> </w:t>
            </w:r>
            <w:r w:rsidR="00457AA5" w:rsidRPr="00457AA5">
              <w:t>CEPT/ECC Workshops</w:t>
            </w:r>
          </w:p>
          <w:tbl>
            <w:tblPr>
              <w:tblStyle w:val="TableGrid"/>
              <w:tblW w:w="0" w:type="auto"/>
              <w:tblLayout w:type="fixed"/>
              <w:tblLook w:val="04A0" w:firstRow="1" w:lastRow="0" w:firstColumn="1" w:lastColumn="0" w:noHBand="0" w:noVBand="1"/>
            </w:tblPr>
            <w:tblGrid>
              <w:gridCol w:w="8983"/>
            </w:tblGrid>
            <w:tr w:rsidR="009F4C48" w:rsidTr="00762562">
              <w:tc>
                <w:tcPr>
                  <w:tcW w:w="8983" w:type="dxa"/>
                </w:tcPr>
                <w:p w:rsidR="009F4C48" w:rsidRDefault="009F4C48" w:rsidP="00762562">
                  <w:pPr>
                    <w:rPr>
                      <w:rFonts w:ascii="Arial" w:hAnsi="Arial" w:cs="Arial"/>
                      <w:b/>
                    </w:rPr>
                  </w:pPr>
                  <w:r>
                    <w:rPr>
                      <w:rFonts w:ascii="Arial" w:hAnsi="Arial" w:cs="Arial"/>
                      <w:b/>
                    </w:rPr>
                    <w:t>Summary:</w:t>
                  </w:r>
                </w:p>
                <w:p w:rsidR="009F4C48" w:rsidRDefault="009F4C48" w:rsidP="00762562"/>
                <w:p w:rsidR="009F4C48" w:rsidRPr="00366B4E" w:rsidRDefault="009F4C48" w:rsidP="00762562">
                  <w:pPr>
                    <w:rPr>
                      <w:rFonts w:ascii="Arial" w:hAnsi="Arial" w:cs="Arial"/>
                    </w:rPr>
                  </w:pPr>
                  <w:r>
                    <w:rPr>
                      <w:rFonts w:ascii="Arial" w:hAnsi="Arial" w:cs="Arial"/>
                    </w:rPr>
                    <w:t>This document provides information on the workshops organised but the ECC/CEPT in the forthcoming months.</w:t>
                  </w:r>
                </w:p>
                <w:p w:rsidR="009F4C48" w:rsidRDefault="009F4C48" w:rsidP="00762562"/>
              </w:tc>
            </w:tr>
            <w:tr w:rsidR="009F4C48" w:rsidTr="00762562">
              <w:tc>
                <w:tcPr>
                  <w:tcW w:w="8983" w:type="dxa"/>
                </w:tcPr>
                <w:p w:rsidR="009F4C48" w:rsidRDefault="009F4C48" w:rsidP="00762562">
                  <w:pPr>
                    <w:rPr>
                      <w:rFonts w:ascii="Arial" w:hAnsi="Arial" w:cs="Arial"/>
                      <w:b/>
                    </w:rPr>
                  </w:pPr>
                  <w:r>
                    <w:rPr>
                      <w:rFonts w:ascii="Arial" w:hAnsi="Arial" w:cs="Arial"/>
                      <w:b/>
                    </w:rPr>
                    <w:t xml:space="preserve">Proposal: </w:t>
                  </w:r>
                </w:p>
                <w:p w:rsidR="009F4C48" w:rsidRDefault="00C32E50" w:rsidP="00762562">
                  <w:r>
                    <w:t>For information</w:t>
                  </w:r>
                </w:p>
              </w:tc>
            </w:tr>
            <w:tr w:rsidR="009F4C48" w:rsidTr="00762562">
              <w:tc>
                <w:tcPr>
                  <w:tcW w:w="8983" w:type="dxa"/>
                </w:tcPr>
                <w:p w:rsidR="009F4C48" w:rsidRDefault="009F4C48" w:rsidP="00762562">
                  <w:pPr>
                    <w:rPr>
                      <w:rFonts w:ascii="Arial" w:hAnsi="Arial" w:cs="Arial"/>
                      <w:b/>
                    </w:rPr>
                  </w:pPr>
                  <w:r w:rsidRPr="009F4C48">
                    <w:rPr>
                      <w:rFonts w:ascii="Arial" w:hAnsi="Arial" w:cs="Arial"/>
                      <w:b/>
                    </w:rPr>
                    <w:t xml:space="preserve">Background: </w:t>
                  </w:r>
                </w:p>
                <w:p w:rsidR="00C32E50" w:rsidRPr="00C32E50" w:rsidRDefault="00C32E50" w:rsidP="00762562">
                  <w:pPr>
                    <w:rPr>
                      <w:rFonts w:ascii="Arial" w:hAnsi="Arial" w:cs="Arial"/>
                    </w:rPr>
                  </w:pPr>
                  <w:r>
                    <w:rPr>
                      <w:rFonts w:ascii="Arial" w:hAnsi="Arial" w:cs="Arial"/>
                    </w:rPr>
                    <w:t>4 workshops in ECC / CEPT</w:t>
                  </w:r>
                </w:p>
              </w:tc>
            </w:tr>
          </w:tbl>
          <w:p w:rsidR="006314EF" w:rsidRPr="00EC4026" w:rsidRDefault="006314EF" w:rsidP="00C32E50"/>
        </w:tc>
      </w:tr>
    </w:tbl>
    <w:p w:rsidR="00C32E50" w:rsidRPr="00366B4E" w:rsidRDefault="00C32E50" w:rsidP="00C32E50">
      <w:pPr>
        <w:pStyle w:val="NormalWeb"/>
        <w:spacing w:line="360" w:lineRule="atLeast"/>
        <w:rPr>
          <w:rFonts w:ascii="Arial" w:hAnsi="Arial" w:cs="Arial"/>
          <w:b/>
          <w:bCs/>
          <w:color w:val="auto"/>
          <w:lang w:val="en-US"/>
        </w:rPr>
      </w:pPr>
      <w:r>
        <w:rPr>
          <w:rFonts w:ascii="Arial" w:hAnsi="Arial" w:cs="Arial"/>
          <w:b/>
          <w:bCs/>
          <w:color w:val="auto"/>
          <w:lang w:val="en-US"/>
        </w:rPr>
        <w:t>E</w:t>
      </w:r>
      <w:r w:rsidRPr="00366B4E">
        <w:rPr>
          <w:rFonts w:ascii="Arial" w:hAnsi="Arial" w:cs="Arial"/>
          <w:b/>
          <w:bCs/>
          <w:color w:val="auto"/>
          <w:lang w:val="en-US"/>
        </w:rPr>
        <w:t xml:space="preserve">CC announces </w:t>
      </w:r>
      <w:r>
        <w:rPr>
          <w:rFonts w:ascii="Arial" w:hAnsi="Arial" w:cs="Arial"/>
          <w:b/>
          <w:bCs/>
          <w:color w:val="auto"/>
          <w:lang w:val="en-US"/>
        </w:rPr>
        <w:t>four</w:t>
      </w:r>
      <w:r w:rsidRPr="00366B4E">
        <w:rPr>
          <w:rFonts w:ascii="Arial" w:hAnsi="Arial" w:cs="Arial"/>
          <w:b/>
          <w:bCs/>
          <w:color w:val="auto"/>
          <w:lang w:val="en-US"/>
        </w:rPr>
        <w:t xml:space="preserve"> workshops: Cognitive Radio; Numbering and Naming; </w:t>
      </w:r>
      <w:r>
        <w:rPr>
          <w:rFonts w:ascii="Arial" w:hAnsi="Arial" w:cs="Arial"/>
          <w:b/>
          <w:bCs/>
          <w:color w:val="auto"/>
          <w:lang w:val="en-US"/>
        </w:rPr>
        <w:t xml:space="preserve">SEAMCAT </w:t>
      </w:r>
      <w:r w:rsidRPr="00366B4E">
        <w:rPr>
          <w:rFonts w:ascii="Arial" w:hAnsi="Arial" w:cs="Arial"/>
          <w:b/>
          <w:bCs/>
          <w:color w:val="auto"/>
          <w:lang w:val="en-US"/>
        </w:rPr>
        <w:t>and Introduction to ECC</w:t>
      </w:r>
    </w:p>
    <w:p w:rsidR="00C32E50" w:rsidRPr="00366B4E" w:rsidRDefault="00C32E50" w:rsidP="00C32E50">
      <w:pPr>
        <w:pStyle w:val="NormalWeb"/>
        <w:rPr>
          <w:rFonts w:ascii="Arial" w:hAnsi="Arial" w:cs="Arial"/>
          <w:color w:val="auto"/>
          <w:lang w:val="en-US"/>
        </w:rPr>
      </w:pPr>
      <w:r w:rsidRPr="00F90930">
        <w:rPr>
          <w:rFonts w:ascii="Arial" w:hAnsi="Arial" w:cs="Arial"/>
          <w:color w:val="auto"/>
          <w:lang w:val="en-US"/>
        </w:rPr>
        <w:t>The ECC is planning no fewer than 4 public workshops in the coming months. Two of these are on current policy matters, with the aim to inform the ECC's thinking and planning for its next steps of work. The third is an information workshop for people who want to find out more about how the ECC works and how they can participate. The fourth one is on SEAMCAT for beginners. Three of these workshops are on consecutive days in Copenhagen in June, so you can conveniently attend all of them!</w:t>
      </w:r>
    </w:p>
    <w:p w:rsidR="00C32E50" w:rsidRDefault="00C32E50" w:rsidP="00C32E50">
      <w:pPr>
        <w:pStyle w:val="NormalWeb"/>
        <w:rPr>
          <w:rFonts w:ascii="Arial" w:hAnsi="Arial" w:cs="Arial"/>
          <w:color w:val="auto"/>
          <w:lang w:val="en-US"/>
        </w:rPr>
      </w:pPr>
      <w:r w:rsidRPr="006314EF">
        <w:rPr>
          <w:rFonts w:ascii="Arial" w:hAnsi="Arial" w:cs="Arial"/>
          <w:b/>
          <w:color w:val="auto"/>
          <w:lang w:val="en-US"/>
        </w:rPr>
        <w:t>2-3rd May, Mainz, Germany</w:t>
      </w:r>
      <w:r w:rsidRPr="00366B4E">
        <w:rPr>
          <w:rFonts w:ascii="Arial" w:hAnsi="Arial" w:cs="Arial"/>
          <w:color w:val="auto"/>
          <w:lang w:val="en-US"/>
        </w:rPr>
        <w:t xml:space="preserve">. </w:t>
      </w:r>
      <w:hyperlink r:id="rId6" w:tgtFrame="_blank" w:history="1">
        <w:r w:rsidRPr="00366B4E">
          <w:rPr>
            <w:rStyle w:val="Hyperlink"/>
            <w:rFonts w:ascii="Arial" w:hAnsi="Arial" w:cs="Arial"/>
            <w:color w:val="auto"/>
            <w:lang w:val="en-US"/>
          </w:rPr>
          <w:t>Workshop on Cognitive and Software-Defined Radio</w:t>
        </w:r>
      </w:hyperlink>
      <w:r w:rsidRPr="00366B4E">
        <w:rPr>
          <w:rFonts w:ascii="Arial" w:hAnsi="Arial" w:cs="Arial"/>
          <w:color w:val="auto"/>
          <w:lang w:val="en-US"/>
        </w:rPr>
        <w:t xml:space="preserve">, </w:t>
      </w:r>
      <w:proofErr w:type="spellStart"/>
      <w:r w:rsidRPr="00366B4E">
        <w:rPr>
          <w:rFonts w:ascii="Arial" w:hAnsi="Arial" w:cs="Arial"/>
          <w:color w:val="auto"/>
          <w:lang w:val="en-US"/>
        </w:rPr>
        <w:t>organised</w:t>
      </w:r>
      <w:proofErr w:type="spellEnd"/>
      <w:r w:rsidRPr="00366B4E">
        <w:rPr>
          <w:rFonts w:ascii="Arial" w:hAnsi="Arial" w:cs="Arial"/>
          <w:color w:val="auto"/>
          <w:lang w:val="en-US"/>
        </w:rPr>
        <w:t xml:space="preserve"> in cooperation with the COST-Terra Project and the European Telecommunications Standards Institute (ETSI). This workshop will review current progress in the field of cognitive radio, with a particular emphasis on regulatory and </w:t>
      </w:r>
      <w:proofErr w:type="spellStart"/>
      <w:r w:rsidRPr="00366B4E">
        <w:rPr>
          <w:rFonts w:ascii="Arial" w:hAnsi="Arial" w:cs="Arial"/>
          <w:color w:val="auto"/>
          <w:lang w:val="en-US"/>
        </w:rPr>
        <w:t>standardisation</w:t>
      </w:r>
      <w:proofErr w:type="spellEnd"/>
      <w:r w:rsidRPr="00366B4E">
        <w:rPr>
          <w:rFonts w:ascii="Arial" w:hAnsi="Arial" w:cs="Arial"/>
          <w:color w:val="auto"/>
          <w:lang w:val="en-US"/>
        </w:rPr>
        <w:t xml:space="preserve"> issues. It will be informed by the results of this month's World Radiocommunication Conference. We hope that this workshop will help the ECC and ETSI in clarifying whether and in what areas progress should be made towards harmonisation in frequency regulations and </w:t>
      </w:r>
      <w:proofErr w:type="spellStart"/>
      <w:r w:rsidRPr="00366B4E">
        <w:rPr>
          <w:rFonts w:ascii="Arial" w:hAnsi="Arial" w:cs="Arial"/>
          <w:color w:val="auto"/>
          <w:lang w:val="en-US"/>
        </w:rPr>
        <w:t>standardisation</w:t>
      </w:r>
      <w:proofErr w:type="spellEnd"/>
      <w:r w:rsidRPr="00366B4E">
        <w:rPr>
          <w:rFonts w:ascii="Arial" w:hAnsi="Arial" w:cs="Arial"/>
          <w:color w:val="auto"/>
          <w:lang w:val="en-US"/>
        </w:rPr>
        <w:t>.</w:t>
      </w:r>
    </w:p>
    <w:p w:rsidR="00C32E50" w:rsidRPr="00366B4E" w:rsidRDefault="00C32E50" w:rsidP="00C32E50">
      <w:pPr>
        <w:pStyle w:val="NormalWeb"/>
        <w:rPr>
          <w:rFonts w:ascii="Arial" w:hAnsi="Arial" w:cs="Arial"/>
          <w:color w:val="auto"/>
          <w:lang w:val="en-US"/>
        </w:rPr>
      </w:pPr>
      <w:r w:rsidRPr="006314EF">
        <w:rPr>
          <w:rFonts w:ascii="Arial" w:hAnsi="Arial" w:cs="Arial"/>
          <w:b/>
          <w:color w:val="auto"/>
          <w:lang w:val="en-US"/>
        </w:rPr>
        <w:t xml:space="preserve">5th June, Copenhagen, Denmark. </w:t>
      </w:r>
      <w:r w:rsidRPr="006314EF">
        <w:rPr>
          <w:rFonts w:ascii="Arial" w:hAnsi="Arial" w:cs="Arial"/>
          <w:color w:val="auto"/>
          <w:lang w:val="en-US"/>
        </w:rPr>
        <w:t>SEAMCAT workshop for beginners, where the basic of interference calculation will be presented in addition to how to use the new SEAMCAT-4. . No prior knowledge of SEAMCAT is needed.</w:t>
      </w:r>
    </w:p>
    <w:p w:rsidR="00C32E50" w:rsidRPr="00366B4E" w:rsidRDefault="00C32E50" w:rsidP="00C32E50">
      <w:pPr>
        <w:pStyle w:val="NormalWeb"/>
        <w:rPr>
          <w:rFonts w:ascii="Arial" w:hAnsi="Arial" w:cs="Arial"/>
          <w:color w:val="auto"/>
          <w:lang w:val="en-US"/>
        </w:rPr>
      </w:pPr>
      <w:r w:rsidRPr="006314EF">
        <w:rPr>
          <w:rFonts w:ascii="Arial" w:hAnsi="Arial" w:cs="Arial"/>
          <w:b/>
          <w:color w:val="auto"/>
          <w:lang w:val="en-US"/>
        </w:rPr>
        <w:lastRenderedPageBreak/>
        <w:t>6th June, Copenhagen, Denmark</w:t>
      </w:r>
      <w:r w:rsidRPr="00366B4E">
        <w:rPr>
          <w:rFonts w:ascii="Arial" w:hAnsi="Arial" w:cs="Arial"/>
          <w:color w:val="auto"/>
          <w:lang w:val="en-US"/>
        </w:rPr>
        <w:t xml:space="preserve">. </w:t>
      </w:r>
      <w:hyperlink r:id="rId7" w:tgtFrame="_blank" w:history="1">
        <w:r w:rsidRPr="00366B4E">
          <w:rPr>
            <w:rStyle w:val="Hyperlink"/>
            <w:rFonts w:ascii="Arial" w:hAnsi="Arial" w:cs="Arial"/>
            <w:color w:val="auto"/>
            <w:lang w:val="en-US"/>
          </w:rPr>
          <w:t xml:space="preserve">CEPT workshop on European Spectrum Management and </w:t>
        </w:r>
        <w:proofErr w:type="spellStart"/>
        <w:r w:rsidRPr="00366B4E">
          <w:rPr>
            <w:rStyle w:val="Hyperlink"/>
            <w:rFonts w:ascii="Arial" w:hAnsi="Arial" w:cs="Arial"/>
            <w:color w:val="auto"/>
            <w:lang w:val="en-US"/>
          </w:rPr>
          <w:t>Numbering</w:t>
        </w:r>
      </w:hyperlink>
      <w:r w:rsidRPr="00366B4E">
        <w:rPr>
          <w:rFonts w:ascii="Arial" w:hAnsi="Arial" w:cs="Arial"/>
          <w:color w:val="auto"/>
          <w:lang w:val="en-US"/>
        </w:rPr>
        <w:t>,which</w:t>
      </w:r>
      <w:proofErr w:type="spellEnd"/>
      <w:r w:rsidRPr="00366B4E">
        <w:rPr>
          <w:rFonts w:ascii="Arial" w:hAnsi="Arial" w:cs="Arial"/>
          <w:color w:val="auto"/>
          <w:lang w:val="en-US"/>
        </w:rPr>
        <w:t xml:space="preserve"> is specifically designed for newcomers in the electronic communications area, both working for national regulators and in the industry, as well as for those who would like to broaden their knowledge of modern regulation of telecommunications in Europe.</w:t>
      </w:r>
    </w:p>
    <w:p w:rsidR="00C32E50" w:rsidRDefault="00C32E50" w:rsidP="00C32E50">
      <w:pPr>
        <w:pStyle w:val="NormalWeb"/>
        <w:rPr>
          <w:rFonts w:ascii="Arial" w:hAnsi="Arial" w:cs="Arial"/>
          <w:color w:val="auto"/>
          <w:lang w:val="en-US"/>
        </w:rPr>
      </w:pPr>
      <w:r w:rsidRPr="006314EF">
        <w:rPr>
          <w:rFonts w:ascii="Arial" w:hAnsi="Arial" w:cs="Arial"/>
          <w:b/>
          <w:color w:val="auto"/>
          <w:lang w:val="en-US"/>
        </w:rPr>
        <w:t>7th June, Copenhagen Denmark</w:t>
      </w:r>
      <w:r w:rsidRPr="00366B4E">
        <w:rPr>
          <w:rFonts w:ascii="Arial" w:hAnsi="Arial" w:cs="Arial"/>
          <w:color w:val="auto"/>
          <w:lang w:val="en-US"/>
        </w:rPr>
        <w:t xml:space="preserve">. The ECC's working group on numbering and networks is </w:t>
      </w:r>
      <w:proofErr w:type="spellStart"/>
      <w:r w:rsidRPr="00366B4E">
        <w:rPr>
          <w:rFonts w:ascii="Arial" w:hAnsi="Arial" w:cs="Arial"/>
          <w:color w:val="auto"/>
          <w:lang w:val="en-US"/>
        </w:rPr>
        <w:t>organising</w:t>
      </w:r>
      <w:proofErr w:type="spellEnd"/>
      <w:r w:rsidRPr="00366B4E">
        <w:rPr>
          <w:rFonts w:ascii="Arial" w:hAnsi="Arial" w:cs="Arial"/>
          <w:color w:val="auto"/>
          <w:lang w:val="en-US"/>
        </w:rPr>
        <w:t xml:space="preserve"> a </w:t>
      </w:r>
      <w:hyperlink r:id="rId8" w:tgtFrame="_blank" w:history="1">
        <w:r w:rsidRPr="00366B4E">
          <w:rPr>
            <w:rStyle w:val="Hyperlink"/>
            <w:rFonts w:ascii="Arial" w:hAnsi="Arial" w:cs="Arial"/>
            <w:color w:val="auto"/>
            <w:lang w:val="en-US"/>
          </w:rPr>
          <w:t xml:space="preserve">workshop on the long-term strategy in numbering, naming and addressing </w:t>
        </w:r>
      </w:hyperlink>
      <w:r w:rsidRPr="00366B4E">
        <w:rPr>
          <w:rFonts w:ascii="Arial" w:hAnsi="Arial" w:cs="Arial"/>
          <w:color w:val="auto"/>
          <w:lang w:val="en-US"/>
        </w:rPr>
        <w:t>, for European stakeholders.</w:t>
      </w:r>
    </w:p>
    <w:p w:rsidR="00C32E50" w:rsidRPr="00277717" w:rsidRDefault="00C32E50" w:rsidP="00C32E50">
      <w:pPr>
        <w:rPr>
          <w:rFonts w:ascii="Arial" w:hAnsi="Arial" w:cs="Arial"/>
          <w:lang w:val="en-US"/>
        </w:rPr>
      </w:pPr>
      <w:r>
        <w:rPr>
          <w:rFonts w:ascii="Arial" w:hAnsi="Arial" w:cs="Arial"/>
          <w:lang w:val="en-US"/>
        </w:rPr>
        <w:t>Y</w:t>
      </w:r>
      <w:r w:rsidRPr="00366B4E">
        <w:rPr>
          <w:rFonts w:ascii="Arial" w:hAnsi="Arial" w:cs="Arial"/>
          <w:lang w:val="en-US"/>
        </w:rPr>
        <w:t xml:space="preserve">ou can follow the above links </w:t>
      </w:r>
      <w:r w:rsidRPr="00277717">
        <w:rPr>
          <w:rFonts w:ascii="Arial" w:hAnsi="Arial" w:cs="Arial"/>
          <w:lang w:val="en-US"/>
        </w:rPr>
        <w:t xml:space="preserve">to the individual event webpages, or follow the links from the 'workshops' area on the ECC front page </w:t>
      </w:r>
      <w:hyperlink r:id="rId9" w:tgtFrame="_blank" w:history="1">
        <w:r w:rsidRPr="00277717">
          <w:rPr>
            <w:rStyle w:val="Hyperlink"/>
            <w:rFonts w:ascii="Arial" w:hAnsi="Arial" w:cs="Arial"/>
            <w:lang w:val="en-US"/>
          </w:rPr>
          <w:t>(www.cept.org/ecc)</w:t>
        </w:r>
      </w:hyperlink>
      <w:r w:rsidRPr="00277717">
        <w:rPr>
          <w:rFonts w:ascii="Arial" w:hAnsi="Arial" w:cs="Arial"/>
          <w:lang w:val="en-US"/>
        </w:rPr>
        <w:t>.</w:t>
      </w:r>
      <w:r w:rsidR="00277717" w:rsidRPr="00277717">
        <w:rPr>
          <w:rFonts w:ascii="Arial" w:hAnsi="Arial" w:cs="Arial"/>
          <w:lang w:val="en-US"/>
        </w:rPr>
        <w:t xml:space="preserve"> </w:t>
      </w:r>
      <w:r w:rsidR="00277717" w:rsidRPr="00277717">
        <w:rPr>
          <w:rFonts w:ascii="Arial" w:hAnsi="Arial" w:cs="Arial"/>
        </w:rPr>
        <w:t xml:space="preserve">Find out more by visiting our </w:t>
      </w:r>
      <w:hyperlink r:id="rId10" w:history="1">
        <w:r w:rsidR="00277717" w:rsidRPr="00277717">
          <w:rPr>
            <w:rStyle w:val="Hyperlink"/>
            <w:rFonts w:ascii="Arial" w:hAnsi="Arial" w:cs="Arial"/>
            <w:color w:val="C00000"/>
          </w:rPr>
          <w:t>workshops page</w:t>
        </w:r>
      </w:hyperlink>
      <w:r w:rsidR="00277717" w:rsidRPr="00277717">
        <w:rPr>
          <w:rFonts w:ascii="Arial" w:hAnsi="Arial" w:cs="Arial"/>
        </w:rPr>
        <w:t>.</w:t>
      </w:r>
    </w:p>
    <w:p w:rsidR="00212C75" w:rsidRPr="00C32E50" w:rsidRDefault="00212C75">
      <w:pPr>
        <w:rPr>
          <w:lang w:val="en-US"/>
        </w:rPr>
      </w:pPr>
    </w:p>
    <w:sectPr w:rsidR="00212C75" w:rsidRPr="00C32E50" w:rsidSect="006314EF">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026"/>
    <w:rsid w:val="000044CE"/>
    <w:rsid w:val="00026BB4"/>
    <w:rsid w:val="00212C75"/>
    <w:rsid w:val="00277717"/>
    <w:rsid w:val="003D0E65"/>
    <w:rsid w:val="00457AA5"/>
    <w:rsid w:val="006314EF"/>
    <w:rsid w:val="00712F0E"/>
    <w:rsid w:val="009F4C48"/>
    <w:rsid w:val="00B02816"/>
    <w:rsid w:val="00C32E50"/>
    <w:rsid w:val="00E334C6"/>
    <w:rsid w:val="00EC4026"/>
    <w:rsid w:val="00F90930"/>
    <w:rsid w:val="00FD53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026"/>
    <w:rPr>
      <w:rFonts w:ascii="Tahoma" w:hAnsi="Tahoma" w:cs="Tahoma"/>
      <w:sz w:val="16"/>
      <w:szCs w:val="16"/>
    </w:rPr>
  </w:style>
  <w:style w:type="table" w:styleId="TableGrid">
    <w:name w:val="Table Grid"/>
    <w:basedOn w:val="TableNormal"/>
    <w:uiPriority w:val="59"/>
    <w:rsid w:val="009F4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26BB4"/>
    <w:rPr>
      <w:color w:val="0000FF"/>
      <w:u w:val="single"/>
    </w:rPr>
  </w:style>
  <w:style w:type="paragraph" w:styleId="NormalWeb">
    <w:name w:val="Normal (Web)"/>
    <w:basedOn w:val="Normal"/>
    <w:uiPriority w:val="99"/>
    <w:unhideWhenUsed/>
    <w:rsid w:val="00026BB4"/>
    <w:pPr>
      <w:spacing w:before="100" w:beforeAutospacing="1" w:after="100" w:afterAutospacing="1" w:line="270" w:lineRule="atLeast"/>
    </w:pPr>
    <w:rPr>
      <w:rFonts w:ascii="Georgia" w:eastAsia="Calibri" w:hAnsi="Georgia" w:cs="Times New Roman"/>
      <w:color w:val="484646"/>
      <w:sz w:val="21"/>
      <w:szCs w:val="21"/>
      <w:lang w:val="da-DK" w:eastAsia="da-DK"/>
    </w:rPr>
  </w:style>
  <w:style w:type="character" w:styleId="FollowedHyperlink">
    <w:name w:val="FollowedHyperlink"/>
    <w:basedOn w:val="DefaultParagraphFont"/>
    <w:uiPriority w:val="99"/>
    <w:semiHidden/>
    <w:unhideWhenUsed/>
    <w:rsid w:val="002777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026"/>
    <w:rPr>
      <w:rFonts w:ascii="Tahoma" w:hAnsi="Tahoma" w:cs="Tahoma"/>
      <w:sz w:val="16"/>
      <w:szCs w:val="16"/>
    </w:rPr>
  </w:style>
  <w:style w:type="table" w:styleId="TableGrid">
    <w:name w:val="Table Grid"/>
    <w:basedOn w:val="TableNormal"/>
    <w:uiPriority w:val="59"/>
    <w:rsid w:val="009F4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26BB4"/>
    <w:rPr>
      <w:color w:val="0000FF"/>
      <w:u w:val="single"/>
    </w:rPr>
  </w:style>
  <w:style w:type="paragraph" w:styleId="NormalWeb">
    <w:name w:val="Normal (Web)"/>
    <w:basedOn w:val="Normal"/>
    <w:uiPriority w:val="99"/>
    <w:unhideWhenUsed/>
    <w:rsid w:val="00026BB4"/>
    <w:pPr>
      <w:spacing w:before="100" w:beforeAutospacing="1" w:after="100" w:afterAutospacing="1" w:line="270" w:lineRule="atLeast"/>
    </w:pPr>
    <w:rPr>
      <w:rFonts w:ascii="Georgia" w:eastAsia="Calibri" w:hAnsi="Georgia" w:cs="Times New Roman"/>
      <w:color w:val="484646"/>
      <w:sz w:val="21"/>
      <w:szCs w:val="21"/>
      <w:lang w:val="da-DK" w:eastAsia="da-DK"/>
    </w:rPr>
  </w:style>
  <w:style w:type="character" w:styleId="FollowedHyperlink">
    <w:name w:val="FollowedHyperlink"/>
    <w:basedOn w:val="DefaultParagraphFont"/>
    <w:uiPriority w:val="99"/>
    <w:semiHidden/>
    <w:unhideWhenUsed/>
    <w:rsid w:val="002777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pt.org/ecc/groups/ecc/wg-nan/client/introduction/news/workshop-on-long-term-evolution-in-numbering,-naming-and-addressing" TargetMode="External"/><Relationship Id="rId3" Type="http://schemas.openxmlformats.org/officeDocument/2006/relationships/settings" Target="settings.xml"/><Relationship Id="rId7" Type="http://schemas.openxmlformats.org/officeDocument/2006/relationships/hyperlink" Target="http://cept.org/files/1051/Workshops/for%20newcomers%20June%202012/CEPT%20Workshop%206%20June%202012-1%20page%20intro.doc"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ept.org/ecc/groups/ecc/page/workshop-on-cogitive-radio"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cept.org/ecc/topics/cept-workshops" TargetMode="External"/><Relationship Id="rId4" Type="http://schemas.openxmlformats.org/officeDocument/2006/relationships/webSettings" Target="webSettings.xml"/><Relationship Id="rId9" Type="http://schemas.openxmlformats.org/officeDocument/2006/relationships/hyperlink" Target="http://www.cept.org/e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OFCOM</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wesley.milton</dc:creator>
  <cp:lastModifiedBy>wesley.milton</cp:lastModifiedBy>
  <cp:revision>3</cp:revision>
  <dcterms:created xsi:type="dcterms:W3CDTF">2012-04-12T16:00:00Z</dcterms:created>
  <dcterms:modified xsi:type="dcterms:W3CDTF">2012-04-12T16:00:00Z</dcterms:modified>
</cp:coreProperties>
</file>