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B14" w:rsidRPr="00AF6B14" w:rsidRDefault="00AF6B14" w:rsidP="00AF6B14">
      <w:pPr>
        <w:tabs>
          <w:tab w:val="left" w:pos="794"/>
          <w:tab w:val="left" w:pos="1191"/>
          <w:tab w:val="left" w:pos="1588"/>
          <w:tab w:val="left" w:pos="1985"/>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AF6B14" w:rsidRPr="00AF6B14" w:rsidTr="00D412B1">
        <w:trPr>
          <w:cantSplit/>
          <w:trHeight w:val="1843"/>
        </w:trPr>
        <w:tc>
          <w:tcPr>
            <w:tcW w:w="5387" w:type="dxa"/>
            <w:gridSpan w:val="2"/>
            <w:tcBorders>
              <w:top w:val="nil"/>
              <w:left w:val="nil"/>
              <w:bottom w:val="nil"/>
              <w:right w:val="nil"/>
            </w:tcBorders>
          </w:tcPr>
          <w:p w:rsidR="00AF6B14" w:rsidRPr="00AF6B14" w:rsidRDefault="00AF6B14" w:rsidP="00AF6B14">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b/>
                <w:noProof/>
                <w:sz w:val="24"/>
                <w:szCs w:val="20"/>
              </w:rPr>
            </w:pPr>
            <w:r w:rsidRPr="00AF6B14">
              <w:rPr>
                <w:rFonts w:ascii="Times New Roman" w:eastAsia="Times New Roman" w:hAnsi="Times New Roman" w:cs="Times New Roman"/>
                <w:b/>
                <w:noProof/>
                <w:sz w:val="24"/>
                <w:szCs w:val="20"/>
                <w:lang w:eastAsia="en-GB"/>
              </w:rPr>
              <w:drawing>
                <wp:inline distT="0" distB="0" distL="0" distR="0" wp14:anchorId="613751E5" wp14:editId="224DA658">
                  <wp:extent cx="162877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AF6B14" w:rsidRPr="00AF6B14" w:rsidRDefault="00AF6B14" w:rsidP="00AF6B14">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b/>
                <w:sz w:val="24"/>
                <w:szCs w:val="20"/>
              </w:rPr>
            </w:pPr>
          </w:p>
        </w:tc>
        <w:tc>
          <w:tcPr>
            <w:tcW w:w="3827" w:type="dxa"/>
            <w:tcBorders>
              <w:top w:val="nil"/>
              <w:left w:val="nil"/>
              <w:bottom w:val="nil"/>
              <w:right w:val="nil"/>
            </w:tcBorders>
          </w:tcPr>
          <w:p w:rsidR="00AF6B14" w:rsidRPr="00AF6B14" w:rsidRDefault="00AF6B14" w:rsidP="00AF6B14">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b/>
                <w:sz w:val="24"/>
                <w:szCs w:val="20"/>
              </w:rPr>
            </w:pPr>
            <w:r w:rsidRPr="00AF6B14">
              <w:rPr>
                <w:rFonts w:ascii="Times New Roman" w:eastAsia="Times New Roman" w:hAnsi="Times New Roman" w:cs="Times New Roman"/>
                <w:b/>
                <w:sz w:val="24"/>
                <w:szCs w:val="20"/>
              </w:rPr>
              <w:t>Doc. ECC/</w:t>
            </w:r>
            <w:r>
              <w:rPr>
                <w:rFonts w:ascii="Times New Roman" w:eastAsia="Times New Roman" w:hAnsi="Times New Roman" w:cs="Times New Roman"/>
                <w:b/>
                <w:sz w:val="24"/>
                <w:szCs w:val="20"/>
              </w:rPr>
              <w:t>CPG15(12)002</w:t>
            </w:r>
            <w:r w:rsidR="00E31846">
              <w:rPr>
                <w:rFonts w:ascii="Times New Roman" w:eastAsia="Times New Roman" w:hAnsi="Times New Roman" w:cs="Times New Roman"/>
                <w:b/>
                <w:sz w:val="24"/>
                <w:szCs w:val="20"/>
              </w:rPr>
              <w:t>rev2</w:t>
            </w:r>
            <w:bookmarkStart w:id="0" w:name="_GoBack"/>
            <w:bookmarkEnd w:id="0"/>
          </w:p>
        </w:tc>
      </w:tr>
      <w:tr w:rsidR="00AF6B14" w:rsidRPr="00AF6B14" w:rsidTr="00D412B1">
        <w:tblPrEx>
          <w:tblCellMar>
            <w:left w:w="108" w:type="dxa"/>
            <w:right w:w="108" w:type="dxa"/>
          </w:tblCellMar>
        </w:tblPrEx>
        <w:trPr>
          <w:cantSplit/>
        </w:trPr>
        <w:tc>
          <w:tcPr>
            <w:tcW w:w="4482" w:type="dxa"/>
            <w:tcBorders>
              <w:top w:val="nil"/>
              <w:left w:val="nil"/>
              <w:bottom w:val="nil"/>
              <w:right w:val="nil"/>
            </w:tcBorders>
          </w:tcPr>
          <w:p w:rsidR="00AF6B14" w:rsidRPr="00AF6B14" w:rsidRDefault="00AF6B14" w:rsidP="00AF6B14">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b/>
                <w:sz w:val="24"/>
                <w:szCs w:val="20"/>
              </w:rPr>
            </w:pPr>
            <w:r w:rsidRPr="00AF6B14">
              <w:rPr>
                <w:rFonts w:eastAsia="Times New Roman" w:cstheme="minorHAnsi"/>
                <w:b/>
                <w:sz w:val="24"/>
                <w:szCs w:val="20"/>
              </w:rPr>
              <w:t>CPG1</w:t>
            </w:r>
            <w:r w:rsidRPr="00E87E47">
              <w:rPr>
                <w:rFonts w:eastAsia="Times New Roman" w:cstheme="minorHAnsi"/>
                <w:b/>
                <w:sz w:val="24"/>
                <w:szCs w:val="20"/>
              </w:rPr>
              <w:t>5</w:t>
            </w:r>
            <w:r w:rsidRPr="00AF6B14">
              <w:rPr>
                <w:rFonts w:eastAsia="Times New Roman" w:cstheme="minorHAnsi"/>
                <w:b/>
                <w:sz w:val="24"/>
                <w:szCs w:val="20"/>
              </w:rPr>
              <w:t xml:space="preserve"> – </w:t>
            </w:r>
            <w:r w:rsidRPr="00E87E47">
              <w:rPr>
                <w:rFonts w:eastAsia="Times New Roman" w:cstheme="minorHAnsi"/>
                <w:b/>
                <w:sz w:val="24"/>
                <w:szCs w:val="20"/>
              </w:rPr>
              <w:t>1</w:t>
            </w:r>
          </w:p>
          <w:p w:rsidR="00AF6B14" w:rsidRPr="00AF6B14" w:rsidRDefault="00AF6B14" w:rsidP="00AF6B14">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b/>
                <w:sz w:val="24"/>
                <w:szCs w:val="24"/>
              </w:rPr>
            </w:pPr>
            <w:r w:rsidRPr="00E87E47">
              <w:rPr>
                <w:rFonts w:eastAsia="Times New Roman" w:cstheme="minorHAnsi"/>
                <w:b/>
                <w:sz w:val="24"/>
                <w:szCs w:val="20"/>
              </w:rPr>
              <w:t>Mainz</w:t>
            </w:r>
            <w:r w:rsidRPr="00E87E47">
              <w:rPr>
                <w:rFonts w:eastAsia="Times New Roman" w:cstheme="minorHAnsi"/>
                <w:b/>
                <w:sz w:val="24"/>
                <w:szCs w:val="24"/>
              </w:rPr>
              <w:t>, 16</w:t>
            </w:r>
            <w:r w:rsidRPr="00AF6B14">
              <w:rPr>
                <w:rFonts w:eastAsia="Times New Roman" w:cstheme="minorHAnsi"/>
                <w:b/>
                <w:sz w:val="24"/>
                <w:szCs w:val="24"/>
              </w:rPr>
              <w:t xml:space="preserve"> </w:t>
            </w:r>
            <w:r w:rsidRPr="00E87E47">
              <w:rPr>
                <w:rFonts w:eastAsia="Times New Roman" w:cstheme="minorHAnsi"/>
                <w:b/>
                <w:sz w:val="24"/>
                <w:szCs w:val="24"/>
              </w:rPr>
              <w:t xml:space="preserve">April – </w:t>
            </w:r>
            <w:r w:rsidRPr="00AF6B14">
              <w:rPr>
                <w:rFonts w:eastAsia="Times New Roman" w:cstheme="minorHAnsi"/>
                <w:b/>
                <w:sz w:val="24"/>
                <w:szCs w:val="24"/>
              </w:rPr>
              <w:t>1</w:t>
            </w:r>
            <w:r w:rsidRPr="00E87E47">
              <w:rPr>
                <w:rFonts w:eastAsia="Times New Roman" w:cstheme="minorHAnsi"/>
                <w:b/>
                <w:sz w:val="24"/>
                <w:szCs w:val="24"/>
              </w:rPr>
              <w:t>8</w:t>
            </w:r>
            <w:r w:rsidRPr="00AF6B14">
              <w:rPr>
                <w:rFonts w:eastAsia="Times New Roman" w:cstheme="minorHAnsi"/>
                <w:b/>
                <w:sz w:val="24"/>
                <w:szCs w:val="24"/>
              </w:rPr>
              <w:t xml:space="preserve"> </w:t>
            </w:r>
            <w:r w:rsidRPr="00E87E47">
              <w:rPr>
                <w:rFonts w:eastAsia="Times New Roman" w:cstheme="minorHAnsi"/>
                <w:b/>
                <w:sz w:val="24"/>
                <w:szCs w:val="24"/>
              </w:rPr>
              <w:t>April</w:t>
            </w:r>
            <w:r w:rsidRPr="00AF6B14">
              <w:rPr>
                <w:rFonts w:eastAsia="Times New Roman" w:cstheme="minorHAnsi"/>
                <w:b/>
                <w:sz w:val="24"/>
                <w:szCs w:val="24"/>
              </w:rPr>
              <w:t xml:space="preserve"> 201</w:t>
            </w:r>
            <w:r w:rsidRPr="00E87E47">
              <w:rPr>
                <w:rFonts w:eastAsia="Times New Roman" w:cstheme="minorHAnsi"/>
                <w:b/>
                <w:sz w:val="24"/>
                <w:szCs w:val="24"/>
              </w:rPr>
              <w:t>2</w:t>
            </w:r>
          </w:p>
          <w:p w:rsidR="00AF6B14" w:rsidRPr="00AF6B14" w:rsidRDefault="00AF6B14" w:rsidP="00AF6B14">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sz w:val="24"/>
                <w:szCs w:val="20"/>
              </w:rPr>
            </w:pPr>
          </w:p>
        </w:tc>
        <w:tc>
          <w:tcPr>
            <w:tcW w:w="4732" w:type="dxa"/>
            <w:gridSpan w:val="2"/>
            <w:tcBorders>
              <w:top w:val="nil"/>
              <w:left w:val="nil"/>
              <w:bottom w:val="nil"/>
              <w:right w:val="nil"/>
            </w:tcBorders>
          </w:tcPr>
          <w:p w:rsidR="00AF6B14" w:rsidRPr="00AF6B14" w:rsidRDefault="00AF6B14" w:rsidP="00AF6B14">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sz w:val="24"/>
                <w:szCs w:val="20"/>
              </w:rPr>
            </w:pPr>
          </w:p>
        </w:tc>
      </w:tr>
      <w:tr w:rsidR="00AF6B14" w:rsidRPr="00AF6B14" w:rsidTr="00D412B1">
        <w:tblPrEx>
          <w:tblCellMar>
            <w:left w:w="108" w:type="dxa"/>
            <w:right w:w="108" w:type="dxa"/>
          </w:tblCellMar>
        </w:tblPrEx>
        <w:trPr>
          <w:cantSplit/>
        </w:trPr>
        <w:tc>
          <w:tcPr>
            <w:tcW w:w="9214" w:type="dxa"/>
            <w:gridSpan w:val="3"/>
            <w:tcBorders>
              <w:top w:val="nil"/>
              <w:left w:val="nil"/>
              <w:bottom w:val="nil"/>
              <w:right w:val="nil"/>
            </w:tcBorders>
          </w:tcPr>
          <w:p w:rsidR="00AF6B14" w:rsidRPr="00AF6B14" w:rsidRDefault="00AF6B14" w:rsidP="00AF6B14">
            <w:pPr>
              <w:tabs>
                <w:tab w:val="left" w:pos="1414"/>
              </w:tabs>
              <w:overflowPunct w:val="0"/>
              <w:autoSpaceDE w:val="0"/>
              <w:autoSpaceDN w:val="0"/>
              <w:adjustRightInd w:val="0"/>
              <w:spacing w:before="120" w:after="0" w:line="240" w:lineRule="auto"/>
              <w:textAlignment w:val="baseline"/>
              <w:rPr>
                <w:rFonts w:eastAsia="Times New Roman" w:cstheme="minorHAnsi"/>
                <w:sz w:val="24"/>
                <w:szCs w:val="20"/>
              </w:rPr>
            </w:pPr>
            <w:r w:rsidRPr="00AF6B14">
              <w:rPr>
                <w:rFonts w:eastAsia="Times New Roman" w:cstheme="minorHAnsi"/>
                <w:b/>
                <w:sz w:val="24"/>
                <w:szCs w:val="20"/>
              </w:rPr>
              <w:t>Date issued:</w:t>
            </w:r>
            <w:r w:rsidRPr="00AF6B14">
              <w:rPr>
                <w:rFonts w:eastAsia="Times New Roman" w:cstheme="minorHAnsi"/>
                <w:sz w:val="24"/>
                <w:szCs w:val="20"/>
              </w:rPr>
              <w:t xml:space="preserve">   </w:t>
            </w:r>
            <w:r w:rsidR="009C2675">
              <w:rPr>
                <w:rFonts w:eastAsia="Times New Roman" w:cstheme="minorHAnsi"/>
                <w:sz w:val="24"/>
                <w:szCs w:val="20"/>
              </w:rPr>
              <w:t>8</w:t>
            </w:r>
            <w:r w:rsidRPr="00E87E47">
              <w:rPr>
                <w:rFonts w:eastAsia="Times New Roman" w:cstheme="minorHAnsi"/>
                <w:sz w:val="24"/>
                <w:szCs w:val="20"/>
              </w:rPr>
              <w:t xml:space="preserve"> March</w:t>
            </w:r>
            <w:r w:rsidRPr="00AF6B14">
              <w:rPr>
                <w:rFonts w:eastAsia="Times New Roman" w:cstheme="minorHAnsi"/>
                <w:sz w:val="24"/>
                <w:szCs w:val="20"/>
              </w:rPr>
              <w:t xml:space="preserve"> 201</w:t>
            </w:r>
            <w:r w:rsidRPr="00E87E47">
              <w:rPr>
                <w:rFonts w:eastAsia="Times New Roman" w:cstheme="minorHAnsi"/>
                <w:sz w:val="24"/>
                <w:szCs w:val="20"/>
              </w:rPr>
              <w:t>2</w:t>
            </w:r>
            <w:r w:rsidRPr="00AF6B14">
              <w:rPr>
                <w:rFonts w:eastAsia="Times New Roman" w:cstheme="minorHAnsi"/>
                <w:sz w:val="24"/>
                <w:szCs w:val="20"/>
              </w:rPr>
              <w:tab/>
            </w:r>
          </w:p>
          <w:p w:rsidR="00AF6B14" w:rsidRPr="00AF6B14" w:rsidRDefault="00AF6B14" w:rsidP="00AF6B14">
            <w:pPr>
              <w:tabs>
                <w:tab w:val="left" w:pos="1414"/>
              </w:tabs>
              <w:overflowPunct w:val="0"/>
              <w:autoSpaceDE w:val="0"/>
              <w:autoSpaceDN w:val="0"/>
              <w:adjustRightInd w:val="0"/>
              <w:spacing w:before="120" w:after="0" w:line="240" w:lineRule="auto"/>
              <w:textAlignment w:val="baseline"/>
              <w:rPr>
                <w:rFonts w:eastAsia="Times New Roman" w:cstheme="minorHAnsi"/>
                <w:sz w:val="24"/>
                <w:szCs w:val="20"/>
              </w:rPr>
            </w:pPr>
            <w:r w:rsidRPr="00AF6B14">
              <w:rPr>
                <w:rFonts w:eastAsia="Times New Roman" w:cstheme="minorHAnsi"/>
                <w:b/>
                <w:sz w:val="24"/>
                <w:szCs w:val="20"/>
              </w:rPr>
              <w:t>Source:</w:t>
            </w:r>
            <w:r w:rsidRPr="00AF6B14">
              <w:rPr>
                <w:rFonts w:eastAsia="Times New Roman" w:cstheme="minorHAnsi"/>
                <w:sz w:val="24"/>
                <w:szCs w:val="20"/>
              </w:rPr>
              <w:t xml:space="preserve"> C</w:t>
            </w:r>
            <w:r w:rsidR="00EB417A">
              <w:rPr>
                <w:rFonts w:eastAsia="Times New Roman" w:cstheme="minorHAnsi"/>
                <w:sz w:val="24"/>
                <w:szCs w:val="20"/>
              </w:rPr>
              <w:t>PG-12</w:t>
            </w:r>
            <w:r w:rsidRPr="00E87E47">
              <w:rPr>
                <w:rFonts w:eastAsia="Times New Roman" w:cstheme="minorHAnsi"/>
                <w:sz w:val="24"/>
                <w:szCs w:val="20"/>
              </w:rPr>
              <w:t xml:space="preserve"> management team</w:t>
            </w:r>
            <w:r w:rsidRPr="00AF6B14">
              <w:rPr>
                <w:rFonts w:eastAsia="Times New Roman" w:cstheme="minorHAnsi"/>
                <w:sz w:val="24"/>
                <w:szCs w:val="20"/>
              </w:rPr>
              <w:tab/>
            </w:r>
          </w:p>
          <w:p w:rsidR="00AF6B14" w:rsidRPr="00E87E47" w:rsidRDefault="00AF6B14" w:rsidP="00AF6B14">
            <w:pPr>
              <w:tabs>
                <w:tab w:val="left" w:pos="1414"/>
              </w:tabs>
              <w:overflowPunct w:val="0"/>
              <w:autoSpaceDE w:val="0"/>
              <w:autoSpaceDN w:val="0"/>
              <w:adjustRightInd w:val="0"/>
              <w:spacing w:before="120" w:after="0" w:line="240" w:lineRule="auto"/>
              <w:textAlignment w:val="baseline"/>
              <w:rPr>
                <w:rFonts w:eastAsia="Times New Roman" w:cstheme="minorHAnsi"/>
                <w:sz w:val="24"/>
                <w:szCs w:val="20"/>
              </w:rPr>
            </w:pPr>
            <w:r w:rsidRPr="00AF6B14">
              <w:rPr>
                <w:rFonts w:eastAsia="Times New Roman" w:cstheme="minorHAnsi"/>
                <w:b/>
                <w:sz w:val="24"/>
                <w:szCs w:val="20"/>
              </w:rPr>
              <w:t>Subject:</w:t>
            </w:r>
            <w:r w:rsidRPr="00AF6B14">
              <w:rPr>
                <w:rFonts w:eastAsia="Times New Roman" w:cstheme="minorHAnsi"/>
                <w:sz w:val="24"/>
                <w:szCs w:val="20"/>
              </w:rPr>
              <w:t xml:space="preserve"> </w:t>
            </w:r>
            <w:r w:rsidR="00F14884">
              <w:rPr>
                <w:rFonts w:eastAsia="Times New Roman" w:cstheme="minorHAnsi"/>
                <w:sz w:val="24"/>
                <w:szCs w:val="20"/>
              </w:rPr>
              <w:t>Proposed CPG-15 Plan</w:t>
            </w:r>
          </w:p>
          <w:p w:rsidR="00AF6B14" w:rsidRPr="00E87E47" w:rsidRDefault="00AF6B14" w:rsidP="00AF6B14">
            <w:pPr>
              <w:tabs>
                <w:tab w:val="left" w:pos="1414"/>
              </w:tabs>
              <w:overflowPunct w:val="0"/>
              <w:autoSpaceDE w:val="0"/>
              <w:autoSpaceDN w:val="0"/>
              <w:adjustRightInd w:val="0"/>
              <w:spacing w:before="120" w:after="0" w:line="240" w:lineRule="auto"/>
              <w:textAlignment w:val="baseline"/>
              <w:rPr>
                <w:rFonts w:eastAsia="Times New Roman" w:cstheme="minorHAnsi"/>
                <w:sz w:val="24"/>
                <w:szCs w:val="20"/>
              </w:rPr>
            </w:pPr>
          </w:p>
          <w:p w:rsidR="00AF6B14" w:rsidRPr="00AF6B14" w:rsidRDefault="00AF6B14" w:rsidP="00E87E47">
            <w:pPr>
              <w:tabs>
                <w:tab w:val="left" w:pos="1414"/>
              </w:tabs>
              <w:overflowPunct w:val="0"/>
              <w:autoSpaceDE w:val="0"/>
              <w:autoSpaceDN w:val="0"/>
              <w:adjustRightInd w:val="0"/>
              <w:spacing w:before="120" w:after="0" w:line="240" w:lineRule="auto"/>
              <w:textAlignment w:val="baseline"/>
              <w:rPr>
                <w:rFonts w:eastAsia="Times New Roman" w:cstheme="minorHAnsi"/>
                <w:sz w:val="24"/>
                <w:szCs w:val="20"/>
              </w:rPr>
            </w:pPr>
          </w:p>
        </w:tc>
      </w:tr>
    </w:tbl>
    <w:p w:rsidR="00220E71" w:rsidRPr="00EB417A" w:rsidRDefault="00220E71" w:rsidP="00220E71">
      <w:pPr>
        <w:rPr>
          <w:rFonts w:cstheme="minorHAnsi"/>
          <w:b/>
          <w:noProof/>
          <w:lang w:eastAsia="en-GB"/>
        </w:rPr>
      </w:pPr>
      <w:r w:rsidRPr="00EB417A">
        <w:rPr>
          <w:rFonts w:cstheme="minorHAnsi"/>
          <w:b/>
          <w:noProof/>
          <w:lang w:eastAsia="en-GB"/>
        </w:rPr>
        <w:t>Background</w:t>
      </w:r>
    </w:p>
    <w:p w:rsidR="00BC141B" w:rsidRDefault="00EB417A" w:rsidP="00EB417A">
      <w:pPr>
        <w:tabs>
          <w:tab w:val="left" w:pos="1414"/>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t>The proposed structure (</w:t>
      </w:r>
      <w:r w:rsidRPr="00EB417A">
        <w:rPr>
          <w:rFonts w:eastAsia="Times New Roman" w:cstheme="minorHAnsi"/>
          <w:b/>
        </w:rPr>
        <w:t>Annex 1</w:t>
      </w:r>
      <w:r w:rsidRPr="00EB417A">
        <w:rPr>
          <w:rFonts w:eastAsia="Times New Roman" w:cstheme="minorHAnsi"/>
        </w:rPr>
        <w:t xml:space="preserve">) has been developed by the CPG-12 chairman and vice-chairmen as a basis for discussion at the first meeting of CPG-15. </w:t>
      </w:r>
    </w:p>
    <w:p w:rsidR="00BC141B" w:rsidRDefault="00BC141B" w:rsidP="00EB417A">
      <w:pPr>
        <w:tabs>
          <w:tab w:val="left" w:pos="1414"/>
        </w:tabs>
        <w:overflowPunct w:val="0"/>
        <w:autoSpaceDE w:val="0"/>
        <w:autoSpaceDN w:val="0"/>
        <w:adjustRightInd w:val="0"/>
        <w:spacing w:before="120" w:after="0" w:line="240" w:lineRule="auto"/>
        <w:textAlignment w:val="baseline"/>
        <w:rPr>
          <w:rFonts w:eastAsia="Times New Roman" w:cstheme="minorHAnsi"/>
        </w:rPr>
      </w:pPr>
    </w:p>
    <w:p w:rsidR="00EB417A" w:rsidRDefault="00EB417A" w:rsidP="00EB417A">
      <w:pPr>
        <w:tabs>
          <w:tab w:val="left" w:pos="1414"/>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t>In developing the proposal the following principles were considered:</w:t>
      </w:r>
    </w:p>
    <w:p w:rsidR="00BC141B" w:rsidRPr="00EB417A" w:rsidRDefault="00BC141B" w:rsidP="00EB417A">
      <w:pPr>
        <w:tabs>
          <w:tab w:val="left" w:pos="1414"/>
        </w:tabs>
        <w:overflowPunct w:val="0"/>
        <w:autoSpaceDE w:val="0"/>
        <w:autoSpaceDN w:val="0"/>
        <w:adjustRightInd w:val="0"/>
        <w:spacing w:before="120" w:after="0" w:line="240" w:lineRule="auto"/>
        <w:textAlignment w:val="baseline"/>
        <w:rPr>
          <w:rFonts w:eastAsia="Times New Roman" w:cstheme="minorHAnsi"/>
        </w:rPr>
      </w:pPr>
    </w:p>
    <w:p w:rsidR="00EB417A" w:rsidRPr="00EB417A" w:rsidRDefault="00EB417A" w:rsidP="00EB417A">
      <w:pPr>
        <w:numPr>
          <w:ilvl w:val="0"/>
          <w:numId w:val="2"/>
        </w:numPr>
        <w:tabs>
          <w:tab w:val="left" w:pos="794"/>
          <w:tab w:val="left" w:pos="1191"/>
          <w:tab w:val="left" w:pos="1414"/>
          <w:tab w:val="left" w:pos="1588"/>
          <w:tab w:val="left" w:pos="1985"/>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t>As far as possible, the structure of the project teams should reflect the organisation of the CPM report as this assists regional co-ordination – two exceptions were identified:</w:t>
      </w:r>
    </w:p>
    <w:p w:rsidR="00EB417A" w:rsidRPr="00EB417A" w:rsidRDefault="00EB417A" w:rsidP="00EB417A">
      <w:pPr>
        <w:numPr>
          <w:ilvl w:val="1"/>
          <w:numId w:val="2"/>
        </w:numPr>
        <w:tabs>
          <w:tab w:val="left" w:pos="794"/>
          <w:tab w:val="left" w:pos="1191"/>
          <w:tab w:val="left" w:pos="1414"/>
          <w:tab w:val="left" w:pos="1588"/>
          <w:tab w:val="left" w:pos="1985"/>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t>A.I. 1.4 (Amateur) is grouped with Chapter 3 issues since it is expected that the relevant experts will be following these subjects rather than mobile/IMT.</w:t>
      </w:r>
    </w:p>
    <w:p w:rsidR="00EB417A" w:rsidRPr="00EB417A" w:rsidRDefault="00EB417A" w:rsidP="00EB417A">
      <w:pPr>
        <w:numPr>
          <w:ilvl w:val="1"/>
          <w:numId w:val="2"/>
        </w:numPr>
        <w:tabs>
          <w:tab w:val="left" w:pos="794"/>
          <w:tab w:val="left" w:pos="1191"/>
          <w:tab w:val="left" w:pos="1414"/>
          <w:tab w:val="left" w:pos="1588"/>
          <w:tab w:val="left" w:pos="1985"/>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t xml:space="preserve"> A.I. 1.3 (PPDR) is identified as being handled in FM49 initially, and PTA later, to avoid a duplication of discussions in WG FM and CPG.</w:t>
      </w:r>
    </w:p>
    <w:p w:rsidR="00EB417A" w:rsidRPr="00EB417A" w:rsidRDefault="00EB417A" w:rsidP="00EB417A">
      <w:pPr>
        <w:numPr>
          <w:ilvl w:val="0"/>
          <w:numId w:val="2"/>
        </w:numPr>
        <w:tabs>
          <w:tab w:val="left" w:pos="794"/>
          <w:tab w:val="left" w:pos="1191"/>
          <w:tab w:val="left" w:pos="1414"/>
          <w:tab w:val="left" w:pos="1588"/>
          <w:tab w:val="left" w:pos="1985"/>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t>ECC PT1 is identified as the responsible group for Mobile/IMT with the understanding that for these work items it would report directly to CPG and be treated as a CPG project team. It is expected that the ECC would consider any necessary changes to the PT1 terms of reference at its next meeting.</w:t>
      </w:r>
    </w:p>
    <w:p w:rsidR="00EB417A" w:rsidRPr="00EB417A" w:rsidRDefault="00EB417A" w:rsidP="00EB417A">
      <w:pPr>
        <w:numPr>
          <w:ilvl w:val="0"/>
          <w:numId w:val="2"/>
        </w:numPr>
        <w:tabs>
          <w:tab w:val="left" w:pos="794"/>
          <w:tab w:val="left" w:pos="1191"/>
          <w:tab w:val="left" w:pos="1414"/>
          <w:tab w:val="left" w:pos="1588"/>
          <w:tab w:val="left" w:pos="1985"/>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t>The vice-chairmen for WRC-15 preparation will be selected after appointment of the Chairman by the ECC, it should be noted that Alexander Kühn is eligible to serve a second term whilst Steve Bond is not having already served two terms.</w:t>
      </w:r>
    </w:p>
    <w:p w:rsidR="00EB417A" w:rsidRPr="00EB417A" w:rsidRDefault="00EB417A" w:rsidP="00EB417A">
      <w:pPr>
        <w:numPr>
          <w:ilvl w:val="0"/>
          <w:numId w:val="2"/>
        </w:numPr>
        <w:tabs>
          <w:tab w:val="left" w:pos="794"/>
          <w:tab w:val="left" w:pos="1191"/>
          <w:tab w:val="left" w:pos="1414"/>
          <w:tab w:val="left" w:pos="1588"/>
          <w:tab w:val="left" w:pos="1985"/>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t>The CPG project teams may be supported by WG SE and FM project teams as required - this is a matter for agreement by CPG project teams and in such cases it is expected that direct liaison will occur between these groups.</w:t>
      </w:r>
    </w:p>
    <w:p w:rsidR="00EB417A" w:rsidRPr="00EB417A" w:rsidRDefault="00EB417A" w:rsidP="00EB417A">
      <w:pPr>
        <w:numPr>
          <w:ilvl w:val="0"/>
          <w:numId w:val="2"/>
        </w:numPr>
        <w:tabs>
          <w:tab w:val="left" w:pos="794"/>
          <w:tab w:val="left" w:pos="1191"/>
          <w:tab w:val="left" w:pos="1414"/>
          <w:tab w:val="left" w:pos="1588"/>
          <w:tab w:val="left" w:pos="1985"/>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t>Proposals are encouraged from all members for:</w:t>
      </w:r>
    </w:p>
    <w:p w:rsidR="00EB417A" w:rsidRPr="00EB417A" w:rsidRDefault="00EB417A" w:rsidP="00EB417A">
      <w:pPr>
        <w:numPr>
          <w:ilvl w:val="1"/>
          <w:numId w:val="2"/>
        </w:numPr>
        <w:tabs>
          <w:tab w:val="left" w:pos="794"/>
          <w:tab w:val="left" w:pos="1191"/>
          <w:tab w:val="left" w:pos="1414"/>
          <w:tab w:val="left" w:pos="1588"/>
          <w:tab w:val="left" w:pos="1985"/>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t>The structure</w:t>
      </w:r>
      <w:r w:rsidR="00BC141B">
        <w:rPr>
          <w:rFonts w:eastAsia="Times New Roman" w:cstheme="minorHAnsi"/>
        </w:rPr>
        <w:t xml:space="preserve"> (</w:t>
      </w:r>
      <w:r w:rsidR="00BC141B" w:rsidRPr="00BC141B">
        <w:rPr>
          <w:rFonts w:eastAsia="Times New Roman" w:cstheme="minorHAnsi"/>
          <w:b/>
        </w:rPr>
        <w:t>Annex 1</w:t>
      </w:r>
      <w:r w:rsidR="00BC141B">
        <w:rPr>
          <w:rFonts w:eastAsia="Times New Roman" w:cstheme="minorHAnsi"/>
        </w:rPr>
        <w:t>)</w:t>
      </w:r>
    </w:p>
    <w:p w:rsidR="00EB417A" w:rsidRPr="00EB417A" w:rsidRDefault="00EB417A" w:rsidP="00EB417A">
      <w:pPr>
        <w:numPr>
          <w:ilvl w:val="1"/>
          <w:numId w:val="2"/>
        </w:numPr>
        <w:tabs>
          <w:tab w:val="left" w:pos="794"/>
          <w:tab w:val="left" w:pos="1191"/>
          <w:tab w:val="left" w:pos="1414"/>
          <w:tab w:val="left" w:pos="1588"/>
          <w:tab w:val="left" w:pos="1985"/>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t>Nominations for CEPT co-ordinators (</w:t>
      </w:r>
      <w:r w:rsidRPr="00EB417A">
        <w:rPr>
          <w:rFonts w:eastAsia="Times New Roman" w:cstheme="minorHAnsi"/>
          <w:b/>
        </w:rPr>
        <w:t>Annex 2</w:t>
      </w:r>
      <w:r w:rsidRPr="00EB417A">
        <w:rPr>
          <w:rFonts w:eastAsia="Times New Roman" w:cstheme="minorHAnsi"/>
        </w:rPr>
        <w:t>)</w:t>
      </w:r>
    </w:p>
    <w:p w:rsidR="00EB417A" w:rsidRPr="00EB417A" w:rsidRDefault="00EB417A" w:rsidP="00EB417A">
      <w:pPr>
        <w:numPr>
          <w:ilvl w:val="1"/>
          <w:numId w:val="2"/>
        </w:numPr>
        <w:tabs>
          <w:tab w:val="left" w:pos="794"/>
          <w:tab w:val="left" w:pos="1191"/>
          <w:tab w:val="left" w:pos="1414"/>
          <w:tab w:val="left" w:pos="1588"/>
          <w:tab w:val="left" w:pos="1985"/>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lastRenderedPageBreak/>
        <w:t>Nominations for CPG project team chairmen</w:t>
      </w:r>
    </w:p>
    <w:p w:rsidR="00EB417A" w:rsidRDefault="00EB417A" w:rsidP="00EB417A">
      <w:pPr>
        <w:numPr>
          <w:ilvl w:val="1"/>
          <w:numId w:val="2"/>
        </w:numPr>
        <w:tabs>
          <w:tab w:val="left" w:pos="794"/>
          <w:tab w:val="left" w:pos="1191"/>
          <w:tab w:val="left" w:pos="1414"/>
          <w:tab w:val="left" w:pos="1588"/>
          <w:tab w:val="left" w:pos="1985"/>
        </w:tabs>
        <w:overflowPunct w:val="0"/>
        <w:autoSpaceDE w:val="0"/>
        <w:autoSpaceDN w:val="0"/>
        <w:adjustRightInd w:val="0"/>
        <w:spacing w:before="120" w:after="0" w:line="240" w:lineRule="auto"/>
        <w:textAlignment w:val="baseline"/>
        <w:rPr>
          <w:rFonts w:eastAsia="Times New Roman" w:cstheme="minorHAnsi"/>
        </w:rPr>
      </w:pPr>
      <w:r w:rsidRPr="00EB417A">
        <w:rPr>
          <w:rFonts w:eastAsia="Times New Roman" w:cstheme="minorHAnsi"/>
        </w:rPr>
        <w:t>Nominations for vice-chairmen (noting that the vice-chairs will be selected after the ECC appoints the CPG chairman).</w:t>
      </w:r>
    </w:p>
    <w:p w:rsidR="00BC141B" w:rsidRDefault="00BC141B" w:rsidP="00EB417A">
      <w:pPr>
        <w:numPr>
          <w:ilvl w:val="1"/>
          <w:numId w:val="2"/>
        </w:numPr>
        <w:tabs>
          <w:tab w:val="left" w:pos="794"/>
          <w:tab w:val="left" w:pos="1191"/>
          <w:tab w:val="left" w:pos="1414"/>
          <w:tab w:val="left" w:pos="1588"/>
          <w:tab w:val="left" w:pos="1985"/>
        </w:tabs>
        <w:overflowPunct w:val="0"/>
        <w:autoSpaceDE w:val="0"/>
        <w:autoSpaceDN w:val="0"/>
        <w:adjustRightInd w:val="0"/>
        <w:spacing w:before="120" w:after="0" w:line="240" w:lineRule="auto"/>
        <w:textAlignment w:val="baseline"/>
        <w:rPr>
          <w:rFonts w:eastAsia="Times New Roman" w:cstheme="minorHAnsi"/>
        </w:rPr>
      </w:pPr>
      <w:r>
        <w:rPr>
          <w:rFonts w:eastAsia="Times New Roman" w:cstheme="minorHAnsi"/>
        </w:rPr>
        <w:t>Meeting venues for future CPG meetings (</w:t>
      </w:r>
      <w:r w:rsidRPr="00BC141B">
        <w:rPr>
          <w:rFonts w:eastAsia="Times New Roman" w:cstheme="minorHAnsi"/>
          <w:b/>
        </w:rPr>
        <w:t>Annex 3</w:t>
      </w:r>
      <w:r>
        <w:rPr>
          <w:rFonts w:eastAsia="Times New Roman" w:cstheme="minorHAnsi"/>
        </w:rPr>
        <w:t>)</w:t>
      </w:r>
    </w:p>
    <w:p w:rsidR="00EB417A" w:rsidRPr="00EB417A" w:rsidRDefault="00EB417A" w:rsidP="00EB417A">
      <w:pPr>
        <w:tabs>
          <w:tab w:val="left" w:pos="794"/>
          <w:tab w:val="left" w:pos="1191"/>
          <w:tab w:val="left" w:pos="1414"/>
          <w:tab w:val="left" w:pos="1588"/>
          <w:tab w:val="left" w:pos="1985"/>
        </w:tabs>
        <w:overflowPunct w:val="0"/>
        <w:autoSpaceDE w:val="0"/>
        <w:autoSpaceDN w:val="0"/>
        <w:adjustRightInd w:val="0"/>
        <w:spacing w:before="120" w:after="0" w:line="240" w:lineRule="auto"/>
        <w:ind w:left="1080"/>
        <w:textAlignment w:val="baseline"/>
        <w:rPr>
          <w:rFonts w:eastAsia="Times New Roman" w:cstheme="minorHAnsi"/>
        </w:rPr>
      </w:pPr>
    </w:p>
    <w:p w:rsidR="00EB417A" w:rsidRPr="00EB417A" w:rsidRDefault="00EB417A" w:rsidP="00EB417A">
      <w:pPr>
        <w:rPr>
          <w:rFonts w:cstheme="minorHAnsi"/>
          <w:b/>
          <w:noProof/>
          <w:lang w:eastAsia="en-GB"/>
        </w:rPr>
      </w:pPr>
      <w:r w:rsidRPr="00EB417A">
        <w:rPr>
          <w:rFonts w:eastAsia="Times New Roman" w:cstheme="minorHAnsi"/>
        </w:rPr>
        <w:t>Members are encouraged to make nominations which will facilitate the management of CPG-15, and CEPT co-ordination, by a broad range of CEPT administrations. It is suggested that in the first instance nominations and comments on the structure are sent to the CPG-12 management team (</w:t>
      </w:r>
      <w:hyperlink r:id="rId10" w:history="1">
        <w:r w:rsidRPr="00EB417A">
          <w:rPr>
            <w:rFonts w:eastAsia="Times New Roman" w:cstheme="minorHAnsi"/>
            <w:color w:val="0000FF"/>
            <w:u w:val="single"/>
          </w:rPr>
          <w:t>fournier@anfr.fr</w:t>
        </w:r>
      </w:hyperlink>
      <w:r w:rsidRPr="00EB417A">
        <w:rPr>
          <w:rFonts w:eastAsia="Times New Roman" w:cstheme="minorHAnsi"/>
        </w:rPr>
        <w:t xml:space="preserve">; </w:t>
      </w:r>
      <w:hyperlink r:id="rId11" w:history="1">
        <w:r w:rsidRPr="00EB417A">
          <w:rPr>
            <w:rFonts w:eastAsia="Times New Roman" w:cstheme="minorHAnsi"/>
            <w:color w:val="0000FF"/>
            <w:u w:val="single"/>
          </w:rPr>
          <w:t>steve.bond@ofcom.org.uk</w:t>
        </w:r>
      </w:hyperlink>
      <w:r w:rsidRPr="00EB417A">
        <w:rPr>
          <w:rFonts w:eastAsia="Times New Roman" w:cstheme="minorHAnsi"/>
        </w:rPr>
        <w:t xml:space="preserve">; </w:t>
      </w:r>
      <w:hyperlink r:id="rId12" w:history="1">
        <w:r w:rsidRPr="00EB417A">
          <w:rPr>
            <w:rFonts w:eastAsia="Times New Roman" w:cstheme="minorHAnsi"/>
            <w:color w:val="0000FF"/>
            <w:u w:val="single"/>
          </w:rPr>
          <w:t>alexander.kuehn@BNetzA.de</w:t>
        </w:r>
      </w:hyperlink>
      <w:r w:rsidRPr="00EB417A">
        <w:rPr>
          <w:rFonts w:eastAsia="Times New Roman" w:cstheme="minorHAnsi"/>
        </w:rPr>
        <w:t xml:space="preserve"> copied to </w:t>
      </w:r>
      <w:hyperlink r:id="rId13" w:history="1">
        <w:r w:rsidRPr="00EB417A">
          <w:rPr>
            <w:rFonts w:eastAsia="Times New Roman" w:cstheme="minorHAnsi"/>
            <w:color w:val="0000FF"/>
            <w:u w:val="single"/>
          </w:rPr>
          <w:t>thomas.ewers@BNetzA.de</w:t>
        </w:r>
      </w:hyperlink>
      <w:r w:rsidR="00FA5F7C">
        <w:rPr>
          <w:rFonts w:eastAsia="Times New Roman" w:cstheme="minorHAnsi"/>
        </w:rPr>
        <w:t xml:space="preserve"> and </w:t>
      </w:r>
      <w:hyperlink r:id="rId14" w:history="1">
        <w:r w:rsidRPr="00EB417A">
          <w:rPr>
            <w:rFonts w:eastAsia="Times New Roman" w:cstheme="minorHAnsi"/>
            <w:color w:val="0000FF"/>
            <w:u w:val="single"/>
          </w:rPr>
          <w:t>wesley.milton@ofcom.org.uk</w:t>
        </w:r>
      </w:hyperlink>
      <w:r w:rsidRPr="00EB417A">
        <w:rPr>
          <w:rFonts w:eastAsia="Times New Roman" w:cstheme="minorHAnsi"/>
        </w:rPr>
        <w:t>) to enable informal discussions to be conducted.</w:t>
      </w:r>
    </w:p>
    <w:p w:rsidR="00EB417A" w:rsidRDefault="00EB417A" w:rsidP="00220E71">
      <w:pPr>
        <w:rPr>
          <w:b/>
          <w:noProof/>
          <w:lang w:eastAsia="en-GB"/>
        </w:rPr>
      </w:pPr>
    </w:p>
    <w:p w:rsidR="00EB417A" w:rsidRPr="00220E71" w:rsidRDefault="00EB417A" w:rsidP="00220E71">
      <w:pPr>
        <w:rPr>
          <w:b/>
          <w:noProof/>
          <w:lang w:eastAsia="en-GB"/>
        </w:rPr>
      </w:pPr>
    </w:p>
    <w:p w:rsidR="00220E71" w:rsidRDefault="00220E71">
      <w:pPr>
        <w:rPr>
          <w:noProof/>
          <w:lang w:eastAsia="en-GB"/>
        </w:rPr>
      </w:pPr>
    </w:p>
    <w:p w:rsidR="00220E71" w:rsidRDefault="00220E71">
      <w:pPr>
        <w:rPr>
          <w:noProof/>
          <w:lang w:eastAsia="en-GB"/>
        </w:rPr>
      </w:pPr>
    </w:p>
    <w:p w:rsidR="00220E71" w:rsidRDefault="00220E71">
      <w:pPr>
        <w:rPr>
          <w:noProof/>
          <w:lang w:eastAsia="en-GB"/>
        </w:rPr>
      </w:pPr>
    </w:p>
    <w:p w:rsidR="00212C75" w:rsidRDefault="00212C75">
      <w:pPr>
        <w:rPr>
          <w:noProof/>
          <w:lang w:eastAsia="en-GB"/>
        </w:rPr>
      </w:pPr>
    </w:p>
    <w:p w:rsidR="00220E71" w:rsidRDefault="00220E71"/>
    <w:p w:rsidR="00220E71" w:rsidRDefault="00220E71">
      <w:r>
        <w:br w:type="page"/>
      </w:r>
    </w:p>
    <w:p w:rsidR="00E34C92" w:rsidRDefault="00220E71" w:rsidP="00220E71">
      <w:pPr>
        <w:jc w:val="right"/>
        <w:rPr>
          <w:b/>
          <w:u w:val="single"/>
        </w:rPr>
      </w:pPr>
      <w:r w:rsidRPr="00220E71">
        <w:rPr>
          <w:b/>
          <w:u w:val="single"/>
        </w:rPr>
        <w:lastRenderedPageBreak/>
        <w:t>Annex 1 – Proposed structure of CPG</w:t>
      </w:r>
      <w:r w:rsidR="0084533A">
        <w:rPr>
          <w:b/>
          <w:u w:val="single"/>
        </w:rPr>
        <w:t>-15</w:t>
      </w:r>
    </w:p>
    <w:p w:rsidR="00C01342" w:rsidRPr="00C01342" w:rsidRDefault="00C01342" w:rsidP="00C01342">
      <w:r>
        <w:t>The organogram below contains the following information:</w:t>
      </w:r>
    </w:p>
    <w:p w:rsidR="00C01342" w:rsidRPr="00C01342" w:rsidRDefault="00C01342" w:rsidP="00C01342">
      <w:pPr>
        <w:pStyle w:val="ListParagraph"/>
        <w:numPr>
          <w:ilvl w:val="0"/>
          <w:numId w:val="3"/>
        </w:numPr>
      </w:pPr>
      <w:r w:rsidRPr="00C01342">
        <w:t>Preliminary CPG structure</w:t>
      </w:r>
      <w:r>
        <w:t xml:space="preserve"> </w:t>
      </w:r>
      <w:r w:rsidR="007E11BC">
        <w:t>(</w:t>
      </w:r>
      <w:r>
        <w:t>based on early co</w:t>
      </w:r>
      <w:r w:rsidR="007E11BC">
        <w:t>ntributions)</w:t>
      </w:r>
    </w:p>
    <w:p w:rsidR="00C01342" w:rsidRPr="00C01342" w:rsidRDefault="00C01342" w:rsidP="007376A7">
      <w:pPr>
        <w:pStyle w:val="ListParagraph"/>
        <w:numPr>
          <w:ilvl w:val="0"/>
          <w:numId w:val="3"/>
        </w:numPr>
      </w:pPr>
      <w:r w:rsidRPr="00C01342">
        <w:t>Proposed candidates for the CPG-15 management team</w:t>
      </w:r>
      <w:r>
        <w:t xml:space="preserve"> </w:t>
      </w:r>
      <w:r w:rsidR="007376A7">
        <w:t>(as of 12</w:t>
      </w:r>
      <w:r w:rsidR="007376A7" w:rsidRPr="007376A7">
        <w:rPr>
          <w:vertAlign w:val="superscript"/>
        </w:rPr>
        <w:t>th</w:t>
      </w:r>
      <w:r w:rsidR="007376A7">
        <w:t xml:space="preserve"> April 2012)   **</w:t>
      </w:r>
      <w:r>
        <w:t>ECC in June to appoint Ch</w:t>
      </w:r>
      <w:r w:rsidR="007376A7">
        <w:t>airman and Vice Chairman of CPG**</w:t>
      </w:r>
    </w:p>
    <w:p w:rsidR="00C01342" w:rsidRDefault="00E31846">
      <w:pPr>
        <w:rPr>
          <w:noProof/>
          <w:lang w:eastAsia="en-GB"/>
        </w:rPr>
      </w:pPr>
      <w:r>
        <w:rPr>
          <w:noProof/>
          <w:lang w:eastAsia="en-GB"/>
        </w:rPr>
        <w:drawing>
          <wp:inline distT="0" distB="0" distL="0" distR="0" wp14:anchorId="316AB9BA" wp14:editId="6663F587">
            <wp:extent cx="5186477" cy="681308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osed CPG-15 Structurerev2.jpg"/>
                    <pic:cNvPicPr/>
                  </pic:nvPicPr>
                  <pic:blipFill>
                    <a:blip r:embed="rId15">
                      <a:extLst>
                        <a:ext uri="{28A0092B-C50C-407E-A947-70E740481C1C}">
                          <a14:useLocalDpi xmlns:a14="http://schemas.microsoft.com/office/drawing/2010/main" val="0"/>
                        </a:ext>
                      </a:extLst>
                    </a:blip>
                    <a:stretch>
                      <a:fillRect/>
                    </a:stretch>
                  </pic:blipFill>
                  <pic:spPr>
                    <a:xfrm>
                      <a:off x="0" y="0"/>
                      <a:ext cx="5188524" cy="6815772"/>
                    </a:xfrm>
                    <a:prstGeom prst="rect">
                      <a:avLst/>
                    </a:prstGeom>
                  </pic:spPr>
                </pic:pic>
              </a:graphicData>
            </a:graphic>
          </wp:inline>
        </w:drawing>
      </w:r>
    </w:p>
    <w:p w:rsidR="00C759A0" w:rsidRDefault="00220E71" w:rsidP="007E11BC">
      <w:pPr>
        <w:rPr>
          <w:b/>
        </w:rPr>
      </w:pPr>
      <w:r>
        <w:rPr>
          <w:noProof/>
          <w:lang w:eastAsia="en-GB"/>
        </w:rPr>
        <w:br w:type="page"/>
      </w:r>
      <w:r w:rsidRPr="00E51DC6">
        <w:rPr>
          <w:b/>
        </w:rPr>
        <w:lastRenderedPageBreak/>
        <w:t xml:space="preserve">Annex 2 </w:t>
      </w:r>
      <w:r w:rsidR="00E51DC6" w:rsidRPr="00E51DC6">
        <w:rPr>
          <w:b/>
        </w:rPr>
        <w:t>–</w:t>
      </w:r>
      <w:r w:rsidRPr="00E51DC6">
        <w:rPr>
          <w:b/>
        </w:rPr>
        <w:t xml:space="preserve"> </w:t>
      </w:r>
      <w:r w:rsidR="00C759A0">
        <w:rPr>
          <w:b/>
        </w:rPr>
        <w:t>Proposed l</w:t>
      </w:r>
      <w:r w:rsidR="00E51DC6" w:rsidRPr="00E51DC6">
        <w:rPr>
          <w:b/>
        </w:rPr>
        <w:t>ist of CEPT Coordinators for WRC-15</w:t>
      </w:r>
    </w:p>
    <w:p w:rsidR="00C759A0" w:rsidRPr="00C759A0" w:rsidRDefault="00C759A0" w:rsidP="00C759A0">
      <w:pPr>
        <w:jc w:val="right"/>
        <w:rPr>
          <w:b/>
        </w:rPr>
      </w:pPr>
    </w:p>
    <w:tbl>
      <w:tblPr>
        <w:tblStyle w:val="TableGrid"/>
        <w:tblW w:w="0" w:type="auto"/>
        <w:tblLook w:val="04A0" w:firstRow="1" w:lastRow="0" w:firstColumn="1" w:lastColumn="0" w:noHBand="0" w:noVBand="1"/>
      </w:tblPr>
      <w:tblGrid>
        <w:gridCol w:w="3484"/>
        <w:gridCol w:w="3132"/>
        <w:gridCol w:w="2626"/>
      </w:tblGrid>
      <w:tr w:rsidR="00134439" w:rsidRPr="00462852" w:rsidTr="00134439">
        <w:tc>
          <w:tcPr>
            <w:tcW w:w="3484" w:type="dxa"/>
          </w:tcPr>
          <w:p w:rsidR="00134439" w:rsidRPr="00462852" w:rsidRDefault="00134439" w:rsidP="00E97A14">
            <w:pPr>
              <w:jc w:val="center"/>
              <w:rPr>
                <w:b/>
              </w:rPr>
            </w:pPr>
            <w:r w:rsidRPr="00462852">
              <w:rPr>
                <w:b/>
              </w:rPr>
              <w:t>WRC-15 Agenda Item</w:t>
            </w:r>
          </w:p>
        </w:tc>
        <w:tc>
          <w:tcPr>
            <w:tcW w:w="3132" w:type="dxa"/>
          </w:tcPr>
          <w:p w:rsidR="00134439" w:rsidRPr="00462852" w:rsidRDefault="00134439" w:rsidP="00E97A14">
            <w:pPr>
              <w:jc w:val="center"/>
              <w:rPr>
                <w:b/>
              </w:rPr>
            </w:pPr>
            <w:r w:rsidRPr="00462852">
              <w:rPr>
                <w:b/>
              </w:rPr>
              <w:t>CEPT Coordinator</w:t>
            </w:r>
            <w:r>
              <w:rPr>
                <w:b/>
              </w:rPr>
              <w:t xml:space="preserve"> Nominations</w:t>
            </w:r>
          </w:p>
        </w:tc>
        <w:tc>
          <w:tcPr>
            <w:tcW w:w="2626" w:type="dxa"/>
          </w:tcPr>
          <w:p w:rsidR="00134439" w:rsidRPr="00462852" w:rsidRDefault="00134439" w:rsidP="00E97A14">
            <w:pPr>
              <w:jc w:val="center"/>
              <w:rPr>
                <w:b/>
              </w:rPr>
            </w:pPr>
            <w:r>
              <w:rPr>
                <w:b/>
              </w:rPr>
              <w:t>Notes</w:t>
            </w:r>
          </w:p>
        </w:tc>
      </w:tr>
      <w:tr w:rsidR="00134439" w:rsidRPr="00462852" w:rsidTr="00134439">
        <w:tc>
          <w:tcPr>
            <w:tcW w:w="3484" w:type="dxa"/>
          </w:tcPr>
          <w:p w:rsidR="00134439" w:rsidRPr="00462852" w:rsidRDefault="00134439" w:rsidP="00E97A14">
            <w:pPr>
              <w:rPr>
                <w:sz w:val="18"/>
              </w:rPr>
            </w:pPr>
            <w:r w:rsidRPr="00462852">
              <w:rPr>
                <w:sz w:val="18"/>
              </w:rPr>
              <w:t xml:space="preserve">1.1 </w:t>
            </w:r>
            <w:r w:rsidRPr="00462852">
              <w:rPr>
                <w:sz w:val="18"/>
              </w:rPr>
              <w:tab/>
              <w:t>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COM6/8 (WRC 12);</w:t>
            </w:r>
          </w:p>
        </w:tc>
        <w:tc>
          <w:tcPr>
            <w:tcW w:w="3132" w:type="dxa"/>
          </w:tcPr>
          <w:p w:rsidR="00134439" w:rsidRDefault="00134439" w:rsidP="00E97A14">
            <w:pPr>
              <w:rPr>
                <w:sz w:val="18"/>
              </w:rPr>
            </w:pPr>
            <w:r>
              <w:rPr>
                <w:sz w:val="18"/>
              </w:rPr>
              <w:t>[Mr Steve Green – UK]</w:t>
            </w:r>
            <w:bookmarkStart w:id="1" w:name="_Ref321220707"/>
            <w:r>
              <w:rPr>
                <w:rStyle w:val="FootnoteReference"/>
                <w:sz w:val="18"/>
              </w:rPr>
              <w:footnoteReference w:id="1"/>
            </w:r>
            <w:bookmarkEnd w:id="1"/>
          </w:p>
          <w:p w:rsidR="00134439" w:rsidRDefault="00134439" w:rsidP="00E97A14">
            <w:pPr>
              <w:rPr>
                <w:sz w:val="18"/>
              </w:rPr>
            </w:pPr>
            <w:r>
              <w:rPr>
                <w:sz w:val="18"/>
              </w:rPr>
              <w:t xml:space="preserve">[Mr </w:t>
            </w:r>
            <w:proofErr w:type="spellStart"/>
            <w:r>
              <w:rPr>
                <w:sz w:val="18"/>
              </w:rPr>
              <w:t>Pasi</w:t>
            </w:r>
            <w:proofErr w:type="spellEnd"/>
            <w:r>
              <w:rPr>
                <w:sz w:val="18"/>
              </w:rPr>
              <w:t xml:space="preserve"> </w:t>
            </w:r>
            <w:proofErr w:type="spellStart"/>
            <w:r w:rsidRPr="00E23A04">
              <w:rPr>
                <w:sz w:val="18"/>
              </w:rPr>
              <w:t>Toivonen</w:t>
            </w:r>
            <w:proofErr w:type="spellEnd"/>
            <w:r>
              <w:rPr>
                <w:sz w:val="18"/>
              </w:rPr>
              <w:t xml:space="preserve"> – Finland]</w:t>
            </w:r>
          </w:p>
          <w:p w:rsidR="00134439" w:rsidRDefault="00134439" w:rsidP="00E97A14">
            <w:pPr>
              <w:rPr>
                <w:sz w:val="18"/>
              </w:rPr>
            </w:pPr>
          </w:p>
          <w:p w:rsidR="00134439" w:rsidRDefault="00134439" w:rsidP="00E97A14">
            <w:pPr>
              <w:rPr>
                <w:sz w:val="18"/>
              </w:rPr>
            </w:pPr>
          </w:p>
          <w:p w:rsidR="00134439" w:rsidRPr="00F40121" w:rsidRDefault="00134439" w:rsidP="00134439">
            <w:pPr>
              <w:rPr>
                <w:sz w:val="18"/>
              </w:rPr>
            </w:pPr>
          </w:p>
        </w:tc>
        <w:tc>
          <w:tcPr>
            <w:tcW w:w="2626" w:type="dxa"/>
            <w:vMerge w:val="restart"/>
          </w:tcPr>
          <w:p w:rsidR="00134439" w:rsidRPr="00134439" w:rsidRDefault="00134439" w:rsidP="00E97A14">
            <w:pPr>
              <w:rPr>
                <w:b/>
                <w:sz w:val="18"/>
              </w:rPr>
            </w:pPr>
            <w:r w:rsidRPr="00134439">
              <w:rPr>
                <w:b/>
                <w:sz w:val="18"/>
              </w:rPr>
              <w:t>Proposal to have a CEPT coordination team to assist the CEPT coordinators</w:t>
            </w:r>
          </w:p>
          <w:p w:rsidR="00134439" w:rsidRDefault="00134439" w:rsidP="00E97A14">
            <w:pPr>
              <w:rPr>
                <w:sz w:val="18"/>
              </w:rPr>
            </w:pPr>
          </w:p>
          <w:p w:rsidR="00134439" w:rsidRDefault="00134439" w:rsidP="00E97A14">
            <w:pPr>
              <w:rPr>
                <w:sz w:val="18"/>
              </w:rPr>
            </w:pPr>
            <w:r>
              <w:rPr>
                <w:sz w:val="18"/>
              </w:rPr>
              <w:t>Nominations</w:t>
            </w:r>
          </w:p>
          <w:p w:rsidR="00134439" w:rsidRDefault="00134439" w:rsidP="00134439">
            <w:pPr>
              <w:rPr>
                <w:sz w:val="18"/>
              </w:rPr>
            </w:pPr>
          </w:p>
          <w:p w:rsidR="00134439" w:rsidRDefault="00134439" w:rsidP="00134439">
            <w:pPr>
              <w:rPr>
                <w:sz w:val="18"/>
              </w:rPr>
            </w:pPr>
            <w:r>
              <w:rPr>
                <w:sz w:val="18"/>
              </w:rPr>
              <w:t>[</w:t>
            </w:r>
            <w:r w:rsidR="00F20E1C">
              <w:rPr>
                <w:sz w:val="18"/>
              </w:rPr>
              <w:t xml:space="preserve">Mr </w:t>
            </w:r>
            <w:r w:rsidR="00F20E1C">
              <w:rPr>
                <w:i/>
                <w:sz w:val="18"/>
              </w:rPr>
              <w:t>Anders Jo</w:t>
            </w:r>
            <w:r w:rsidRPr="00134439">
              <w:rPr>
                <w:i/>
                <w:sz w:val="18"/>
              </w:rPr>
              <w:t>n</w:t>
            </w:r>
            <w:r w:rsidR="00F20E1C">
              <w:rPr>
                <w:i/>
                <w:sz w:val="18"/>
              </w:rPr>
              <w:t>s</w:t>
            </w:r>
            <w:r w:rsidRPr="00134439">
              <w:rPr>
                <w:i/>
                <w:sz w:val="18"/>
              </w:rPr>
              <w:t>son – Sweden</w:t>
            </w:r>
            <w:r>
              <w:rPr>
                <w:sz w:val="18"/>
              </w:rPr>
              <w:t>]</w:t>
            </w:r>
          </w:p>
          <w:p w:rsidR="00134439" w:rsidRDefault="00134439" w:rsidP="00E97A14">
            <w:pPr>
              <w:rPr>
                <w:sz w:val="18"/>
              </w:rPr>
            </w:pPr>
          </w:p>
          <w:p w:rsidR="00134439"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1.2</w:t>
            </w:r>
            <w:r w:rsidRPr="00462852">
              <w:rPr>
                <w:sz w:val="18"/>
              </w:rPr>
              <w:tab/>
              <w:t>to examine the results of ITU R studies, in accordance with Resolution COM5/10 (WRC 12), on the use of the frequency band 694-790 MHz by the mobile, except aeronautical mobile, service in Region 1 and take the appropriate measures;</w:t>
            </w:r>
          </w:p>
        </w:tc>
        <w:tc>
          <w:tcPr>
            <w:tcW w:w="3132" w:type="dxa"/>
          </w:tcPr>
          <w:p w:rsidR="00134439" w:rsidRDefault="00134439" w:rsidP="00E97A14">
            <w:pPr>
              <w:rPr>
                <w:sz w:val="18"/>
              </w:rPr>
            </w:pPr>
            <w:r>
              <w:rPr>
                <w:sz w:val="18"/>
              </w:rPr>
              <w:t>[Mr Steve Green – UK]</w:t>
            </w:r>
            <w:r>
              <w:rPr>
                <w:rStyle w:val="FootnoteReference"/>
                <w:sz w:val="18"/>
              </w:rPr>
              <w:footnoteReference w:id="2"/>
            </w:r>
          </w:p>
          <w:p w:rsidR="00134439" w:rsidRPr="00F40121" w:rsidRDefault="00134439" w:rsidP="00E97A14">
            <w:pPr>
              <w:rPr>
                <w:sz w:val="18"/>
              </w:rPr>
            </w:pPr>
          </w:p>
        </w:tc>
        <w:tc>
          <w:tcPr>
            <w:tcW w:w="2626" w:type="dxa"/>
            <w:vMerge/>
          </w:tcPr>
          <w:p w:rsidR="00134439"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1.3</w:t>
            </w:r>
            <w:r w:rsidRPr="00462852">
              <w:rPr>
                <w:sz w:val="18"/>
              </w:rPr>
              <w:tab/>
              <w:t>to review and revise Resolution 646 (</w:t>
            </w:r>
            <w:proofErr w:type="spellStart"/>
            <w:r w:rsidRPr="00462852">
              <w:rPr>
                <w:sz w:val="18"/>
              </w:rPr>
              <w:t>Rev.WRC</w:t>
            </w:r>
            <w:proofErr w:type="spellEnd"/>
            <w:r w:rsidRPr="00462852">
              <w:rPr>
                <w:sz w:val="18"/>
              </w:rPr>
              <w:t xml:space="preserve"> 12) for broadband public protection and disaster relief (PPDR), in accordance with Resolution COM6/11 (WRC 12);</w:t>
            </w:r>
          </w:p>
        </w:tc>
        <w:tc>
          <w:tcPr>
            <w:tcW w:w="3132" w:type="dxa"/>
          </w:tcPr>
          <w:p w:rsidR="00134439" w:rsidRPr="00462852" w:rsidRDefault="00134439" w:rsidP="00E97A14">
            <w:pPr>
              <w:rPr>
                <w:sz w:val="18"/>
              </w:rPr>
            </w:pPr>
            <w:r>
              <w:rPr>
                <w:sz w:val="18"/>
              </w:rPr>
              <w:t xml:space="preserve">[Mr </w:t>
            </w:r>
            <w:r w:rsidRPr="00D338A9">
              <w:rPr>
                <w:sz w:val="18"/>
              </w:rPr>
              <w:t xml:space="preserve">Peter </w:t>
            </w:r>
            <w:proofErr w:type="spellStart"/>
            <w:r w:rsidRPr="00D338A9">
              <w:rPr>
                <w:sz w:val="18"/>
              </w:rPr>
              <w:t>Buttenschön</w:t>
            </w:r>
            <w:proofErr w:type="spellEnd"/>
            <w:r>
              <w:rPr>
                <w:sz w:val="18"/>
              </w:rPr>
              <w:t xml:space="preserve"> – Germany]</w:t>
            </w:r>
          </w:p>
        </w:tc>
        <w:tc>
          <w:tcPr>
            <w:tcW w:w="2626" w:type="dxa"/>
          </w:tcPr>
          <w:p w:rsidR="00134439"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1.4</w:t>
            </w:r>
            <w:r w:rsidRPr="00462852">
              <w:rPr>
                <w:sz w:val="18"/>
              </w:rPr>
              <w:tab/>
              <w:t>to consider possible new allocation to the amateur service on a secondary basis within the band 5 250-5 450 kHz in accordance with Resolution COM6/12 (WRC 12);</w:t>
            </w:r>
          </w:p>
        </w:tc>
        <w:tc>
          <w:tcPr>
            <w:tcW w:w="3132" w:type="dxa"/>
          </w:tcPr>
          <w:p w:rsidR="00134439" w:rsidRPr="00462852" w:rsidRDefault="00134439" w:rsidP="00E97A14">
            <w:pPr>
              <w:rPr>
                <w:sz w:val="18"/>
              </w:rPr>
            </w:pPr>
            <w:r>
              <w:rPr>
                <w:sz w:val="18"/>
              </w:rPr>
              <w:t>[Mr</w:t>
            </w:r>
            <w:r w:rsidRPr="00E23A04">
              <w:rPr>
                <w:sz w:val="18"/>
              </w:rPr>
              <w:t xml:space="preserve"> Hans </w:t>
            </w:r>
            <w:proofErr w:type="spellStart"/>
            <w:r w:rsidRPr="00E23A04">
              <w:rPr>
                <w:sz w:val="18"/>
              </w:rPr>
              <w:t>Blondeel</w:t>
            </w:r>
            <w:proofErr w:type="spellEnd"/>
            <w:r w:rsidRPr="00E23A04">
              <w:rPr>
                <w:sz w:val="18"/>
              </w:rPr>
              <w:t xml:space="preserve"> Timmerman</w:t>
            </w:r>
            <w:r>
              <w:rPr>
                <w:sz w:val="18"/>
              </w:rPr>
              <w:t xml:space="preserve"> – Netherlands]</w:t>
            </w:r>
          </w:p>
        </w:tc>
        <w:tc>
          <w:tcPr>
            <w:tcW w:w="2626" w:type="dxa"/>
          </w:tcPr>
          <w:p w:rsidR="00134439"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1.5</w:t>
            </w:r>
            <w:r w:rsidRPr="00462852">
              <w:rPr>
                <w:sz w:val="18"/>
              </w:rPr>
              <w:tab/>
              <w:t>to consider the use of frequency bands allocated to the fixed-satellite service not subject to Appendices 30, 30A and 30B for the control and non-payload communications of unmanned aircraft systems (UAS) in non-segregated airspaces, in accordance with Resolution COM6/13 (WRC 12);</w:t>
            </w:r>
          </w:p>
        </w:tc>
        <w:tc>
          <w:tcPr>
            <w:tcW w:w="3132" w:type="dxa"/>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1.6</w:t>
            </w:r>
            <w:r w:rsidRPr="00462852">
              <w:rPr>
                <w:sz w:val="18"/>
              </w:rPr>
              <w:tab/>
              <w:t>to consider possible additional primary allocations:</w:t>
            </w:r>
          </w:p>
        </w:tc>
        <w:tc>
          <w:tcPr>
            <w:tcW w:w="3132" w:type="dxa"/>
            <w:vMerge w:val="restart"/>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1.6.1</w:t>
            </w:r>
            <w:r w:rsidRPr="00462852">
              <w:rPr>
                <w:sz w:val="18"/>
              </w:rPr>
              <w:tab/>
              <w:t>to the fixed-satellite service (Earth-to-space and space-to-Earth) of 250 MHz in the range between 10 GHz and 17 GHz in Region 1;</w:t>
            </w:r>
          </w:p>
        </w:tc>
        <w:tc>
          <w:tcPr>
            <w:tcW w:w="3132" w:type="dxa"/>
            <w:vMerge/>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1.6.2</w:t>
            </w:r>
            <w:r w:rsidRPr="00462852">
              <w:rPr>
                <w:sz w:val="18"/>
              </w:rPr>
              <w:tab/>
              <w:t>to the fixed-satellite service (Earth-to-space) of 250 MHz in Region 2 and 300 MHz in Region 3 within the range 13-17 GHz;</w:t>
            </w:r>
          </w:p>
        </w:tc>
        <w:tc>
          <w:tcPr>
            <w:tcW w:w="3132" w:type="dxa"/>
            <w:vMerge/>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and review the regulatory provisions on the current allocations to the fixed-satellite service within each range, taking into account the results of ITU R studies, in accordance with Resolutions COM6/4 (WRC 12) and COM6/5 (WRC 12), respectively;</w:t>
            </w:r>
          </w:p>
        </w:tc>
        <w:tc>
          <w:tcPr>
            <w:tcW w:w="3132" w:type="dxa"/>
            <w:vMerge/>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1.7</w:t>
            </w:r>
            <w:r w:rsidRPr="00462852">
              <w:rPr>
                <w:sz w:val="18"/>
              </w:rPr>
              <w:tab/>
              <w:t xml:space="preserve">to review the use of the band 5 091-5 150 MHz by the fixed-satellite service </w:t>
            </w:r>
            <w:r w:rsidRPr="00462852">
              <w:rPr>
                <w:sz w:val="18"/>
              </w:rPr>
              <w:lastRenderedPageBreak/>
              <w:t>(Earth-to-space) (limited to feeder links of the non-geostationary mobile-satellite systems in the mobile-satellite service) in accordance with Resolution 114 (</w:t>
            </w:r>
            <w:proofErr w:type="spellStart"/>
            <w:r w:rsidRPr="00462852">
              <w:rPr>
                <w:sz w:val="18"/>
              </w:rPr>
              <w:t>Rev.WRC</w:t>
            </w:r>
            <w:proofErr w:type="spellEnd"/>
            <w:r w:rsidRPr="00462852">
              <w:rPr>
                <w:sz w:val="18"/>
              </w:rPr>
              <w:t xml:space="preserve"> 12);</w:t>
            </w:r>
          </w:p>
        </w:tc>
        <w:tc>
          <w:tcPr>
            <w:tcW w:w="3132" w:type="dxa"/>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lastRenderedPageBreak/>
              <w:t>1.8</w:t>
            </w:r>
            <w:r w:rsidRPr="00462852">
              <w:rPr>
                <w:sz w:val="18"/>
              </w:rPr>
              <w:tab/>
              <w:t>to review the provisions relating to earth stations located on board vessels (ESVs), based on studies conducted in accordance with Resolution COM6/14 (WRC 12);</w:t>
            </w:r>
          </w:p>
        </w:tc>
        <w:tc>
          <w:tcPr>
            <w:tcW w:w="3132" w:type="dxa"/>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1.9</w:t>
            </w:r>
            <w:r w:rsidRPr="00462852">
              <w:rPr>
                <w:sz w:val="18"/>
              </w:rPr>
              <w:tab/>
              <w:t>to consider, in accordance with Resolution COM6/15 (WRC 12):</w:t>
            </w:r>
          </w:p>
        </w:tc>
        <w:tc>
          <w:tcPr>
            <w:tcW w:w="3132" w:type="dxa"/>
            <w:vMerge w:val="restart"/>
          </w:tcPr>
          <w:p w:rsidR="00134439" w:rsidRPr="00462852" w:rsidRDefault="00134439" w:rsidP="00E97A14">
            <w:pPr>
              <w:rPr>
                <w:sz w:val="18"/>
              </w:rPr>
            </w:pPr>
            <w:r>
              <w:rPr>
                <w:sz w:val="18"/>
              </w:rPr>
              <w:t xml:space="preserve">[Mr </w:t>
            </w:r>
            <w:r w:rsidRPr="00D338A9">
              <w:rPr>
                <w:sz w:val="18"/>
              </w:rPr>
              <w:t xml:space="preserve">Alexandre </w:t>
            </w:r>
            <w:proofErr w:type="spellStart"/>
            <w:r w:rsidRPr="00D338A9">
              <w:rPr>
                <w:sz w:val="18"/>
              </w:rPr>
              <w:t>Guérin</w:t>
            </w:r>
            <w:proofErr w:type="spellEnd"/>
            <w:r>
              <w:rPr>
                <w:sz w:val="18"/>
              </w:rPr>
              <w:t xml:space="preserve"> – France]</w:t>
            </w:r>
          </w:p>
        </w:tc>
        <w:tc>
          <w:tcPr>
            <w:tcW w:w="2626" w:type="dxa"/>
          </w:tcPr>
          <w:p w:rsidR="00134439"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1.9.1</w:t>
            </w:r>
            <w:r w:rsidRPr="00462852">
              <w:rPr>
                <w:sz w:val="18"/>
              </w:rPr>
              <w:tab/>
              <w:t>possible new allocations to the fixed-satellite service in the frequency bands 7 150-7 250 MHz (space-to-Earth) and 8 400-8 500 MHz (Earth-to-space), subject to appropriate sharing conditions;</w:t>
            </w:r>
          </w:p>
        </w:tc>
        <w:tc>
          <w:tcPr>
            <w:tcW w:w="3132" w:type="dxa"/>
            <w:vMerge/>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1.9.2</w:t>
            </w:r>
            <w:r w:rsidRPr="00462852">
              <w:rPr>
                <w:sz w:val="18"/>
              </w:rPr>
              <w:tab/>
              <w:t>the possibility of allocating the bands 7 375-7 750 MHz and 8 025-8 400 MHz to the maritime-mobile satellite service and additional regulatory measures, depending on the results of appropriate studies;</w:t>
            </w:r>
          </w:p>
        </w:tc>
        <w:tc>
          <w:tcPr>
            <w:tcW w:w="3132" w:type="dxa"/>
            <w:vMerge/>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1.10</w:t>
            </w:r>
            <w:r w:rsidRPr="00462852">
              <w:rPr>
                <w:sz w:val="18"/>
              </w:rPr>
              <w:tab/>
              <w:t>to consider spectrum requirements and possible additional spectrum allocations for the mobile-satellite service in the Earth-to-space and space-to-Earth directions, including the satellite component for broadband applications, including International Mobile Telecommunications (IMT), within the frequency range from 22 GHz to 26 GHz, in accordance with Resolution COM6/16 (WRC 12);</w:t>
            </w:r>
          </w:p>
        </w:tc>
        <w:tc>
          <w:tcPr>
            <w:tcW w:w="3132" w:type="dxa"/>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1.11</w:t>
            </w:r>
            <w:r w:rsidRPr="00462852">
              <w:rPr>
                <w:sz w:val="18"/>
              </w:rPr>
              <w:tab/>
              <w:t>to consider a primary allocation for the Earth exploration-satellite service (Earth-to-space) in the 7-8 GHz range, in accordance with Resolution COM6/17 (WRC 12);</w:t>
            </w:r>
          </w:p>
        </w:tc>
        <w:tc>
          <w:tcPr>
            <w:tcW w:w="3132" w:type="dxa"/>
          </w:tcPr>
          <w:p w:rsidR="00134439" w:rsidRPr="00462852" w:rsidRDefault="00134439" w:rsidP="00E97A14">
            <w:pPr>
              <w:rPr>
                <w:sz w:val="18"/>
              </w:rPr>
            </w:pPr>
            <w:r>
              <w:rPr>
                <w:sz w:val="18"/>
              </w:rPr>
              <w:t>[</w:t>
            </w:r>
            <w:proofErr w:type="spellStart"/>
            <w:r>
              <w:rPr>
                <w:sz w:val="18"/>
              </w:rPr>
              <w:t>Mrs.</w:t>
            </w:r>
            <w:proofErr w:type="spellEnd"/>
            <w:r>
              <w:rPr>
                <w:sz w:val="18"/>
              </w:rPr>
              <w:t xml:space="preserve"> Elena </w:t>
            </w:r>
            <w:proofErr w:type="spellStart"/>
            <w:r>
              <w:rPr>
                <w:sz w:val="18"/>
              </w:rPr>
              <w:t>Daganzo</w:t>
            </w:r>
            <w:proofErr w:type="spellEnd"/>
            <w:r>
              <w:rPr>
                <w:sz w:val="18"/>
              </w:rPr>
              <w:t>–</w:t>
            </w:r>
            <w:proofErr w:type="spellStart"/>
            <w:r w:rsidRPr="00E23A04">
              <w:rPr>
                <w:sz w:val="18"/>
              </w:rPr>
              <w:t>Eusebio</w:t>
            </w:r>
            <w:proofErr w:type="spellEnd"/>
            <w:r>
              <w:rPr>
                <w:sz w:val="18"/>
              </w:rPr>
              <w:t xml:space="preserve">  -  Netherlands]</w:t>
            </w:r>
          </w:p>
        </w:tc>
        <w:tc>
          <w:tcPr>
            <w:tcW w:w="2626" w:type="dxa"/>
          </w:tcPr>
          <w:p w:rsidR="00134439"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1.12</w:t>
            </w:r>
            <w:r w:rsidRPr="00462852">
              <w:rPr>
                <w:sz w:val="18"/>
              </w:rPr>
              <w:tab/>
              <w:t>to consider an extension of the current worldwide allocation to the Earth exploration-satellite (active) service in the frequency band 9 300-9 900 MHz by up to 600 MHz within the frequency bands 8 700-9 300 MHz and/or 9 900-10 500 MHz, in accordance with Resolution COM6/18 (WRC 12);</w:t>
            </w:r>
          </w:p>
        </w:tc>
        <w:tc>
          <w:tcPr>
            <w:tcW w:w="3132" w:type="dxa"/>
          </w:tcPr>
          <w:p w:rsidR="00134439" w:rsidRPr="00462852" w:rsidRDefault="00134439" w:rsidP="00E97A14">
            <w:pPr>
              <w:rPr>
                <w:sz w:val="18"/>
              </w:rPr>
            </w:pPr>
            <w:r>
              <w:rPr>
                <w:sz w:val="18"/>
              </w:rPr>
              <w:t xml:space="preserve">[Mr </w:t>
            </w:r>
            <w:proofErr w:type="spellStart"/>
            <w:r>
              <w:rPr>
                <w:sz w:val="18"/>
              </w:rPr>
              <w:t>Hanspeter</w:t>
            </w:r>
            <w:proofErr w:type="spellEnd"/>
            <w:r>
              <w:rPr>
                <w:sz w:val="18"/>
              </w:rPr>
              <w:t xml:space="preserve"> </w:t>
            </w:r>
            <w:proofErr w:type="spellStart"/>
            <w:r>
              <w:rPr>
                <w:sz w:val="18"/>
              </w:rPr>
              <w:t>Kuhlen</w:t>
            </w:r>
            <w:proofErr w:type="spellEnd"/>
            <w:r>
              <w:rPr>
                <w:sz w:val="18"/>
              </w:rPr>
              <w:t xml:space="preserve"> – Germany]</w:t>
            </w:r>
          </w:p>
        </w:tc>
        <w:tc>
          <w:tcPr>
            <w:tcW w:w="2626" w:type="dxa"/>
          </w:tcPr>
          <w:p w:rsidR="00134439"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1.13</w:t>
            </w:r>
            <w:r w:rsidRPr="00462852">
              <w:rPr>
                <w:sz w:val="18"/>
              </w:rPr>
              <w:tab/>
              <w:t>to review No. 5.268 with a view to examining the possibility for increasing the 5 km distance limitation and allowing space research service (space-to-space) use for proximity operations by space vehicles communicating with an orbiting manned space vehicle, in accordance with Resolution COM6/19 (WRC 12);</w:t>
            </w:r>
          </w:p>
        </w:tc>
        <w:tc>
          <w:tcPr>
            <w:tcW w:w="3132" w:type="dxa"/>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1.14</w:t>
            </w:r>
            <w:r w:rsidRPr="00462852">
              <w:rPr>
                <w:sz w:val="18"/>
              </w:rPr>
              <w:tab/>
              <w:t>to consider the feasibility of achieving a continuous reference time-scale, whether by the modification of coordinated universal time (UTC) or some other method, and take appropriate action, in accordance with Resolution COM6/20 (WRC 12);</w:t>
            </w:r>
          </w:p>
        </w:tc>
        <w:tc>
          <w:tcPr>
            <w:tcW w:w="3132" w:type="dxa"/>
          </w:tcPr>
          <w:p w:rsidR="00134439" w:rsidRPr="00462852" w:rsidRDefault="00134439" w:rsidP="00E97A14">
            <w:pPr>
              <w:rPr>
                <w:sz w:val="18"/>
              </w:rPr>
            </w:pPr>
            <w:r>
              <w:rPr>
                <w:sz w:val="18"/>
              </w:rPr>
              <w:t>[Mr Bharat Dudhia – UK]</w:t>
            </w:r>
          </w:p>
        </w:tc>
        <w:tc>
          <w:tcPr>
            <w:tcW w:w="2626" w:type="dxa"/>
          </w:tcPr>
          <w:p w:rsidR="00134439"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1.15</w:t>
            </w:r>
            <w:r w:rsidRPr="00462852">
              <w:rPr>
                <w:sz w:val="18"/>
              </w:rPr>
              <w:tab/>
              <w:t xml:space="preserve">to consider spectrum demands for </w:t>
            </w:r>
            <w:r w:rsidRPr="00462852">
              <w:rPr>
                <w:sz w:val="18"/>
              </w:rPr>
              <w:lastRenderedPageBreak/>
              <w:t>on-board communication stations in the maritime mobile service in accordance with Resolution COM6/3(WRC 12);</w:t>
            </w:r>
          </w:p>
        </w:tc>
        <w:tc>
          <w:tcPr>
            <w:tcW w:w="3132" w:type="dxa"/>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lastRenderedPageBreak/>
              <w:t>1.16</w:t>
            </w:r>
            <w:r w:rsidRPr="00462852">
              <w:rPr>
                <w:sz w:val="18"/>
              </w:rPr>
              <w:tab/>
              <w:t>to consider regulatory provisions and spectrum allocations to enable possible new Automatic Identification System (AIS) technology applications and possible new applications to improve maritime radiocommunication in accordance with Resolution COM6/21 (WRC 12);</w:t>
            </w:r>
          </w:p>
        </w:tc>
        <w:tc>
          <w:tcPr>
            <w:tcW w:w="3132" w:type="dxa"/>
          </w:tcPr>
          <w:p w:rsidR="00134439" w:rsidRDefault="00134439" w:rsidP="00E97A14">
            <w:pPr>
              <w:rPr>
                <w:sz w:val="18"/>
              </w:rPr>
            </w:pPr>
            <w:r>
              <w:rPr>
                <w:sz w:val="18"/>
              </w:rPr>
              <w:t xml:space="preserve">[Mr </w:t>
            </w:r>
            <w:r w:rsidRPr="00D338A9">
              <w:rPr>
                <w:sz w:val="18"/>
              </w:rPr>
              <w:t xml:space="preserve">Hans-Karl von </w:t>
            </w:r>
            <w:proofErr w:type="spellStart"/>
            <w:r w:rsidRPr="00D338A9">
              <w:rPr>
                <w:sz w:val="18"/>
              </w:rPr>
              <w:t>Arnim</w:t>
            </w:r>
            <w:proofErr w:type="spellEnd"/>
            <w:r>
              <w:rPr>
                <w:sz w:val="18"/>
              </w:rPr>
              <w:t xml:space="preserve"> – Germany]</w:t>
            </w:r>
          </w:p>
          <w:p w:rsidR="00134439" w:rsidRPr="00462852" w:rsidRDefault="00134439" w:rsidP="00E97A14">
            <w:pPr>
              <w:rPr>
                <w:sz w:val="18"/>
              </w:rPr>
            </w:pPr>
            <w:r>
              <w:rPr>
                <w:sz w:val="18"/>
              </w:rPr>
              <w:t xml:space="preserve">[Mr Christian </w:t>
            </w:r>
            <w:proofErr w:type="spellStart"/>
            <w:r>
              <w:rPr>
                <w:sz w:val="18"/>
              </w:rPr>
              <w:t>Rissone</w:t>
            </w:r>
            <w:proofErr w:type="spellEnd"/>
            <w:r>
              <w:rPr>
                <w:sz w:val="18"/>
              </w:rPr>
              <w:t xml:space="preserve"> – France]</w:t>
            </w:r>
          </w:p>
        </w:tc>
        <w:tc>
          <w:tcPr>
            <w:tcW w:w="2626" w:type="dxa"/>
          </w:tcPr>
          <w:p w:rsidR="00134439"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1.17</w:t>
            </w:r>
            <w:r w:rsidRPr="00462852">
              <w:rPr>
                <w:sz w:val="18"/>
              </w:rPr>
              <w:tab/>
              <w:t>to consider possible spectrum requirements and regulatory actions, including appropriate aeronautical allocations, to support wireless avionics intra-communications (WAIC), in accordance with Resolution COM6/22 (WRC 12);</w:t>
            </w:r>
          </w:p>
        </w:tc>
        <w:tc>
          <w:tcPr>
            <w:tcW w:w="3132" w:type="dxa"/>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1.18</w:t>
            </w:r>
            <w:r w:rsidRPr="00462852">
              <w:rPr>
                <w:sz w:val="18"/>
              </w:rPr>
              <w:tab/>
              <w:t>to consider a primary allocation to the radiolocation service for automotive applications in the 77.5-78.0 GHz frequency band in accordance with Resolution COM6/23 (WRC 12);</w:t>
            </w:r>
          </w:p>
        </w:tc>
        <w:tc>
          <w:tcPr>
            <w:tcW w:w="3132" w:type="dxa"/>
          </w:tcPr>
          <w:p w:rsidR="00134439" w:rsidRPr="00462852" w:rsidRDefault="00134439" w:rsidP="00E97A14">
            <w:pPr>
              <w:rPr>
                <w:sz w:val="18"/>
              </w:rPr>
            </w:pPr>
            <w:r>
              <w:rPr>
                <w:sz w:val="18"/>
              </w:rPr>
              <w:t xml:space="preserve">[Mr </w:t>
            </w:r>
            <w:proofErr w:type="spellStart"/>
            <w:r w:rsidRPr="00D338A9">
              <w:rPr>
                <w:sz w:val="18"/>
              </w:rPr>
              <w:t>Hartmut</w:t>
            </w:r>
            <w:proofErr w:type="spellEnd"/>
            <w:r w:rsidRPr="00D338A9">
              <w:rPr>
                <w:sz w:val="18"/>
              </w:rPr>
              <w:t xml:space="preserve"> </w:t>
            </w:r>
            <w:proofErr w:type="spellStart"/>
            <w:r w:rsidRPr="00D338A9">
              <w:rPr>
                <w:sz w:val="18"/>
              </w:rPr>
              <w:t>Dunger</w:t>
            </w:r>
            <w:proofErr w:type="spellEnd"/>
            <w:r>
              <w:rPr>
                <w:sz w:val="18"/>
              </w:rPr>
              <w:t xml:space="preserve"> – Germany]</w:t>
            </w:r>
          </w:p>
        </w:tc>
        <w:tc>
          <w:tcPr>
            <w:tcW w:w="2626" w:type="dxa"/>
          </w:tcPr>
          <w:p w:rsidR="00134439"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2</w:t>
            </w:r>
            <w:r w:rsidRPr="00462852">
              <w:rPr>
                <w:sz w:val="18"/>
              </w:rPr>
              <w:tab/>
              <w:t>to examine the revised ITU R Recommendations incorporated by reference in the Radio Regulations communicated by the Radiocommunication Assembly, in accordance with Resolution 28 (</w:t>
            </w:r>
            <w:proofErr w:type="spellStart"/>
            <w:r w:rsidRPr="00462852">
              <w:rPr>
                <w:sz w:val="18"/>
              </w:rPr>
              <w:t>Rev.WRC</w:t>
            </w:r>
            <w:proofErr w:type="spellEnd"/>
            <w:r w:rsidRPr="00462852">
              <w:rPr>
                <w:sz w:val="18"/>
              </w:rPr>
              <w:t xml:space="preserve"> 03), and to decide whether or not to update the corresponding references in the Radio Regulations, in accordance with the principles contained in Annex 1 to Resolution 27 (</w:t>
            </w:r>
            <w:proofErr w:type="spellStart"/>
            <w:r w:rsidRPr="00462852">
              <w:rPr>
                <w:sz w:val="18"/>
              </w:rPr>
              <w:t>Rev.WRC</w:t>
            </w:r>
            <w:proofErr w:type="spellEnd"/>
            <w:r w:rsidRPr="00462852">
              <w:rPr>
                <w:sz w:val="18"/>
              </w:rPr>
              <w:t xml:space="preserve"> 12);</w:t>
            </w:r>
          </w:p>
        </w:tc>
        <w:tc>
          <w:tcPr>
            <w:tcW w:w="3132" w:type="dxa"/>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4</w:t>
            </w:r>
            <w:r w:rsidRPr="00462852">
              <w:rPr>
                <w:sz w:val="18"/>
              </w:rPr>
              <w:tab/>
              <w:t>in accordance with Resolution 95 (</w:t>
            </w:r>
            <w:proofErr w:type="spellStart"/>
            <w:r w:rsidRPr="00462852">
              <w:rPr>
                <w:sz w:val="18"/>
              </w:rPr>
              <w:t>Rev.WRC</w:t>
            </w:r>
            <w:proofErr w:type="spellEnd"/>
            <w:r w:rsidRPr="00462852">
              <w:rPr>
                <w:sz w:val="18"/>
              </w:rPr>
              <w:t xml:space="preserve"> 07), to review the resolutions and recommendations of previous conferences with a view to their possible revision, replacement or abrogation;</w:t>
            </w:r>
          </w:p>
        </w:tc>
        <w:tc>
          <w:tcPr>
            <w:tcW w:w="3132" w:type="dxa"/>
          </w:tcPr>
          <w:p w:rsidR="00134439" w:rsidRPr="00462852" w:rsidRDefault="00134439" w:rsidP="00E97A14">
            <w:pPr>
              <w:rPr>
                <w:sz w:val="18"/>
              </w:rPr>
            </w:pPr>
          </w:p>
        </w:tc>
        <w:tc>
          <w:tcPr>
            <w:tcW w:w="2626" w:type="dxa"/>
          </w:tcPr>
          <w:p w:rsidR="00134439" w:rsidRPr="00462852"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7</w:t>
            </w:r>
            <w:r w:rsidRPr="00462852">
              <w:rPr>
                <w:sz w:val="18"/>
              </w:rPr>
              <w:tab/>
              <w:t>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86 (</w:t>
            </w:r>
            <w:proofErr w:type="spellStart"/>
            <w:r w:rsidRPr="00462852">
              <w:rPr>
                <w:sz w:val="18"/>
              </w:rPr>
              <w:t>Rev.WRC</w:t>
            </w:r>
            <w:proofErr w:type="spellEnd"/>
            <w:r w:rsidRPr="00462852">
              <w:rPr>
                <w:sz w:val="18"/>
              </w:rPr>
              <w:t xml:space="preserve"> 07) to facilitate rational, efficient, and economical use of radio frequencies and any associated orbits, including the geostationary satellite orbit;</w:t>
            </w:r>
          </w:p>
        </w:tc>
        <w:tc>
          <w:tcPr>
            <w:tcW w:w="3132" w:type="dxa"/>
          </w:tcPr>
          <w:p w:rsidR="00134439" w:rsidRPr="00462852" w:rsidRDefault="00134439" w:rsidP="00E97A14">
            <w:pPr>
              <w:rPr>
                <w:sz w:val="18"/>
              </w:rPr>
            </w:pPr>
            <w:r>
              <w:rPr>
                <w:sz w:val="18"/>
              </w:rPr>
              <w:t>[Mr Steve Limb – UK]</w:t>
            </w:r>
          </w:p>
        </w:tc>
        <w:tc>
          <w:tcPr>
            <w:tcW w:w="2626" w:type="dxa"/>
          </w:tcPr>
          <w:p w:rsidR="00134439"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8</w:t>
            </w:r>
            <w:r w:rsidRPr="00462852">
              <w:rPr>
                <w:sz w:val="18"/>
              </w:rPr>
              <w:tab/>
              <w:t>to consider and take appropriate action on requests from administrations to delete their country footnotes or to have their country name deleted from footnotes, if no longer required, taking into account Resolution 26 (</w:t>
            </w:r>
            <w:proofErr w:type="spellStart"/>
            <w:r w:rsidRPr="00462852">
              <w:rPr>
                <w:sz w:val="18"/>
              </w:rPr>
              <w:t>Rev.WRC</w:t>
            </w:r>
            <w:proofErr w:type="spellEnd"/>
            <w:r w:rsidRPr="00462852">
              <w:rPr>
                <w:sz w:val="18"/>
              </w:rPr>
              <w:t xml:space="preserve"> 07);</w:t>
            </w:r>
          </w:p>
        </w:tc>
        <w:tc>
          <w:tcPr>
            <w:tcW w:w="3132" w:type="dxa"/>
          </w:tcPr>
          <w:p w:rsidR="00134439" w:rsidRPr="00462852" w:rsidRDefault="00134439" w:rsidP="00E97A14">
            <w:pPr>
              <w:rPr>
                <w:sz w:val="18"/>
              </w:rPr>
            </w:pPr>
            <w:r>
              <w:rPr>
                <w:sz w:val="18"/>
              </w:rPr>
              <w:t xml:space="preserve">[Mr </w:t>
            </w:r>
            <w:proofErr w:type="spellStart"/>
            <w:r w:rsidRPr="00D338A9">
              <w:rPr>
                <w:sz w:val="18"/>
              </w:rPr>
              <w:t>Dmytro</w:t>
            </w:r>
            <w:proofErr w:type="spellEnd"/>
            <w:r w:rsidRPr="00D338A9">
              <w:rPr>
                <w:sz w:val="18"/>
              </w:rPr>
              <w:t xml:space="preserve"> </w:t>
            </w:r>
            <w:proofErr w:type="spellStart"/>
            <w:r w:rsidRPr="00D338A9">
              <w:rPr>
                <w:sz w:val="18"/>
              </w:rPr>
              <w:t>Protsenko</w:t>
            </w:r>
            <w:proofErr w:type="spellEnd"/>
            <w:r>
              <w:rPr>
                <w:sz w:val="18"/>
              </w:rPr>
              <w:t xml:space="preserve"> – Ukraine]</w:t>
            </w:r>
          </w:p>
        </w:tc>
        <w:tc>
          <w:tcPr>
            <w:tcW w:w="2626" w:type="dxa"/>
          </w:tcPr>
          <w:p w:rsidR="00134439" w:rsidRDefault="00134439" w:rsidP="00E97A14">
            <w:pPr>
              <w:rPr>
                <w:sz w:val="18"/>
              </w:rPr>
            </w:pPr>
          </w:p>
        </w:tc>
      </w:tr>
      <w:tr w:rsidR="00134439" w:rsidRPr="00462852" w:rsidTr="00134439">
        <w:tc>
          <w:tcPr>
            <w:tcW w:w="3484" w:type="dxa"/>
          </w:tcPr>
          <w:p w:rsidR="00134439" w:rsidRPr="00462852" w:rsidRDefault="00134439" w:rsidP="00E97A14">
            <w:pPr>
              <w:rPr>
                <w:sz w:val="18"/>
              </w:rPr>
            </w:pPr>
            <w:r w:rsidRPr="00462852">
              <w:rPr>
                <w:sz w:val="18"/>
              </w:rPr>
              <w:t>9</w:t>
            </w:r>
            <w:r w:rsidRPr="00462852">
              <w:rPr>
                <w:sz w:val="18"/>
              </w:rPr>
              <w:tab/>
              <w:t>to consider and approve the Report of the Director of the Radiocommunication Bureau, in accordance with Article 7 of the Convention</w:t>
            </w:r>
          </w:p>
        </w:tc>
        <w:tc>
          <w:tcPr>
            <w:tcW w:w="3132" w:type="dxa"/>
          </w:tcPr>
          <w:p w:rsidR="00134439" w:rsidRPr="00462852" w:rsidRDefault="00134439" w:rsidP="00E97A14">
            <w:pPr>
              <w:rPr>
                <w:sz w:val="18"/>
              </w:rPr>
            </w:pPr>
          </w:p>
        </w:tc>
        <w:tc>
          <w:tcPr>
            <w:tcW w:w="2626" w:type="dxa"/>
          </w:tcPr>
          <w:p w:rsidR="00134439" w:rsidRPr="00462852" w:rsidRDefault="00134439" w:rsidP="00E97A14">
            <w:pPr>
              <w:rPr>
                <w:sz w:val="18"/>
              </w:rPr>
            </w:pPr>
          </w:p>
        </w:tc>
      </w:tr>
    </w:tbl>
    <w:p w:rsidR="00E51DC6" w:rsidRDefault="00E51DC6"/>
    <w:p w:rsidR="00462852" w:rsidRDefault="00462852" w:rsidP="00462852"/>
    <w:p w:rsidR="00462852" w:rsidRDefault="00462852">
      <w:r>
        <w:lastRenderedPageBreak/>
        <w:br w:type="page"/>
      </w:r>
    </w:p>
    <w:p w:rsidR="00462852" w:rsidRPr="00853AA3" w:rsidRDefault="006E28CF" w:rsidP="006E28CF">
      <w:pPr>
        <w:jc w:val="right"/>
        <w:rPr>
          <w:b/>
        </w:rPr>
      </w:pPr>
      <w:r w:rsidRPr="00853AA3">
        <w:rPr>
          <w:b/>
        </w:rPr>
        <w:lastRenderedPageBreak/>
        <w:t>Annex 3</w:t>
      </w:r>
      <w:r w:rsidR="003A1E97" w:rsidRPr="00853AA3">
        <w:rPr>
          <w:b/>
        </w:rPr>
        <w:t>- Future meeting plan</w:t>
      </w:r>
    </w:p>
    <w:p w:rsidR="006E28CF" w:rsidRDefault="006E28CF" w:rsidP="00462852"/>
    <w:tbl>
      <w:tblPr>
        <w:tblStyle w:val="TableGrid"/>
        <w:tblW w:w="0" w:type="auto"/>
        <w:tblLook w:val="04A0" w:firstRow="1" w:lastRow="0" w:firstColumn="1" w:lastColumn="0" w:noHBand="0" w:noVBand="1"/>
      </w:tblPr>
      <w:tblGrid>
        <w:gridCol w:w="4621"/>
        <w:gridCol w:w="4621"/>
      </w:tblGrid>
      <w:tr w:rsidR="003A1E97" w:rsidRPr="00853AA3" w:rsidTr="003A1E97">
        <w:tc>
          <w:tcPr>
            <w:tcW w:w="4621" w:type="dxa"/>
          </w:tcPr>
          <w:p w:rsidR="003A1E97" w:rsidRPr="00853AA3" w:rsidRDefault="003A1E97" w:rsidP="00462852">
            <w:pPr>
              <w:rPr>
                <w:b/>
              </w:rPr>
            </w:pPr>
            <w:r w:rsidRPr="00853AA3">
              <w:rPr>
                <w:b/>
              </w:rPr>
              <w:t>Date</w:t>
            </w:r>
          </w:p>
        </w:tc>
        <w:tc>
          <w:tcPr>
            <w:tcW w:w="4621" w:type="dxa"/>
          </w:tcPr>
          <w:p w:rsidR="003A1E97" w:rsidRPr="00853AA3" w:rsidRDefault="003A1E97" w:rsidP="00462852">
            <w:pPr>
              <w:rPr>
                <w:b/>
              </w:rPr>
            </w:pPr>
            <w:r w:rsidRPr="00853AA3">
              <w:rPr>
                <w:b/>
              </w:rPr>
              <w:t>Location</w:t>
            </w:r>
          </w:p>
        </w:tc>
      </w:tr>
      <w:tr w:rsidR="003A1E97" w:rsidTr="003A1E97">
        <w:tc>
          <w:tcPr>
            <w:tcW w:w="4621" w:type="dxa"/>
          </w:tcPr>
          <w:p w:rsidR="003A1E97" w:rsidRDefault="003A1E97" w:rsidP="00462852">
            <w:r>
              <w:t>2</w:t>
            </w:r>
            <w:r w:rsidRPr="003A1E97">
              <w:rPr>
                <w:vertAlign w:val="superscript"/>
              </w:rPr>
              <w:t>nd</w:t>
            </w:r>
            <w:r>
              <w:t xml:space="preserve"> CPG  - Jan/Feb 2013</w:t>
            </w:r>
          </w:p>
        </w:tc>
        <w:tc>
          <w:tcPr>
            <w:tcW w:w="4621" w:type="dxa"/>
          </w:tcPr>
          <w:p w:rsidR="003A1E97" w:rsidRDefault="009076DF" w:rsidP="00462852">
            <w:r>
              <w:t>France</w:t>
            </w:r>
          </w:p>
        </w:tc>
      </w:tr>
      <w:tr w:rsidR="003A1E97" w:rsidTr="003A1E97">
        <w:tc>
          <w:tcPr>
            <w:tcW w:w="4621" w:type="dxa"/>
          </w:tcPr>
          <w:p w:rsidR="003A1E97" w:rsidRDefault="003A1E97" w:rsidP="00462852">
            <w:r>
              <w:t>3</w:t>
            </w:r>
            <w:r w:rsidRPr="003A1E97">
              <w:rPr>
                <w:vertAlign w:val="superscript"/>
              </w:rPr>
              <w:t>rd</w:t>
            </w:r>
            <w:r>
              <w:t xml:space="preserve"> CPG – Sept 2013</w:t>
            </w:r>
          </w:p>
        </w:tc>
        <w:tc>
          <w:tcPr>
            <w:tcW w:w="4621" w:type="dxa"/>
          </w:tcPr>
          <w:p w:rsidR="003A1E97" w:rsidRDefault="00EB417A" w:rsidP="00462852">
            <w:r>
              <w:t>Croatia</w:t>
            </w:r>
          </w:p>
        </w:tc>
      </w:tr>
      <w:tr w:rsidR="003A1E97" w:rsidTr="003A1E97">
        <w:tc>
          <w:tcPr>
            <w:tcW w:w="4621" w:type="dxa"/>
          </w:tcPr>
          <w:p w:rsidR="003A1E97" w:rsidRDefault="003A1E97" w:rsidP="00462852">
            <w:r>
              <w:t>4</w:t>
            </w:r>
            <w:r w:rsidRPr="003A1E97">
              <w:rPr>
                <w:vertAlign w:val="superscript"/>
              </w:rPr>
              <w:t>th</w:t>
            </w:r>
            <w:r>
              <w:t xml:space="preserve"> CPG – Jan 2014</w:t>
            </w:r>
          </w:p>
        </w:tc>
        <w:tc>
          <w:tcPr>
            <w:tcW w:w="4621" w:type="dxa"/>
          </w:tcPr>
          <w:p w:rsidR="003A1E97" w:rsidRDefault="003A1E97" w:rsidP="00462852"/>
        </w:tc>
      </w:tr>
      <w:tr w:rsidR="003A1E97" w:rsidTr="003A1E97">
        <w:tc>
          <w:tcPr>
            <w:tcW w:w="4621" w:type="dxa"/>
          </w:tcPr>
          <w:p w:rsidR="003A1E97" w:rsidRDefault="003A1E97" w:rsidP="00462852">
            <w:r>
              <w:t>5</w:t>
            </w:r>
            <w:r w:rsidRPr="003A1E97">
              <w:rPr>
                <w:vertAlign w:val="superscript"/>
              </w:rPr>
              <w:t>th</w:t>
            </w:r>
            <w:r>
              <w:t xml:space="preserve"> CPG – May 2014</w:t>
            </w:r>
          </w:p>
        </w:tc>
        <w:tc>
          <w:tcPr>
            <w:tcW w:w="4621" w:type="dxa"/>
          </w:tcPr>
          <w:p w:rsidR="003A1E97" w:rsidRDefault="00C759A0" w:rsidP="00462852">
            <w:r>
              <w:t>Latvia</w:t>
            </w:r>
          </w:p>
        </w:tc>
      </w:tr>
      <w:tr w:rsidR="003A1E97" w:rsidTr="003A1E97">
        <w:tc>
          <w:tcPr>
            <w:tcW w:w="4621" w:type="dxa"/>
          </w:tcPr>
          <w:p w:rsidR="003A1E97" w:rsidRDefault="003A1E97" w:rsidP="00462852">
            <w:r>
              <w:t>6</w:t>
            </w:r>
            <w:r w:rsidRPr="003A1E97">
              <w:rPr>
                <w:vertAlign w:val="superscript"/>
              </w:rPr>
              <w:t>th</w:t>
            </w:r>
            <w:r>
              <w:t xml:space="preserve"> CPG – Dec 2014/Jan 2015</w:t>
            </w:r>
          </w:p>
        </w:tc>
        <w:tc>
          <w:tcPr>
            <w:tcW w:w="4621" w:type="dxa"/>
          </w:tcPr>
          <w:p w:rsidR="003A1E97" w:rsidRDefault="003A1E97" w:rsidP="00462852"/>
        </w:tc>
      </w:tr>
      <w:tr w:rsidR="003A1E97" w:rsidTr="003A1E97">
        <w:tc>
          <w:tcPr>
            <w:tcW w:w="4621" w:type="dxa"/>
          </w:tcPr>
          <w:p w:rsidR="003A1E97" w:rsidRDefault="003A1E97" w:rsidP="00462852">
            <w:r>
              <w:t>7</w:t>
            </w:r>
            <w:r w:rsidRPr="003A1E97">
              <w:rPr>
                <w:vertAlign w:val="superscript"/>
              </w:rPr>
              <w:t>th</w:t>
            </w:r>
            <w:r>
              <w:t xml:space="preserve"> CPG – March 2015</w:t>
            </w:r>
          </w:p>
        </w:tc>
        <w:tc>
          <w:tcPr>
            <w:tcW w:w="4621" w:type="dxa"/>
          </w:tcPr>
          <w:p w:rsidR="003A1E97" w:rsidRDefault="003A1E97" w:rsidP="00462852"/>
        </w:tc>
      </w:tr>
      <w:tr w:rsidR="003A1E97" w:rsidTr="003A1E97">
        <w:tc>
          <w:tcPr>
            <w:tcW w:w="4621" w:type="dxa"/>
          </w:tcPr>
          <w:p w:rsidR="003A1E97" w:rsidRDefault="003A1E97" w:rsidP="00462852">
            <w:r>
              <w:t>8</w:t>
            </w:r>
            <w:r w:rsidRPr="003A1E97">
              <w:rPr>
                <w:vertAlign w:val="superscript"/>
              </w:rPr>
              <w:t>th</w:t>
            </w:r>
            <w:r>
              <w:t xml:space="preserve"> CPG – Aug/Sept 2015</w:t>
            </w:r>
          </w:p>
        </w:tc>
        <w:tc>
          <w:tcPr>
            <w:tcW w:w="4621" w:type="dxa"/>
          </w:tcPr>
          <w:p w:rsidR="003A1E97" w:rsidRDefault="003A1E97" w:rsidP="00EB417A"/>
        </w:tc>
      </w:tr>
    </w:tbl>
    <w:p w:rsidR="006E28CF" w:rsidRDefault="006E28CF" w:rsidP="00462852"/>
    <w:p w:rsidR="00853AA3" w:rsidRDefault="00853AA3" w:rsidP="00462852">
      <w:r>
        <w:t>If there are any Administrations interested in hosting a CPG meeting, please let the CPG Vice Chairmen and Secretary know.</w:t>
      </w:r>
    </w:p>
    <w:sectPr w:rsidR="00853AA3" w:rsidSect="00212C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058" w:rsidRDefault="004B6058" w:rsidP="00C759A0">
      <w:pPr>
        <w:spacing w:after="0" w:line="240" w:lineRule="auto"/>
      </w:pPr>
      <w:r>
        <w:separator/>
      </w:r>
    </w:p>
  </w:endnote>
  <w:endnote w:type="continuationSeparator" w:id="0">
    <w:p w:rsidR="004B6058" w:rsidRDefault="004B6058" w:rsidP="00C7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058" w:rsidRDefault="004B6058" w:rsidP="00C759A0">
      <w:pPr>
        <w:spacing w:after="0" w:line="240" w:lineRule="auto"/>
      </w:pPr>
      <w:r>
        <w:separator/>
      </w:r>
    </w:p>
  </w:footnote>
  <w:footnote w:type="continuationSeparator" w:id="0">
    <w:p w:rsidR="004B6058" w:rsidRDefault="004B6058" w:rsidP="00C759A0">
      <w:pPr>
        <w:spacing w:after="0" w:line="240" w:lineRule="auto"/>
      </w:pPr>
      <w:r>
        <w:continuationSeparator/>
      </w:r>
    </w:p>
  </w:footnote>
  <w:footnote w:id="1">
    <w:p w:rsidR="00134439" w:rsidRDefault="00134439" w:rsidP="00C759A0">
      <w:pPr>
        <w:pStyle w:val="FootnoteText"/>
      </w:pPr>
      <w:r>
        <w:rPr>
          <w:rStyle w:val="FootnoteReference"/>
        </w:rPr>
        <w:footnoteRef/>
      </w:r>
      <w:r>
        <w:t xml:space="preserve"> Germany have proposed a CEPT coordination team for these agenda items, comprising of 3-4 administrations.</w:t>
      </w:r>
    </w:p>
  </w:footnote>
  <w:footnote w:id="2">
    <w:p w:rsidR="00134439" w:rsidRDefault="00134439" w:rsidP="00C759A0">
      <w:pPr>
        <w:pStyle w:val="FootnoteText"/>
      </w:pPr>
      <w:r>
        <w:rPr>
          <w:rStyle w:val="FootnoteReference"/>
        </w:rPr>
        <w:footnoteRef/>
      </w:r>
      <w:r>
        <w:t xml:space="preserve"> See Footnote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86D17"/>
    <w:multiLevelType w:val="hybridMultilevel"/>
    <w:tmpl w:val="81AAC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A04410"/>
    <w:multiLevelType w:val="hybridMultilevel"/>
    <w:tmpl w:val="27FEBC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C92"/>
    <w:rsid w:val="00134439"/>
    <w:rsid w:val="00212C75"/>
    <w:rsid w:val="00220E71"/>
    <w:rsid w:val="00240AF5"/>
    <w:rsid w:val="003A1E97"/>
    <w:rsid w:val="00462852"/>
    <w:rsid w:val="004B6058"/>
    <w:rsid w:val="006E28CF"/>
    <w:rsid w:val="007157ED"/>
    <w:rsid w:val="007376A7"/>
    <w:rsid w:val="007E11BC"/>
    <w:rsid w:val="0084533A"/>
    <w:rsid w:val="00853AA3"/>
    <w:rsid w:val="009076DF"/>
    <w:rsid w:val="009C2675"/>
    <w:rsid w:val="00A17181"/>
    <w:rsid w:val="00AF6B14"/>
    <w:rsid w:val="00B03965"/>
    <w:rsid w:val="00B60EE6"/>
    <w:rsid w:val="00BC141B"/>
    <w:rsid w:val="00C01342"/>
    <w:rsid w:val="00C74064"/>
    <w:rsid w:val="00C759A0"/>
    <w:rsid w:val="00D237EB"/>
    <w:rsid w:val="00E31846"/>
    <w:rsid w:val="00E34C92"/>
    <w:rsid w:val="00E51DC6"/>
    <w:rsid w:val="00E87E47"/>
    <w:rsid w:val="00EB417A"/>
    <w:rsid w:val="00F14884"/>
    <w:rsid w:val="00F20E1C"/>
    <w:rsid w:val="00FA5F7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C92"/>
    <w:rPr>
      <w:rFonts w:ascii="Tahoma" w:hAnsi="Tahoma" w:cs="Tahoma"/>
      <w:sz w:val="16"/>
      <w:szCs w:val="16"/>
    </w:rPr>
  </w:style>
  <w:style w:type="table" w:styleId="TableGrid">
    <w:name w:val="Table Grid"/>
    <w:basedOn w:val="TableNormal"/>
    <w:uiPriority w:val="59"/>
    <w:rsid w:val="00462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59A0"/>
    <w:pPr>
      <w:ind w:left="720"/>
      <w:contextualSpacing/>
    </w:pPr>
  </w:style>
  <w:style w:type="paragraph" w:styleId="FootnoteText">
    <w:name w:val="footnote text"/>
    <w:basedOn w:val="Normal"/>
    <w:link w:val="FootnoteTextChar"/>
    <w:uiPriority w:val="99"/>
    <w:semiHidden/>
    <w:unhideWhenUsed/>
    <w:rsid w:val="00C75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9A0"/>
    <w:rPr>
      <w:sz w:val="20"/>
      <w:szCs w:val="20"/>
    </w:rPr>
  </w:style>
  <w:style w:type="character" w:styleId="FootnoteReference">
    <w:name w:val="footnote reference"/>
    <w:basedOn w:val="DefaultParagraphFont"/>
    <w:uiPriority w:val="99"/>
    <w:semiHidden/>
    <w:unhideWhenUsed/>
    <w:rsid w:val="00C759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C92"/>
    <w:rPr>
      <w:rFonts w:ascii="Tahoma" w:hAnsi="Tahoma" w:cs="Tahoma"/>
      <w:sz w:val="16"/>
      <w:szCs w:val="16"/>
    </w:rPr>
  </w:style>
  <w:style w:type="table" w:styleId="TableGrid">
    <w:name w:val="Table Grid"/>
    <w:basedOn w:val="TableNormal"/>
    <w:uiPriority w:val="59"/>
    <w:rsid w:val="00462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59A0"/>
    <w:pPr>
      <w:ind w:left="720"/>
      <w:contextualSpacing/>
    </w:pPr>
  </w:style>
  <w:style w:type="paragraph" w:styleId="FootnoteText">
    <w:name w:val="footnote text"/>
    <w:basedOn w:val="Normal"/>
    <w:link w:val="FootnoteTextChar"/>
    <w:uiPriority w:val="99"/>
    <w:semiHidden/>
    <w:unhideWhenUsed/>
    <w:rsid w:val="00C75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9A0"/>
    <w:rPr>
      <w:sz w:val="20"/>
      <w:szCs w:val="20"/>
    </w:rPr>
  </w:style>
  <w:style w:type="character" w:styleId="FootnoteReference">
    <w:name w:val="footnote reference"/>
    <w:basedOn w:val="DefaultParagraphFont"/>
    <w:uiPriority w:val="99"/>
    <w:semiHidden/>
    <w:unhideWhenUsed/>
    <w:rsid w:val="00C75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omas.ewers@BNetzA.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exander.kuehn@BNetz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bond@ofcom.org.uk" TargetMode="Externa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yperlink" Target="mailto:fournier@anfr.fr"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wesley.milton@ofco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540EE-593B-4F05-9852-28A1786B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OFCOM</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wesley.milton</dc:creator>
  <cp:lastModifiedBy>wesley.milton</cp:lastModifiedBy>
  <cp:revision>2</cp:revision>
  <dcterms:created xsi:type="dcterms:W3CDTF">2012-04-16T08:54:00Z</dcterms:created>
  <dcterms:modified xsi:type="dcterms:W3CDTF">2012-04-16T08:54:00Z</dcterms:modified>
</cp:coreProperties>
</file>