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53" w:type="dxa"/>
        <w:tblInd w:w="-459" w:type="dxa"/>
        <w:tblLayout w:type="fixed"/>
        <w:tblLook w:val="0000"/>
      </w:tblPr>
      <w:tblGrid>
        <w:gridCol w:w="3119"/>
        <w:gridCol w:w="283"/>
        <w:gridCol w:w="1134"/>
        <w:gridCol w:w="284"/>
        <w:gridCol w:w="796"/>
        <w:gridCol w:w="4137"/>
      </w:tblGrid>
      <w:tr w:rsidR="00F91BE1">
        <w:tc>
          <w:tcPr>
            <w:tcW w:w="5616" w:type="dxa"/>
            <w:gridSpan w:val="5"/>
          </w:tcPr>
          <w:p w:rsidR="00F91BE1" w:rsidRDefault="00F91BE1" w:rsidP="000B4CC0">
            <w:pPr>
              <w:pStyle w:val="PT1Head"/>
            </w:pPr>
            <w:r>
              <w:t>39</w:t>
            </w:r>
            <w:r>
              <w:rPr>
                <w:vertAlign w:val="superscript"/>
              </w:rPr>
              <w:t>th</w:t>
            </w:r>
            <w:r>
              <w:t xml:space="preserve"> ECC PT</w:t>
            </w:r>
            <w:smartTag w:uri="urn:schemas-microsoft-com:office:smarttags" w:element="PersonName">
              <w:r>
                <w:t>1</w:t>
              </w:r>
            </w:smartTag>
            <w:r>
              <w:t xml:space="preserve"> MEETING</w:t>
            </w:r>
          </w:p>
          <w:p w:rsidR="00F91BE1" w:rsidRPr="00FA6E8C" w:rsidRDefault="00F91BE1" w:rsidP="00FC788F">
            <w:pPr>
              <w:pStyle w:val="PT1Head"/>
            </w:pPr>
            <w:smartTag w:uri="urn:schemas-microsoft-com:office:smarttags" w:element="City">
              <w:smartTag w:uri="urn:schemas-microsoft-com:office:smarttags" w:element="place">
                <w:r w:rsidRPr="008E7922">
                  <w:t>Reykjavik</w:t>
                </w:r>
              </w:smartTag>
            </w:smartTag>
            <w:r w:rsidRPr="008E7922">
              <w:t>, 12 – 14 September 2011</w:t>
            </w:r>
          </w:p>
        </w:tc>
        <w:tc>
          <w:tcPr>
            <w:tcW w:w="4137" w:type="dxa"/>
          </w:tcPr>
          <w:p w:rsidR="00F91BE1" w:rsidRDefault="00F91BE1" w:rsidP="000B4CC0">
            <w:pPr>
              <w:pStyle w:val="PT1Headrechts"/>
              <w:rPr>
                <w:lang w:val="it-IT"/>
              </w:rPr>
            </w:pPr>
            <w:r>
              <w:rPr>
                <w:lang w:val="it-IT"/>
              </w:rPr>
              <w:t>ECC PT1(11)INFO 09</w:t>
            </w:r>
          </w:p>
          <w:p w:rsidR="00F91BE1" w:rsidRDefault="00F91BE1" w:rsidP="000B4CC0">
            <w:pPr>
              <w:pStyle w:val="PT1Headrechts"/>
              <w:rPr>
                <w:b w:val="0"/>
                <w:lang w:val="it-IT"/>
              </w:rPr>
            </w:pPr>
          </w:p>
        </w:tc>
      </w:tr>
      <w:tr w:rsidR="00F91BE1">
        <w:tc>
          <w:tcPr>
            <w:tcW w:w="5616" w:type="dxa"/>
            <w:gridSpan w:val="5"/>
          </w:tcPr>
          <w:p w:rsidR="00F91BE1" w:rsidRDefault="00F91BE1" w:rsidP="000B4CC0">
            <w:pPr>
              <w:rPr>
                <w:b/>
                <w:lang w:val="en-IE"/>
              </w:rPr>
            </w:pPr>
          </w:p>
        </w:tc>
        <w:tc>
          <w:tcPr>
            <w:tcW w:w="4137" w:type="dxa"/>
          </w:tcPr>
          <w:p w:rsidR="00F91BE1" w:rsidRDefault="00F91BE1" w:rsidP="000B4CC0">
            <w:pPr>
              <w:jc w:val="right"/>
              <w:rPr>
                <w:b/>
                <w:lang w:val="en-IE"/>
              </w:rPr>
            </w:pPr>
          </w:p>
        </w:tc>
      </w:tr>
      <w:tr w:rsidR="00F91BE1">
        <w:trPr>
          <w:cantSplit/>
          <w:trHeight w:val="1183"/>
        </w:trPr>
        <w:tc>
          <w:tcPr>
            <w:tcW w:w="9753" w:type="dxa"/>
            <w:gridSpan w:val="6"/>
          </w:tcPr>
          <w:p w:rsidR="00F91BE1" w:rsidRPr="00C328BE" w:rsidRDefault="00F91BE1" w:rsidP="000B4CC0">
            <w:pPr>
              <w:pStyle w:val="PT1Head"/>
              <w:rPr>
                <w:rFonts w:cs="Arial"/>
              </w:rPr>
            </w:pPr>
            <w:r w:rsidRPr="00C328BE">
              <w:rPr>
                <w:rFonts w:cs="Arial"/>
              </w:rPr>
              <w:t xml:space="preserve">Date issued: </w:t>
            </w:r>
            <w:r>
              <w:rPr>
                <w:rFonts w:cs="Arial"/>
              </w:rPr>
              <w:t>30 August 2011</w:t>
            </w:r>
          </w:p>
          <w:p w:rsidR="00F91BE1" w:rsidRPr="00C328BE" w:rsidRDefault="00F91BE1" w:rsidP="000B4CC0">
            <w:pPr>
              <w:rPr>
                <w:rFonts w:cs="Arial"/>
                <w:b/>
                <w:lang w:val="en-IE"/>
              </w:rPr>
            </w:pPr>
          </w:p>
          <w:p w:rsidR="00F91BE1" w:rsidRPr="00692D64" w:rsidRDefault="00F91BE1" w:rsidP="000B4CC0">
            <w:pPr>
              <w:pStyle w:val="PT1Head"/>
              <w:rPr>
                <w:rFonts w:cs="Arial"/>
                <w:b w:val="0"/>
                <w:lang w:val="en-IE"/>
              </w:rPr>
            </w:pPr>
            <w:r w:rsidRPr="00C328BE">
              <w:rPr>
                <w:rFonts w:cs="Arial"/>
                <w:lang w:val="en-IE"/>
              </w:rPr>
              <w:t xml:space="preserve">Source: </w:t>
            </w:r>
            <w:r>
              <w:rPr>
                <w:rFonts w:cs="Arial"/>
                <w:lang w:val="en-IE"/>
              </w:rPr>
              <w:t>WP 5D rapporteur</w:t>
            </w:r>
          </w:p>
          <w:p w:rsidR="00F91BE1" w:rsidRPr="00C328BE" w:rsidRDefault="00F91BE1" w:rsidP="000B4CC0">
            <w:pPr>
              <w:pStyle w:val="PT1Head"/>
              <w:rPr>
                <w:rFonts w:cs="Arial"/>
                <w:lang w:val="en-IE"/>
              </w:rPr>
            </w:pPr>
          </w:p>
          <w:p w:rsidR="00F91BE1" w:rsidRPr="00C328BE" w:rsidRDefault="00F91BE1" w:rsidP="000B4CC0">
            <w:pPr>
              <w:pStyle w:val="PT1Head"/>
              <w:rPr>
                <w:rFonts w:cs="Arial"/>
                <w:lang w:val="en-IE"/>
              </w:rPr>
            </w:pPr>
            <w:r w:rsidRPr="00C328BE">
              <w:rPr>
                <w:rFonts w:cs="Arial"/>
                <w:lang w:val="en-IE"/>
              </w:rPr>
              <w:t xml:space="preserve">Subject: </w:t>
            </w:r>
            <w:r>
              <w:rPr>
                <w:rFonts w:cs="Arial"/>
                <w:lang w:val="en-IE"/>
              </w:rPr>
              <w:t>Feedback from WP 5D</w:t>
            </w:r>
          </w:p>
          <w:p w:rsidR="00F91BE1" w:rsidRPr="00C328BE" w:rsidRDefault="00F91BE1" w:rsidP="000B4CC0">
            <w:pPr>
              <w:rPr>
                <w:rFonts w:cs="Arial"/>
                <w:b/>
                <w:sz w:val="24"/>
                <w:lang w:val="en-IE"/>
              </w:rPr>
            </w:pPr>
          </w:p>
        </w:tc>
      </w:tr>
      <w:tr w:rsidR="00F91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4933" w:type="dxa"/>
        </w:trPr>
        <w:tc>
          <w:tcPr>
            <w:tcW w:w="3119" w:type="dxa"/>
            <w:tcBorders>
              <w:top w:val="nil"/>
              <w:left w:val="nil"/>
              <w:bottom w:val="nil"/>
            </w:tcBorders>
          </w:tcPr>
          <w:p w:rsidR="00F91BE1" w:rsidRDefault="00F91BE1" w:rsidP="000B4CC0">
            <w:pPr>
              <w:pStyle w:val="PT1Head"/>
              <w:ind w:left="71"/>
              <w:rPr>
                <w:sz w:val="20"/>
              </w:rPr>
            </w:pPr>
            <w:r>
              <w:t>Password protected: yes</w:t>
            </w:r>
          </w:p>
        </w:tc>
        <w:tc>
          <w:tcPr>
            <w:tcW w:w="283" w:type="dxa"/>
          </w:tcPr>
          <w:p w:rsidR="00F91BE1" w:rsidRDefault="00F91BE1" w:rsidP="000B4CC0">
            <w:pPr>
              <w:pStyle w:val="PT1Head"/>
              <w:keepNext w:val="0"/>
              <w:overflowPunct w:val="0"/>
              <w:autoSpaceDE w:val="0"/>
              <w:autoSpaceDN w:val="0"/>
              <w:adjustRightInd w:val="0"/>
              <w:textAlignment w:val="baseline"/>
              <w:rPr>
                <w:bCs/>
                <w:lang w:val="en-IE" w:eastAsia="de-DE"/>
              </w:rPr>
            </w:pPr>
          </w:p>
        </w:tc>
        <w:tc>
          <w:tcPr>
            <w:tcW w:w="1134" w:type="dxa"/>
            <w:tcBorders>
              <w:top w:val="nil"/>
              <w:bottom w:val="nil"/>
            </w:tcBorders>
          </w:tcPr>
          <w:p w:rsidR="00F91BE1" w:rsidRDefault="00F91BE1" w:rsidP="000B4CC0">
            <w:pPr>
              <w:pStyle w:val="PT1Head"/>
              <w:keepNext w:val="0"/>
              <w:overflowPunct w:val="0"/>
              <w:autoSpaceDE w:val="0"/>
              <w:autoSpaceDN w:val="0"/>
              <w:adjustRightInd w:val="0"/>
              <w:jc w:val="right"/>
              <w:textAlignment w:val="baseline"/>
              <w:rPr>
                <w:bCs/>
                <w:lang w:val="en-IE" w:eastAsia="de-DE"/>
              </w:rPr>
            </w:pPr>
            <w:r>
              <w:rPr>
                <w:bCs/>
                <w:lang w:val="en-IE" w:eastAsia="de-DE"/>
              </w:rPr>
              <w:t>no</w:t>
            </w:r>
          </w:p>
        </w:tc>
        <w:tc>
          <w:tcPr>
            <w:tcW w:w="284" w:type="dxa"/>
          </w:tcPr>
          <w:p w:rsidR="00F91BE1" w:rsidRDefault="00F91BE1" w:rsidP="000B4CC0">
            <w:pPr>
              <w:pStyle w:val="PT1Head"/>
              <w:keepNext w:val="0"/>
              <w:overflowPunct w:val="0"/>
              <w:autoSpaceDE w:val="0"/>
              <w:autoSpaceDN w:val="0"/>
              <w:adjustRightInd w:val="0"/>
              <w:textAlignment w:val="baseline"/>
              <w:rPr>
                <w:bCs/>
                <w:lang w:val="en-IE" w:eastAsia="de-DE"/>
              </w:rPr>
            </w:pPr>
            <w:r>
              <w:rPr>
                <w:bCs/>
                <w:lang w:val="en-IE" w:eastAsia="de-DE"/>
              </w:rPr>
              <w:t>x</w:t>
            </w:r>
          </w:p>
        </w:tc>
      </w:tr>
    </w:tbl>
    <w:p w:rsidR="00F91BE1" w:rsidRDefault="00F91BE1" w:rsidP="000B4CC0">
      <w:pPr>
        <w:ind w:left="-426"/>
        <w:rPr>
          <w:lang w:val="en-US"/>
        </w:rPr>
      </w:pPr>
    </w:p>
    <w:p w:rsidR="00F91BE1" w:rsidRDefault="00F91BE1" w:rsidP="00D053C7">
      <w:pPr>
        <w:ind w:left="-426"/>
        <w:jc w:val="both"/>
        <w:rPr>
          <w:lang w:val="en-US"/>
        </w:rPr>
      </w:pPr>
      <w:r>
        <w:rPr>
          <w:lang w:val="en-US"/>
        </w:rPr>
        <w:t>This document is provided for the information of ECC PT1 delegates and possible contributions to the next ECC PT1 meeting and/or the next WP 5D meeting (</w:t>
      </w:r>
      <w:smartTag w:uri="urn:schemas-microsoft-com:office:smarttags" w:element="country-region">
        <w:smartTag w:uri="urn:schemas-microsoft-com:office:smarttags" w:element="City">
          <w:smartTag w:uri="urn:schemas-microsoft-com:office:smarttags" w:element="place">
            <w:smartTag w:uri="urn:schemas-microsoft-com:office:smarttags" w:element="City">
              <w:r>
                <w:rPr>
                  <w:lang w:val="en-US"/>
                </w:rPr>
                <w:t>Goa</w:t>
              </w:r>
            </w:smartTag>
          </w:smartTag>
          <w:r>
            <w:rPr>
              <w:lang w:val="en-US"/>
            </w:rPr>
            <w:t xml:space="preserve">, </w:t>
          </w:r>
          <w:smartTag w:uri="urn:schemas-microsoft-com:office:smarttags" w:element="country-region">
            <w:r>
              <w:rPr>
                <w:lang w:val="en-US"/>
              </w:rPr>
              <w:t>India</w:t>
            </w:r>
          </w:smartTag>
        </w:smartTag>
      </w:smartTag>
      <w:r>
        <w:rPr>
          <w:lang w:val="en-US"/>
        </w:rPr>
        <w:t>, 12 – 19 October 2011).</w:t>
      </w:r>
    </w:p>
    <w:p w:rsidR="00F91BE1" w:rsidRDefault="00F91BE1" w:rsidP="00D053C7">
      <w:pPr>
        <w:ind w:left="-426"/>
        <w:jc w:val="both"/>
        <w:rPr>
          <w:lang w:val="en-US"/>
        </w:rPr>
      </w:pPr>
    </w:p>
    <w:p w:rsidR="00F91BE1" w:rsidRDefault="00F91BE1" w:rsidP="00D053C7">
      <w:pPr>
        <w:ind w:left="-426"/>
        <w:jc w:val="both"/>
        <w:rPr>
          <w:lang w:val="en-US"/>
        </w:rPr>
      </w:pPr>
      <w:r>
        <w:rPr>
          <w:lang w:val="en-US"/>
        </w:rPr>
        <w:t>WP 5D held its 11</w:t>
      </w:r>
      <w:r w:rsidRPr="00A23996">
        <w:rPr>
          <w:vertAlign w:val="superscript"/>
          <w:lang w:val="en-US"/>
        </w:rPr>
        <w:t>th</w:t>
      </w:r>
      <w:r>
        <w:rPr>
          <w:lang w:val="en-US"/>
        </w:rPr>
        <w:t xml:space="preserve"> meeting in Waikoloa (</w:t>
      </w:r>
      <w:smartTag w:uri="urn:schemas-microsoft-com:office:smarttags" w:element="country-region">
        <w:smartTag w:uri="urn:schemas-microsoft-com:office:smarttags" w:element="State">
          <w:r>
            <w:rPr>
              <w:lang w:val="en-US"/>
            </w:rPr>
            <w:t>Hawaii</w:t>
          </w:r>
        </w:smartTag>
      </w:smartTag>
      <w:r>
        <w:rPr>
          <w:lang w:val="en-US"/>
        </w:rPr>
        <w:t xml:space="preserve">, </w:t>
      </w:r>
      <w:smartTag w:uri="urn:schemas-microsoft-com:office:smarttags" w:element="country-region">
        <w:smartTag w:uri="urn:schemas-microsoft-com:office:smarttags" w:element="place">
          <w:r>
            <w:rPr>
              <w:lang w:val="en-US"/>
            </w:rPr>
            <w:t>USA</w:t>
          </w:r>
        </w:smartTag>
      </w:smartTag>
      <w:r>
        <w:rPr>
          <w:lang w:val="en-US"/>
        </w:rPr>
        <w:t>, 7-14 July 2011). The main outcome listed below is of interest for ECC PT1. The output documents, ECC PT1 may be interested in, have been hyperlinked.</w:t>
      </w:r>
    </w:p>
    <w:p w:rsidR="00F91BE1" w:rsidRDefault="00F91BE1" w:rsidP="00D053C7">
      <w:pPr>
        <w:ind w:left="-426"/>
        <w:jc w:val="both"/>
        <w:rPr>
          <w:lang w:val="en-US"/>
        </w:rPr>
      </w:pPr>
    </w:p>
    <w:p w:rsidR="00F91BE1" w:rsidRDefault="00F91BE1" w:rsidP="00D053C7">
      <w:pPr>
        <w:ind w:left="-426"/>
        <w:jc w:val="both"/>
        <w:rPr>
          <w:lang w:val="en-US"/>
        </w:rPr>
      </w:pPr>
      <w:r>
        <w:rPr>
          <w:lang w:val="en-US"/>
        </w:rPr>
        <w:t xml:space="preserve">Additionally, information about the regional workshops “IMT for the next decade” is given. </w:t>
      </w:r>
    </w:p>
    <w:p w:rsidR="00F91BE1" w:rsidRDefault="00F91BE1" w:rsidP="00D053C7">
      <w:pPr>
        <w:ind w:left="-426"/>
        <w:jc w:val="both"/>
        <w:rPr>
          <w:lang w:val="en-US"/>
        </w:rPr>
      </w:pPr>
    </w:p>
    <w:p w:rsidR="00F91BE1" w:rsidRDefault="00F91BE1" w:rsidP="000B4CC0">
      <w:pPr>
        <w:ind w:left="-426"/>
        <w:rPr>
          <w:u w:val="single"/>
          <w:lang w:val="en-US"/>
        </w:rPr>
      </w:pPr>
      <w:r>
        <w:rPr>
          <w:u w:val="single"/>
          <w:lang w:val="en-US"/>
        </w:rPr>
        <w:t xml:space="preserve">1- WP 5D: </w:t>
      </w:r>
      <w:r w:rsidRPr="00A23996">
        <w:rPr>
          <w:u w:val="single"/>
          <w:lang w:val="en-US"/>
        </w:rPr>
        <w:t>Technology</w:t>
      </w:r>
      <w:r>
        <w:rPr>
          <w:u w:val="single"/>
          <w:lang w:val="en-US"/>
        </w:rPr>
        <w:t xml:space="preserve"> aspects</w:t>
      </w:r>
    </w:p>
    <w:p w:rsidR="00F91BE1" w:rsidRPr="00A23996" w:rsidRDefault="00F91BE1" w:rsidP="000B4CC0">
      <w:pPr>
        <w:ind w:left="-426"/>
        <w:rPr>
          <w:u w:val="single"/>
          <w:lang w:val="en-US"/>
        </w:rPr>
      </w:pPr>
    </w:p>
    <w:p w:rsidR="00F91BE1" w:rsidRPr="00F913A7" w:rsidRDefault="00F91BE1" w:rsidP="00FB55F4">
      <w:pPr>
        <w:numPr>
          <w:ilvl w:val="0"/>
          <w:numId w:val="2"/>
        </w:numPr>
        <w:jc w:val="both"/>
        <w:rPr>
          <w:lang w:val="en-GB"/>
        </w:rPr>
      </w:pPr>
      <w:r w:rsidRPr="00BD0DB8">
        <w:rPr>
          <w:b/>
          <w:i/>
          <w:lang w:val="en-US"/>
        </w:rPr>
        <w:t>IMT-Advanced</w:t>
      </w:r>
      <w:r>
        <w:rPr>
          <w:b/>
          <w:i/>
          <w:lang w:val="en-US"/>
        </w:rPr>
        <w:t xml:space="preserve"> activities</w:t>
      </w:r>
      <w:r>
        <w:rPr>
          <w:lang w:val="en-US"/>
        </w:rPr>
        <w:t>: Step 8 of the IMT-Advanced process (Recommendation ITU-R M.[IMT.RSPEC]) is still on-going and well advanced. Administrative details have still to be fixed prior to its completion, expected at the 12</w:t>
      </w:r>
      <w:r w:rsidRPr="00F913A7">
        <w:rPr>
          <w:vertAlign w:val="superscript"/>
          <w:lang w:val="en-US"/>
        </w:rPr>
        <w:t>th</w:t>
      </w:r>
      <w:r>
        <w:rPr>
          <w:lang w:val="en-US"/>
        </w:rPr>
        <w:t xml:space="preserve"> meeting of WP 5D (October 2011) with the intention to have it submitted to SG5 (20-21 November 2011).</w:t>
      </w:r>
    </w:p>
    <w:p w:rsidR="00F91BE1" w:rsidRDefault="00F91BE1" w:rsidP="006F0640">
      <w:pPr>
        <w:ind w:left="294"/>
        <w:jc w:val="both"/>
        <w:rPr>
          <w:lang w:val="en-GB"/>
        </w:rPr>
      </w:pPr>
      <w:r>
        <w:rPr>
          <w:lang w:val="en-US"/>
        </w:rPr>
        <w:t>The PDNR IMT.RSPEC can be found at:</w:t>
      </w:r>
    </w:p>
    <w:p w:rsidR="00F91BE1" w:rsidRDefault="00F91BE1" w:rsidP="006F0640">
      <w:pPr>
        <w:ind w:left="294"/>
        <w:jc w:val="both"/>
        <w:rPr>
          <w:lang w:val="en-GB"/>
        </w:rPr>
      </w:pPr>
      <w:hyperlink r:id="rId7" w:history="1">
        <w:r w:rsidRPr="00DF78F3">
          <w:rPr>
            <w:rStyle w:val="Hyperlink"/>
            <w:lang w:val="en-GB"/>
          </w:rPr>
          <w:t>http://www.itu.int/md/R07-WP5D-110707-TD-0524/en</w:t>
        </w:r>
      </w:hyperlink>
    </w:p>
    <w:p w:rsidR="00F91BE1" w:rsidRPr="00B04DDF" w:rsidRDefault="00F91BE1" w:rsidP="006F0640">
      <w:pPr>
        <w:ind w:left="294"/>
        <w:jc w:val="both"/>
        <w:rPr>
          <w:lang w:val="en-GB"/>
        </w:rPr>
      </w:pPr>
    </w:p>
    <w:p w:rsidR="00F91BE1" w:rsidRPr="00F913A7" w:rsidRDefault="00F91BE1" w:rsidP="006F0640">
      <w:pPr>
        <w:ind w:left="294"/>
        <w:jc w:val="both"/>
        <w:rPr>
          <w:lang w:val="en-GB"/>
        </w:rPr>
      </w:pPr>
      <w:r w:rsidRPr="00F913A7">
        <w:rPr>
          <w:lang w:val="en-GB"/>
        </w:rPr>
        <w:t xml:space="preserve">The procedure for the development of draft revisions of Recommendation ITU-R M.[IMT.RSPEC] has been further </w:t>
      </w:r>
      <w:r>
        <w:rPr>
          <w:lang w:val="en-GB"/>
        </w:rPr>
        <w:t>drafted, although there was no input submitted to the meeting. The latest version of the document can be found at:</w:t>
      </w:r>
    </w:p>
    <w:p w:rsidR="00F91BE1" w:rsidRPr="00927C10" w:rsidRDefault="00F91BE1" w:rsidP="006F0640">
      <w:pPr>
        <w:ind w:left="294"/>
        <w:jc w:val="both"/>
        <w:rPr>
          <w:lang w:val="en-GB"/>
        </w:rPr>
      </w:pPr>
      <w:hyperlink r:id="rId8" w:history="1">
        <w:r w:rsidRPr="00927C10">
          <w:rPr>
            <w:rStyle w:val="Hyperlink"/>
            <w:lang w:val="en-GB"/>
          </w:rPr>
          <w:t>http://www.itu.int/md/R07-WP5D-110707-TD-0550/en</w:t>
        </w:r>
      </w:hyperlink>
    </w:p>
    <w:p w:rsidR="00F91BE1" w:rsidRPr="00927C10" w:rsidRDefault="00F91BE1" w:rsidP="006F0640">
      <w:pPr>
        <w:ind w:left="294"/>
        <w:jc w:val="both"/>
        <w:rPr>
          <w:lang w:val="en-GB"/>
        </w:rPr>
      </w:pPr>
    </w:p>
    <w:p w:rsidR="00F91BE1" w:rsidRPr="00927C10" w:rsidRDefault="00F91BE1" w:rsidP="00BD0DB8">
      <w:pPr>
        <w:ind w:left="294"/>
        <w:jc w:val="both"/>
        <w:rPr>
          <w:lang w:val="en-GB"/>
        </w:rPr>
      </w:pPr>
    </w:p>
    <w:p w:rsidR="00F91BE1" w:rsidRDefault="00F91BE1" w:rsidP="00F365C6">
      <w:pPr>
        <w:numPr>
          <w:ilvl w:val="0"/>
          <w:numId w:val="2"/>
        </w:numPr>
        <w:jc w:val="both"/>
        <w:rPr>
          <w:lang w:val="en-US"/>
        </w:rPr>
      </w:pPr>
      <w:r w:rsidRPr="00BD0DB8">
        <w:rPr>
          <w:b/>
          <w:i/>
          <w:lang w:val="en-US"/>
        </w:rPr>
        <w:t>IMT-</w:t>
      </w:r>
      <w:r>
        <w:rPr>
          <w:b/>
          <w:i/>
          <w:lang w:val="en-US"/>
        </w:rPr>
        <w:t>2000 activities</w:t>
      </w:r>
    </w:p>
    <w:p w:rsidR="00F91BE1" w:rsidRDefault="00F91BE1" w:rsidP="00F365C6">
      <w:pPr>
        <w:numPr>
          <w:ilvl w:val="1"/>
          <w:numId w:val="2"/>
        </w:numPr>
        <w:jc w:val="both"/>
        <w:rPr>
          <w:lang w:val="en-US"/>
        </w:rPr>
      </w:pPr>
      <w:r>
        <w:rPr>
          <w:lang w:val="en-US"/>
        </w:rPr>
        <w:t>Revision 10 of Recommendation ITU-R M.1457 had been approved by SG5 in November 2010.</w:t>
      </w:r>
    </w:p>
    <w:p w:rsidR="00F91BE1" w:rsidRDefault="00F91BE1" w:rsidP="00F365C6">
      <w:pPr>
        <w:numPr>
          <w:ilvl w:val="1"/>
          <w:numId w:val="2"/>
        </w:numPr>
        <w:jc w:val="both"/>
        <w:rPr>
          <w:lang w:val="en-US"/>
        </w:rPr>
      </w:pPr>
      <w:r>
        <w:rPr>
          <w:lang w:val="en-US"/>
        </w:rPr>
        <w:t>The 11</w:t>
      </w:r>
      <w:r w:rsidRPr="005540CD">
        <w:rPr>
          <w:vertAlign w:val="superscript"/>
          <w:lang w:val="en-US"/>
        </w:rPr>
        <w:t>th</w:t>
      </w:r>
      <w:r>
        <w:rPr>
          <w:lang w:val="en-US"/>
        </w:rPr>
        <w:t xml:space="preserve"> revision cycle of that Recommendation started in July 2011 (It was decided that it was meeting X). This revision will be completed in 2012 and submitted to SG5 in November 2012.</w:t>
      </w:r>
    </w:p>
    <w:p w:rsidR="00F91BE1" w:rsidRDefault="00F91BE1" w:rsidP="00236BD1">
      <w:pPr>
        <w:numPr>
          <w:ilvl w:val="1"/>
          <w:numId w:val="2"/>
        </w:numPr>
        <w:jc w:val="both"/>
        <w:rPr>
          <w:lang w:val="en-US"/>
        </w:rPr>
      </w:pPr>
      <w:r>
        <w:rPr>
          <w:lang w:val="en-US"/>
        </w:rPr>
        <w:t>Revisions 4 of Recommendations ITU-R M.1580 and 1581 have been completed. It was decided that these two Recommendations would remain connected to IMT-2000 only. New Recommendations will be developed to address the unwanted emissions of IMT-Advanced interfaces.</w:t>
      </w:r>
    </w:p>
    <w:p w:rsidR="00F91BE1" w:rsidRDefault="00F91BE1" w:rsidP="004A56DD">
      <w:pPr>
        <w:overflowPunct/>
        <w:autoSpaceDE/>
        <w:autoSpaceDN/>
        <w:adjustRightInd/>
        <w:ind w:left="360"/>
        <w:jc w:val="both"/>
        <w:textAlignment w:val="auto"/>
        <w:rPr>
          <w:lang w:val="en-GB"/>
        </w:rPr>
      </w:pPr>
    </w:p>
    <w:p w:rsidR="00F91BE1" w:rsidRDefault="00F91BE1" w:rsidP="00FF7F85">
      <w:pPr>
        <w:numPr>
          <w:ilvl w:val="0"/>
          <w:numId w:val="1"/>
        </w:numPr>
        <w:overflowPunct/>
        <w:autoSpaceDE/>
        <w:autoSpaceDN/>
        <w:adjustRightInd/>
        <w:jc w:val="both"/>
        <w:textAlignment w:val="auto"/>
        <w:rPr>
          <w:lang w:val="en-GB"/>
        </w:rPr>
      </w:pPr>
      <w:r w:rsidRPr="008B6269">
        <w:rPr>
          <w:b/>
          <w:i/>
          <w:lang w:val="en-GB"/>
        </w:rPr>
        <w:t>Cognitive radio for IMT</w:t>
      </w:r>
      <w:r>
        <w:rPr>
          <w:lang w:val="en-GB"/>
        </w:rPr>
        <w:t>: the</w:t>
      </w:r>
      <w:r w:rsidRPr="00C53CDA">
        <w:rPr>
          <w:lang w:val="en-GB"/>
        </w:rPr>
        <w:t xml:space="preserve"> working document towards a</w:t>
      </w:r>
      <w:r>
        <w:rPr>
          <w:lang w:val="en-GB"/>
        </w:rPr>
        <w:t>n ITU-R</w:t>
      </w:r>
      <w:r w:rsidRPr="00C53CDA">
        <w:rPr>
          <w:lang w:val="en-GB"/>
        </w:rPr>
        <w:t xml:space="preserve"> Report has been </w:t>
      </w:r>
      <w:r>
        <w:rPr>
          <w:lang w:val="en-GB"/>
        </w:rPr>
        <w:t xml:space="preserve">updated and elevated to a PDNR; </w:t>
      </w:r>
      <w:r w:rsidRPr="00C53CDA">
        <w:rPr>
          <w:lang w:val="en-GB"/>
        </w:rPr>
        <w:t>the meeting called for further inputs on this issue at the next WP 5D meeting.</w:t>
      </w:r>
      <w:r>
        <w:rPr>
          <w:lang w:val="en-GB"/>
        </w:rPr>
        <w:t xml:space="preserve"> </w:t>
      </w:r>
      <w:r w:rsidRPr="00CB602A">
        <w:rPr>
          <w:lang w:val="en-GB"/>
        </w:rPr>
        <w:t>T</w:t>
      </w:r>
      <w:r>
        <w:rPr>
          <w:lang w:val="en-GB"/>
        </w:rPr>
        <w:t>he current version of the document can be found at:</w:t>
      </w:r>
    </w:p>
    <w:p w:rsidR="00F91BE1" w:rsidRDefault="00F91BE1" w:rsidP="00175400">
      <w:pPr>
        <w:overflowPunct/>
        <w:autoSpaceDE/>
        <w:autoSpaceDN/>
        <w:adjustRightInd/>
        <w:ind w:left="360"/>
        <w:jc w:val="both"/>
        <w:textAlignment w:val="auto"/>
        <w:rPr>
          <w:lang w:val="en-GB"/>
        </w:rPr>
      </w:pPr>
      <w:hyperlink r:id="rId9" w:history="1">
        <w:r w:rsidRPr="00DF78F3">
          <w:rPr>
            <w:rStyle w:val="Hyperlink"/>
            <w:lang w:val="en-GB"/>
          </w:rPr>
          <w:t>http://www.itu.int/md/R07-WP5D-110707-TD-0542/en</w:t>
        </w:r>
      </w:hyperlink>
    </w:p>
    <w:p w:rsidR="00F91BE1" w:rsidRPr="00B91DC8" w:rsidRDefault="00F91BE1" w:rsidP="00175400">
      <w:pPr>
        <w:overflowPunct/>
        <w:autoSpaceDE/>
        <w:autoSpaceDN/>
        <w:adjustRightInd/>
        <w:ind w:left="360"/>
        <w:jc w:val="both"/>
        <w:textAlignment w:val="auto"/>
        <w:rPr>
          <w:lang w:val="en-GB"/>
        </w:rPr>
      </w:pPr>
    </w:p>
    <w:p w:rsidR="00F91BE1" w:rsidRDefault="00F91BE1" w:rsidP="00B91DC8">
      <w:pPr>
        <w:numPr>
          <w:ilvl w:val="0"/>
          <w:numId w:val="1"/>
        </w:numPr>
        <w:overflowPunct/>
        <w:autoSpaceDE/>
        <w:autoSpaceDN/>
        <w:adjustRightInd/>
        <w:jc w:val="both"/>
        <w:textAlignment w:val="auto"/>
        <w:rPr>
          <w:lang w:val="en-GB"/>
        </w:rPr>
      </w:pPr>
      <w:r>
        <w:rPr>
          <w:b/>
          <w:i/>
          <w:lang w:val="en-GB"/>
        </w:rPr>
        <w:t>Revision of Recommendation ITU-R M.1579</w:t>
      </w:r>
      <w:r>
        <w:rPr>
          <w:lang w:val="en-GB"/>
        </w:rPr>
        <w:t xml:space="preserve">: the revision of this Recommendation on global circulation of IMT-2000 terminal has been continued. This revision relates to the removal of the satellite component of IMT-2000. It had been previously decided not to include IMT-Advanced features in this revision. </w:t>
      </w:r>
      <w:r w:rsidRPr="00CB602A">
        <w:rPr>
          <w:lang w:val="en-GB"/>
        </w:rPr>
        <w:t>T</w:t>
      </w:r>
      <w:r>
        <w:rPr>
          <w:lang w:val="en-GB"/>
        </w:rPr>
        <w:t>he current version of the document can be found at:</w:t>
      </w:r>
    </w:p>
    <w:p w:rsidR="00F91BE1" w:rsidRDefault="00F91BE1" w:rsidP="00B91DC8">
      <w:pPr>
        <w:overflowPunct/>
        <w:autoSpaceDE/>
        <w:autoSpaceDN/>
        <w:adjustRightInd/>
        <w:ind w:left="360"/>
        <w:jc w:val="both"/>
        <w:textAlignment w:val="auto"/>
        <w:rPr>
          <w:lang w:val="en-GB"/>
        </w:rPr>
      </w:pPr>
      <w:hyperlink r:id="rId10" w:history="1">
        <w:r w:rsidRPr="00DF78F3">
          <w:rPr>
            <w:rStyle w:val="Hyperlink"/>
            <w:lang w:val="en-GB"/>
          </w:rPr>
          <w:t>http://www.itu.int/md/R07-WP5D-110707-TD-0545/en</w:t>
        </w:r>
      </w:hyperlink>
    </w:p>
    <w:p w:rsidR="00F91BE1" w:rsidRPr="00573344" w:rsidRDefault="00F91BE1" w:rsidP="00570F4A">
      <w:pPr>
        <w:ind w:left="294"/>
        <w:rPr>
          <w:lang w:val="en-GB"/>
        </w:rPr>
      </w:pPr>
    </w:p>
    <w:p w:rsidR="00F91BE1" w:rsidRPr="00A23996" w:rsidRDefault="00F91BE1" w:rsidP="00570F4A">
      <w:pPr>
        <w:ind w:left="-426"/>
        <w:rPr>
          <w:u w:val="single"/>
          <w:lang w:val="en-US"/>
        </w:rPr>
      </w:pPr>
      <w:r>
        <w:rPr>
          <w:u w:val="single"/>
          <w:lang w:val="en-US"/>
        </w:rPr>
        <w:t>2- WP 5D: Spectrum aspects</w:t>
      </w:r>
    </w:p>
    <w:p w:rsidR="00F91BE1" w:rsidRDefault="00F91BE1" w:rsidP="00570F4A">
      <w:pPr>
        <w:ind w:left="294"/>
        <w:rPr>
          <w:lang w:val="en-US"/>
        </w:rPr>
      </w:pPr>
    </w:p>
    <w:p w:rsidR="00F91BE1" w:rsidRPr="00927C10" w:rsidRDefault="00F91BE1" w:rsidP="00AB23EA">
      <w:pPr>
        <w:numPr>
          <w:ilvl w:val="0"/>
          <w:numId w:val="1"/>
        </w:numPr>
        <w:overflowPunct/>
        <w:autoSpaceDE/>
        <w:autoSpaceDN/>
        <w:adjustRightInd/>
        <w:jc w:val="both"/>
        <w:textAlignment w:val="auto"/>
        <w:rPr>
          <w:lang w:val="en-GB"/>
        </w:rPr>
      </w:pPr>
      <w:r w:rsidRPr="00927C10">
        <w:rPr>
          <w:b/>
          <w:i/>
          <w:lang w:val="en-GB"/>
        </w:rPr>
        <w:t>Frequency Arrangements for IMT (Recommendation ITU-R M.1036)</w:t>
      </w:r>
      <w:r w:rsidRPr="00927C10">
        <w:rPr>
          <w:lang w:val="en-GB"/>
        </w:rPr>
        <w:t xml:space="preserve">: </w:t>
      </w:r>
    </w:p>
    <w:p w:rsidR="00F91BE1" w:rsidRDefault="00F91BE1" w:rsidP="00E27A36">
      <w:pPr>
        <w:overflowPunct/>
        <w:autoSpaceDE/>
        <w:autoSpaceDN/>
        <w:adjustRightInd/>
        <w:ind w:firstLine="360"/>
        <w:jc w:val="both"/>
        <w:textAlignment w:val="auto"/>
        <w:rPr>
          <w:lang w:val="en-GB"/>
        </w:rPr>
      </w:pPr>
      <w:r w:rsidRPr="00D4310E">
        <w:rPr>
          <w:lang w:val="en-GB"/>
        </w:rPr>
        <w:t>The discussions were mainly related to the 450 MHz</w:t>
      </w:r>
      <w:r>
        <w:rPr>
          <w:lang w:val="en-GB"/>
        </w:rPr>
        <w:t xml:space="preserve"> and to the 3,5 GHz bands.</w:t>
      </w:r>
    </w:p>
    <w:p w:rsidR="00F91BE1" w:rsidRDefault="00F91BE1" w:rsidP="00E27A36">
      <w:pPr>
        <w:overflowPunct/>
        <w:autoSpaceDE/>
        <w:autoSpaceDN/>
        <w:adjustRightInd/>
        <w:ind w:left="360"/>
        <w:jc w:val="both"/>
        <w:textAlignment w:val="auto"/>
        <w:rPr>
          <w:lang w:val="en-GB"/>
        </w:rPr>
      </w:pPr>
      <w:r>
        <w:rPr>
          <w:lang w:val="en-GB"/>
        </w:rPr>
        <w:t>On the 450 MHz band, a request to add a 10</w:t>
      </w:r>
      <w:r w:rsidRPr="00D4310E">
        <w:rPr>
          <w:vertAlign w:val="superscript"/>
          <w:lang w:val="en-GB"/>
        </w:rPr>
        <w:t>th</w:t>
      </w:r>
      <w:r>
        <w:rPr>
          <w:lang w:val="en-GB"/>
        </w:rPr>
        <w:t xml:space="preserve"> frequency plan in annex 1 of the Recommendation was submitted; this plan being based on the same duplex separation as a number of plans already recorded but with a different duplex gap. There was an attempt to have a more condense and clear presentation of similar frequency plans having the same duplex separation but no conclusion was reached on that matter. This will be further discussed at the next meeting.</w:t>
      </w:r>
    </w:p>
    <w:p w:rsidR="00F91BE1" w:rsidRPr="00927C10" w:rsidRDefault="00F91BE1" w:rsidP="00D4310E">
      <w:pPr>
        <w:jc w:val="both"/>
        <w:rPr>
          <w:lang w:val="en-GB"/>
        </w:rPr>
      </w:pPr>
    </w:p>
    <w:p w:rsidR="00F91BE1" w:rsidRDefault="00F91BE1" w:rsidP="00E27A36">
      <w:pPr>
        <w:ind w:left="360"/>
        <w:jc w:val="both"/>
        <w:rPr>
          <w:lang w:val="en-GB"/>
        </w:rPr>
      </w:pPr>
      <w:r w:rsidRPr="00E27A36">
        <w:rPr>
          <w:lang w:val="en-GB"/>
        </w:rPr>
        <w:t>On the 3,5 GHz band, the frequency arrangements</w:t>
      </w:r>
      <w:r>
        <w:rPr>
          <w:lang w:val="en-GB"/>
        </w:rPr>
        <w:t xml:space="preserve"> were updated on the basis of the CEPT input, presented by </w:t>
      </w:r>
      <w:smartTag w:uri="urn:schemas-microsoft-com:office:smarttags" w:element="country-region">
        <w:smartTag w:uri="urn:schemas-microsoft-com:office:smarttags" w:element="place">
          <w:r>
            <w:rPr>
              <w:lang w:val="en-GB"/>
            </w:rPr>
            <w:t>Germany</w:t>
          </w:r>
        </w:smartTag>
      </w:smartTag>
      <w:r>
        <w:rPr>
          <w:lang w:val="en-GB"/>
        </w:rPr>
        <w:t>, and particularly the FDD plan, starting at 3410 MHz, based on 2x80 MHz and associated to a 20 MHz duplex gap.</w:t>
      </w:r>
    </w:p>
    <w:p w:rsidR="00F91BE1" w:rsidRDefault="00F91BE1" w:rsidP="00E27A36">
      <w:pPr>
        <w:ind w:firstLine="360"/>
        <w:jc w:val="both"/>
        <w:rPr>
          <w:lang w:val="en-GB"/>
        </w:rPr>
      </w:pPr>
      <w:r>
        <w:rPr>
          <w:lang w:val="en-GB"/>
        </w:rPr>
        <w:t>There were inputs supporting TDD (</w:t>
      </w:r>
      <w:smartTag w:uri="urn:schemas-microsoft-com:office:smarttags" w:element="country-region">
        <w:smartTag w:uri="urn:schemas-microsoft-com:office:smarttags" w:element="place">
          <w:r>
            <w:rPr>
              <w:lang w:val="en-GB"/>
            </w:rPr>
            <w:t>China</w:t>
          </w:r>
        </w:smartTag>
      </w:smartTag>
      <w:r>
        <w:rPr>
          <w:lang w:val="en-GB"/>
        </w:rPr>
        <w:t>) and FDD (from a number of operators).</w:t>
      </w:r>
    </w:p>
    <w:p w:rsidR="00F91BE1" w:rsidRPr="00E27A36" w:rsidRDefault="00F91BE1" w:rsidP="00D4310E">
      <w:pPr>
        <w:jc w:val="both"/>
        <w:rPr>
          <w:lang w:val="en-GB"/>
        </w:rPr>
      </w:pPr>
    </w:p>
    <w:p w:rsidR="00F91BE1" w:rsidRDefault="00F91BE1" w:rsidP="00601895">
      <w:pPr>
        <w:overflowPunct/>
        <w:autoSpaceDE/>
        <w:autoSpaceDN/>
        <w:adjustRightInd/>
        <w:ind w:left="360"/>
        <w:jc w:val="both"/>
        <w:textAlignment w:val="auto"/>
        <w:rPr>
          <w:lang w:val="en-GB"/>
        </w:rPr>
      </w:pPr>
      <w:r w:rsidRPr="00CB602A">
        <w:rPr>
          <w:lang w:val="en-GB"/>
        </w:rPr>
        <w:t>T</w:t>
      </w:r>
      <w:r>
        <w:rPr>
          <w:lang w:val="en-GB"/>
        </w:rPr>
        <w:t xml:space="preserve">he current version the revision of </w:t>
      </w:r>
      <w:r w:rsidRPr="00C53CDA">
        <w:rPr>
          <w:lang w:val="en-GB"/>
        </w:rPr>
        <w:t>Recommendation ITU-R M.1036</w:t>
      </w:r>
      <w:r>
        <w:rPr>
          <w:lang w:val="en-GB"/>
        </w:rPr>
        <w:t xml:space="preserve"> can be found at:</w:t>
      </w:r>
      <w:r w:rsidRPr="00B04DDF">
        <w:rPr>
          <w:lang w:val="en-GB"/>
        </w:rPr>
        <w:t xml:space="preserve"> </w:t>
      </w:r>
    </w:p>
    <w:p w:rsidR="00F91BE1" w:rsidRDefault="00F91BE1" w:rsidP="00601895">
      <w:pPr>
        <w:overflowPunct/>
        <w:autoSpaceDE/>
        <w:autoSpaceDN/>
        <w:adjustRightInd/>
        <w:ind w:left="360"/>
        <w:jc w:val="both"/>
        <w:textAlignment w:val="auto"/>
        <w:rPr>
          <w:lang w:val="en-GB"/>
        </w:rPr>
      </w:pPr>
      <w:hyperlink r:id="rId11" w:history="1">
        <w:r w:rsidRPr="00DF78F3">
          <w:rPr>
            <w:rStyle w:val="Hyperlink"/>
            <w:lang w:val="en-GB"/>
          </w:rPr>
          <w:t>http://www.itu.int/md/R07-WP5D-110707-TD-0517/en</w:t>
        </w:r>
      </w:hyperlink>
    </w:p>
    <w:p w:rsidR="00F91BE1" w:rsidRPr="00FF7F85" w:rsidRDefault="00F91BE1" w:rsidP="00D037B2">
      <w:pPr>
        <w:overflowPunct/>
        <w:autoSpaceDE/>
        <w:autoSpaceDN/>
        <w:adjustRightInd/>
        <w:jc w:val="both"/>
        <w:textAlignment w:val="auto"/>
        <w:rPr>
          <w:lang w:val="en-GB"/>
        </w:rPr>
      </w:pPr>
    </w:p>
    <w:p w:rsidR="00F91BE1" w:rsidRPr="0094291F" w:rsidRDefault="00F91BE1" w:rsidP="005E1F52">
      <w:pPr>
        <w:numPr>
          <w:ilvl w:val="0"/>
          <w:numId w:val="1"/>
        </w:numPr>
        <w:overflowPunct/>
        <w:autoSpaceDE/>
        <w:autoSpaceDN/>
        <w:adjustRightInd/>
        <w:jc w:val="both"/>
        <w:textAlignment w:val="auto"/>
        <w:rPr>
          <w:lang w:val="en-GB"/>
        </w:rPr>
      </w:pPr>
      <w:r w:rsidRPr="00FF2B8A">
        <w:rPr>
          <w:b/>
          <w:i/>
          <w:szCs w:val="22"/>
          <w:lang w:val="en-US" w:eastAsia="ko-KR"/>
        </w:rPr>
        <w:t>PDNR ITU-R M. [IMT.MITIGATION]</w:t>
      </w:r>
      <w:r>
        <w:rPr>
          <w:szCs w:val="22"/>
          <w:lang w:val="en-US" w:eastAsia="ko-KR"/>
        </w:rPr>
        <w:t>: This document</w:t>
      </w:r>
      <w:r w:rsidRPr="00943494">
        <w:rPr>
          <w:szCs w:val="22"/>
          <w:lang w:val="en-US" w:eastAsia="ko-KR"/>
        </w:rPr>
        <w:t xml:space="preserve"> </w:t>
      </w:r>
      <w:r>
        <w:rPr>
          <w:szCs w:val="22"/>
          <w:lang w:val="en-US" w:eastAsia="ko-KR"/>
        </w:rPr>
        <w:t xml:space="preserve">has been updated based on the input contributions. </w:t>
      </w:r>
      <w:smartTag w:uri="urn:schemas-microsoft-com:office:smarttags" w:element="country-region">
        <w:r>
          <w:rPr>
            <w:szCs w:val="22"/>
            <w:lang w:val="en-US" w:eastAsia="ko-KR"/>
          </w:rPr>
          <w:t>Japan</w:t>
        </w:r>
      </w:smartTag>
      <w:r>
        <w:rPr>
          <w:szCs w:val="22"/>
          <w:lang w:val="en-US" w:eastAsia="ko-KR"/>
        </w:rPr>
        <w:t xml:space="preserve"> contributed on MIMO, </w:t>
      </w:r>
      <w:smartTag w:uri="urn:schemas-microsoft-com:office:smarttags" w:element="country-region">
        <w:smartTag w:uri="urn:schemas-microsoft-com:office:smarttags" w:element="place">
          <w:r>
            <w:rPr>
              <w:szCs w:val="22"/>
              <w:lang w:val="en-US" w:eastAsia="ko-KR"/>
            </w:rPr>
            <w:t>China</w:t>
          </w:r>
        </w:smartTag>
      </w:smartTag>
      <w:r>
        <w:rPr>
          <w:szCs w:val="22"/>
          <w:lang w:val="en-US" w:eastAsia="ko-KR"/>
        </w:rPr>
        <w:t xml:space="preserve"> on the use of pico/femto cells in this band and Canada/USA provided some materials on filtering.</w:t>
      </w:r>
    </w:p>
    <w:p w:rsidR="00F91BE1" w:rsidRPr="0094291F" w:rsidRDefault="00F91BE1" w:rsidP="0094291F">
      <w:pPr>
        <w:overflowPunct/>
        <w:autoSpaceDE/>
        <w:autoSpaceDN/>
        <w:adjustRightInd/>
        <w:ind w:left="360"/>
        <w:jc w:val="both"/>
        <w:textAlignment w:val="auto"/>
        <w:rPr>
          <w:lang w:val="en-GB"/>
        </w:rPr>
      </w:pPr>
      <w:r>
        <w:rPr>
          <w:szCs w:val="22"/>
          <w:lang w:val="en-US" w:eastAsia="ko-KR"/>
        </w:rPr>
        <w:t xml:space="preserve">With regard to the nature of the output, it was confirmed that an ITU-R Recommendation was targeted. The proposal (from WP 4A) to hold a joint expert meeting between WP 4A and WP 5D was also examined and a liaison statement was sent to WP 4A to invite satellite experts at the next WP 5D meeting. </w:t>
      </w:r>
    </w:p>
    <w:p w:rsidR="00F91BE1" w:rsidRDefault="00F91BE1" w:rsidP="00191AC9">
      <w:pPr>
        <w:overflowPunct/>
        <w:autoSpaceDE/>
        <w:autoSpaceDN/>
        <w:adjustRightInd/>
        <w:ind w:firstLine="360"/>
        <w:jc w:val="both"/>
        <w:textAlignment w:val="auto"/>
        <w:rPr>
          <w:szCs w:val="22"/>
          <w:lang w:val="en-US" w:eastAsia="ko-KR"/>
        </w:rPr>
      </w:pPr>
    </w:p>
    <w:p w:rsidR="00F91BE1" w:rsidRDefault="00F91BE1" w:rsidP="0094291F">
      <w:pPr>
        <w:overflowPunct/>
        <w:autoSpaceDE/>
        <w:autoSpaceDN/>
        <w:adjustRightInd/>
        <w:ind w:firstLine="360"/>
        <w:jc w:val="both"/>
        <w:textAlignment w:val="auto"/>
        <w:rPr>
          <w:lang w:val="en-GB"/>
        </w:rPr>
      </w:pPr>
      <w:r w:rsidRPr="00240793">
        <w:rPr>
          <w:lang w:val="en-GB"/>
        </w:rPr>
        <w:t xml:space="preserve">The </w:t>
      </w:r>
      <w:r>
        <w:rPr>
          <w:lang w:val="en-GB"/>
        </w:rPr>
        <w:t xml:space="preserve">Draft New </w:t>
      </w:r>
      <w:r w:rsidRPr="00C53CDA">
        <w:rPr>
          <w:lang w:val="en-GB"/>
        </w:rPr>
        <w:t xml:space="preserve">Recommendation </w:t>
      </w:r>
      <w:r>
        <w:rPr>
          <w:lang w:val="en-GB"/>
        </w:rPr>
        <w:t>can be found at:</w:t>
      </w:r>
    </w:p>
    <w:p w:rsidR="00F91BE1" w:rsidRDefault="00F91BE1" w:rsidP="0094291F">
      <w:pPr>
        <w:overflowPunct/>
        <w:autoSpaceDE/>
        <w:autoSpaceDN/>
        <w:adjustRightInd/>
        <w:ind w:firstLine="360"/>
        <w:jc w:val="both"/>
        <w:textAlignment w:val="auto"/>
        <w:rPr>
          <w:lang w:val="en-GB"/>
        </w:rPr>
      </w:pPr>
      <w:hyperlink r:id="rId12" w:history="1">
        <w:r w:rsidRPr="00DF78F3">
          <w:rPr>
            <w:rStyle w:val="Hyperlink"/>
            <w:lang w:val="en-GB"/>
          </w:rPr>
          <w:t>http://www.itu.int/md/R07-WP5D-110707-TD-0537/en</w:t>
        </w:r>
      </w:hyperlink>
    </w:p>
    <w:p w:rsidR="00F91BE1" w:rsidRPr="0094291F" w:rsidRDefault="00F91BE1" w:rsidP="009E5FD1">
      <w:pPr>
        <w:overflowPunct/>
        <w:autoSpaceDE/>
        <w:autoSpaceDN/>
        <w:adjustRightInd/>
        <w:ind w:left="708"/>
        <w:jc w:val="both"/>
        <w:textAlignment w:val="auto"/>
        <w:rPr>
          <w:lang w:val="en-GB"/>
        </w:rPr>
      </w:pPr>
    </w:p>
    <w:p w:rsidR="00F91BE1" w:rsidRPr="00775E4D" w:rsidRDefault="00F91BE1" w:rsidP="009E5FD1">
      <w:pPr>
        <w:numPr>
          <w:ilvl w:val="0"/>
          <w:numId w:val="1"/>
        </w:numPr>
        <w:overflowPunct/>
        <w:autoSpaceDE/>
        <w:autoSpaceDN/>
        <w:adjustRightInd/>
        <w:jc w:val="both"/>
        <w:textAlignment w:val="auto"/>
        <w:rPr>
          <w:u w:val="single"/>
          <w:lang w:val="en-GB"/>
        </w:rPr>
      </w:pPr>
      <w:r w:rsidRPr="002A6635">
        <w:rPr>
          <w:b/>
          <w:i/>
          <w:szCs w:val="22"/>
          <w:lang w:val="en-US" w:eastAsia="ko-KR"/>
        </w:rPr>
        <w:t xml:space="preserve">Working document towards </w:t>
      </w:r>
      <w:r w:rsidRPr="00FF2B8A">
        <w:rPr>
          <w:b/>
          <w:i/>
          <w:szCs w:val="22"/>
          <w:lang w:val="en-US" w:eastAsia="ko-KR"/>
        </w:rPr>
        <w:t>PDNR ITU-R M. [</w:t>
      </w:r>
      <w:r w:rsidRPr="00FF2B8A">
        <w:rPr>
          <w:b/>
          <w:i/>
          <w:szCs w:val="22"/>
          <w:lang w:val="en-US"/>
        </w:rPr>
        <w:t>IMT.SHARING.UHF</w:t>
      </w:r>
      <w:r w:rsidRPr="00FF2B8A">
        <w:rPr>
          <w:b/>
          <w:i/>
          <w:szCs w:val="22"/>
          <w:lang w:val="en-US" w:eastAsia="ko-KR"/>
        </w:rPr>
        <w:t>]</w:t>
      </w:r>
      <w:r>
        <w:rPr>
          <w:lang w:val="en-GB"/>
        </w:rPr>
        <w:t>: this issue was deeply discussed at the last meeting. The fixed service was withdrawn from the scope of the document, no interest being shown on that subject. According to a liaison statement from WP 5A, it was decided to include the studies involving PPDR and LTE (both directions). The chapter relating to broadcasting was streamlined. The studies involving LTE TDD and LTE FDD operating in adjacent band were kept, following a request of a sector member. With regard to the scenarios ARNS</w:t>
      </w:r>
      <w:r w:rsidRPr="00775E4D">
        <w:rPr>
          <w:szCs w:val="22"/>
          <w:lang w:val="en-GB"/>
        </w:rPr>
        <w:sym w:font="Wingdings" w:char="F0E0"/>
      </w:r>
      <w:r>
        <w:rPr>
          <w:lang w:val="en-GB"/>
        </w:rPr>
        <w:t xml:space="preserve">LTE, the studies carried by CEPT at 2700 MHz were mentioned. </w:t>
      </w:r>
      <w:r w:rsidRPr="00775E4D">
        <w:rPr>
          <w:u w:val="single"/>
          <w:lang w:val="en-GB"/>
        </w:rPr>
        <w:t>It may be appropriate that CEPT contribute to WP 5D on such a scenario</w:t>
      </w:r>
      <w:r>
        <w:rPr>
          <w:u w:val="single"/>
          <w:lang w:val="en-GB"/>
        </w:rPr>
        <w:t>.</w:t>
      </w:r>
    </w:p>
    <w:p w:rsidR="00F91BE1" w:rsidRDefault="00F91BE1" w:rsidP="0052434E">
      <w:pPr>
        <w:overflowPunct/>
        <w:autoSpaceDE/>
        <w:autoSpaceDN/>
        <w:adjustRightInd/>
        <w:jc w:val="both"/>
        <w:textAlignment w:val="auto"/>
        <w:rPr>
          <w:lang w:val="en-GB"/>
        </w:rPr>
      </w:pPr>
    </w:p>
    <w:p w:rsidR="00F91BE1" w:rsidRDefault="00F91BE1" w:rsidP="000724FA">
      <w:pPr>
        <w:overflowPunct/>
        <w:autoSpaceDE/>
        <w:autoSpaceDN/>
        <w:adjustRightInd/>
        <w:ind w:left="360"/>
        <w:jc w:val="both"/>
        <w:textAlignment w:val="auto"/>
        <w:rPr>
          <w:lang w:val="en-GB"/>
        </w:rPr>
      </w:pPr>
      <w:r w:rsidRPr="00240793">
        <w:rPr>
          <w:lang w:val="en-GB"/>
        </w:rPr>
        <w:t xml:space="preserve">The </w:t>
      </w:r>
      <w:r>
        <w:rPr>
          <w:lang w:val="en-GB"/>
        </w:rPr>
        <w:t>working document</w:t>
      </w:r>
      <w:r w:rsidRPr="00C53CDA">
        <w:rPr>
          <w:lang w:val="en-GB"/>
        </w:rPr>
        <w:t xml:space="preserve"> </w:t>
      </w:r>
      <w:r>
        <w:rPr>
          <w:lang w:val="en-GB"/>
        </w:rPr>
        <w:t>can be found at:</w:t>
      </w:r>
      <w:r w:rsidRPr="000724FA">
        <w:rPr>
          <w:lang w:val="en-GB"/>
        </w:rPr>
        <w:t xml:space="preserve"> </w:t>
      </w:r>
    </w:p>
    <w:p w:rsidR="00F91BE1" w:rsidRDefault="00F91BE1" w:rsidP="000724FA">
      <w:pPr>
        <w:overflowPunct/>
        <w:autoSpaceDE/>
        <w:autoSpaceDN/>
        <w:adjustRightInd/>
        <w:ind w:left="360"/>
        <w:jc w:val="both"/>
        <w:textAlignment w:val="auto"/>
        <w:rPr>
          <w:lang w:val="en-GB"/>
        </w:rPr>
      </w:pPr>
      <w:hyperlink r:id="rId13" w:history="1">
        <w:r w:rsidRPr="00DF78F3">
          <w:rPr>
            <w:rStyle w:val="Hyperlink"/>
            <w:lang w:val="en-GB"/>
          </w:rPr>
          <w:t>http://www.itu.int/md/R07-WP5D-110707-TD-0535/en</w:t>
        </w:r>
      </w:hyperlink>
    </w:p>
    <w:p w:rsidR="00F91BE1" w:rsidRDefault="00F91BE1" w:rsidP="000724FA">
      <w:pPr>
        <w:overflowPunct/>
        <w:autoSpaceDE/>
        <w:autoSpaceDN/>
        <w:adjustRightInd/>
        <w:ind w:left="360"/>
        <w:jc w:val="both"/>
        <w:textAlignment w:val="auto"/>
        <w:rPr>
          <w:lang w:val="en-GB"/>
        </w:rPr>
      </w:pPr>
    </w:p>
    <w:p w:rsidR="00F91BE1" w:rsidRPr="00775E4D" w:rsidRDefault="00F91BE1" w:rsidP="000724FA">
      <w:pPr>
        <w:overflowPunct/>
        <w:autoSpaceDE/>
        <w:autoSpaceDN/>
        <w:adjustRightInd/>
        <w:ind w:left="360"/>
        <w:jc w:val="both"/>
        <w:textAlignment w:val="auto"/>
        <w:rPr>
          <w:lang w:val="en-GB"/>
        </w:rPr>
      </w:pPr>
      <w:r>
        <w:rPr>
          <w:lang w:val="en-GB"/>
        </w:rPr>
        <w:t>Besides this drafting activity, an analysis of a number of working documents prepared by WP 6A was carried out. The concerned documents are listed in the annex to that report. Two liaison statements were sent to WP 6A to provide the comments from WP 5D: one specific on the “compendium” (stating that converting the compendium into an ITU-R Report was definitely inappropriate) and one on the other working documents.</w:t>
      </w:r>
    </w:p>
    <w:p w:rsidR="00F91BE1" w:rsidRDefault="00F91BE1" w:rsidP="00441ADC">
      <w:pPr>
        <w:jc w:val="both"/>
        <w:rPr>
          <w:lang w:val="en-GB"/>
        </w:rPr>
      </w:pPr>
    </w:p>
    <w:p w:rsidR="00F91BE1" w:rsidRPr="00A23996" w:rsidRDefault="00F91BE1" w:rsidP="005E2735">
      <w:pPr>
        <w:ind w:left="-426"/>
        <w:rPr>
          <w:u w:val="single"/>
          <w:lang w:val="en-US"/>
        </w:rPr>
      </w:pPr>
      <w:r>
        <w:rPr>
          <w:u w:val="single"/>
          <w:lang w:val="en-US"/>
        </w:rPr>
        <w:t>3- WP 5D: General aspects</w:t>
      </w:r>
    </w:p>
    <w:p w:rsidR="00F91BE1" w:rsidRDefault="00F91BE1" w:rsidP="005E2735">
      <w:pPr>
        <w:ind w:left="294"/>
        <w:rPr>
          <w:lang w:val="en-US"/>
        </w:rPr>
      </w:pPr>
    </w:p>
    <w:p w:rsidR="00F91BE1" w:rsidRDefault="00F91BE1" w:rsidP="00441ADC">
      <w:pPr>
        <w:numPr>
          <w:ilvl w:val="0"/>
          <w:numId w:val="1"/>
        </w:numPr>
        <w:overflowPunct/>
        <w:autoSpaceDE/>
        <w:autoSpaceDN/>
        <w:adjustRightInd/>
        <w:jc w:val="both"/>
        <w:textAlignment w:val="auto"/>
        <w:rPr>
          <w:lang w:val="en-GB"/>
        </w:rPr>
      </w:pPr>
      <w:r w:rsidRPr="00FF2B8A">
        <w:rPr>
          <w:b/>
          <w:i/>
          <w:lang w:val="en-GB"/>
        </w:rPr>
        <w:t>IMT.UPDATE</w:t>
      </w:r>
      <w:r>
        <w:rPr>
          <w:lang w:val="en-GB"/>
        </w:rPr>
        <w:t>: the working document has been further developed. The main body has been shortened and streamlined and a lot of information has been put in annexes. The contents of the main body and these annexes are to be further developed by correspondence.</w:t>
      </w:r>
    </w:p>
    <w:p w:rsidR="00F91BE1" w:rsidRDefault="00F91BE1" w:rsidP="00441ADC">
      <w:pPr>
        <w:overflowPunct/>
        <w:autoSpaceDE/>
        <w:autoSpaceDN/>
        <w:adjustRightInd/>
        <w:ind w:left="360"/>
        <w:jc w:val="both"/>
        <w:textAlignment w:val="auto"/>
        <w:rPr>
          <w:lang w:val="en-GB"/>
        </w:rPr>
      </w:pPr>
      <w:r>
        <w:rPr>
          <w:lang w:val="en-GB"/>
        </w:rPr>
        <w:t xml:space="preserve">The working document can be found at </w:t>
      </w:r>
      <w:hyperlink r:id="rId14" w:history="1">
        <w:r w:rsidRPr="00DF78F3">
          <w:rPr>
            <w:rStyle w:val="Hyperlink"/>
            <w:lang w:val="en-GB"/>
          </w:rPr>
          <w:t>http://www.itu.int/md/R07-WP5D-110707-TD-0566/en</w:t>
        </w:r>
      </w:hyperlink>
    </w:p>
    <w:p w:rsidR="00F91BE1" w:rsidRPr="00D746CF" w:rsidRDefault="00F91BE1" w:rsidP="00441ADC">
      <w:pPr>
        <w:overflowPunct/>
        <w:autoSpaceDE/>
        <w:autoSpaceDN/>
        <w:adjustRightInd/>
        <w:ind w:left="360"/>
        <w:jc w:val="both"/>
        <w:textAlignment w:val="auto"/>
        <w:rPr>
          <w:lang w:val="en-GB"/>
        </w:rPr>
      </w:pPr>
      <w:r>
        <w:rPr>
          <w:lang w:val="en-GB"/>
        </w:rPr>
        <w:t>The output of the correspondence group will be posted on the ITU-R website by 5 September 2011 so as to give sufficient time to Administrations/Sector members to review the document prior to the next meeting.</w:t>
      </w:r>
    </w:p>
    <w:p w:rsidR="00F91BE1" w:rsidRDefault="00F91BE1" w:rsidP="00DB12C7">
      <w:pPr>
        <w:overflowPunct/>
        <w:autoSpaceDE/>
        <w:autoSpaceDN/>
        <w:adjustRightInd/>
        <w:ind w:left="330"/>
        <w:jc w:val="both"/>
        <w:textAlignment w:val="auto"/>
        <w:rPr>
          <w:lang w:val="en-GB" w:eastAsia="zh-CN"/>
        </w:rPr>
      </w:pPr>
    </w:p>
    <w:p w:rsidR="00F91BE1" w:rsidRDefault="00F91BE1" w:rsidP="008E25A2">
      <w:pPr>
        <w:numPr>
          <w:ilvl w:val="0"/>
          <w:numId w:val="1"/>
        </w:numPr>
        <w:jc w:val="both"/>
        <w:rPr>
          <w:rStyle w:val="observation"/>
          <w:lang w:val="en-GB"/>
        </w:rPr>
      </w:pPr>
      <w:r>
        <w:rPr>
          <w:b/>
          <w:i/>
          <w:lang w:val="en-GB" w:eastAsia="zh-CN"/>
        </w:rPr>
        <w:t>Handbooks</w:t>
      </w:r>
      <w:r>
        <w:rPr>
          <w:lang w:val="en-GB" w:eastAsia="zh-CN"/>
        </w:rPr>
        <w:t>: few activity on that matter; the working document was not modified this time. Completion scheduled in 2013.</w:t>
      </w:r>
    </w:p>
    <w:p w:rsidR="00F91BE1" w:rsidRPr="00CF4985" w:rsidRDefault="00F91BE1" w:rsidP="002A6635">
      <w:pPr>
        <w:ind w:left="360"/>
        <w:jc w:val="both"/>
        <w:rPr>
          <w:rStyle w:val="observation"/>
          <w:lang w:val="en-GB"/>
        </w:rPr>
      </w:pPr>
    </w:p>
    <w:p w:rsidR="00F91BE1" w:rsidRPr="00A23996" w:rsidRDefault="00F91BE1" w:rsidP="00086C2C">
      <w:pPr>
        <w:ind w:left="-426"/>
        <w:rPr>
          <w:u w:val="single"/>
          <w:lang w:val="en-US"/>
        </w:rPr>
      </w:pPr>
      <w:r>
        <w:rPr>
          <w:u w:val="single"/>
          <w:lang w:val="en-US"/>
        </w:rPr>
        <w:t>4- Regional workshops “IMT for the next decade”</w:t>
      </w:r>
    </w:p>
    <w:p w:rsidR="00F91BE1" w:rsidRDefault="00F91BE1" w:rsidP="002A6635">
      <w:pPr>
        <w:ind w:left="360"/>
        <w:jc w:val="both"/>
        <w:rPr>
          <w:rStyle w:val="observation"/>
          <w:lang w:val="en-GB"/>
        </w:rPr>
      </w:pPr>
    </w:p>
    <w:p w:rsidR="00F91BE1" w:rsidRPr="002E781B" w:rsidRDefault="00F91BE1" w:rsidP="00086C2C">
      <w:pPr>
        <w:ind w:left="360"/>
        <w:jc w:val="both"/>
        <w:rPr>
          <w:lang w:val="en-GB"/>
        </w:rPr>
      </w:pPr>
      <w:r>
        <w:rPr>
          <w:lang w:val="en-GB" w:eastAsia="zh-CN"/>
        </w:rPr>
        <w:t xml:space="preserve">The remaining workshops are as follows: </w:t>
      </w:r>
    </w:p>
    <w:p w:rsidR="00F91BE1" w:rsidRPr="002E781B" w:rsidRDefault="00F91BE1" w:rsidP="00086C2C">
      <w:pPr>
        <w:overflowPunct/>
        <w:autoSpaceDE/>
        <w:autoSpaceDN/>
        <w:adjustRightInd/>
        <w:ind w:left="360"/>
        <w:jc w:val="both"/>
        <w:textAlignment w:val="auto"/>
        <w:rPr>
          <w:lang w:val="en-GB" w:eastAsia="zh-CN"/>
        </w:rPr>
      </w:pPr>
    </w:p>
    <w:p w:rsidR="00F91BE1" w:rsidRPr="002E781B" w:rsidRDefault="00F91BE1" w:rsidP="00086C2C">
      <w:pPr>
        <w:numPr>
          <w:ilvl w:val="0"/>
          <w:numId w:val="1"/>
        </w:numPr>
        <w:overflowPunct/>
        <w:autoSpaceDE/>
        <w:autoSpaceDN/>
        <w:adjustRightInd/>
        <w:jc w:val="both"/>
        <w:textAlignment w:val="auto"/>
        <w:rPr>
          <w:lang w:val="en-GB" w:eastAsia="zh-CN"/>
        </w:rPr>
      </w:pPr>
      <w:r>
        <w:rPr>
          <w:lang w:val="en-GB" w:eastAsia="zh-CN"/>
        </w:rPr>
        <w:t>for Region 1:</w:t>
      </w:r>
    </w:p>
    <w:tbl>
      <w:tblPr>
        <w:tblW w:w="856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3845"/>
        <w:gridCol w:w="3300"/>
      </w:tblGrid>
      <w:tr w:rsidR="00F91BE1" w:rsidRPr="006E6066" w:rsidTr="00EB44A1">
        <w:tc>
          <w:tcPr>
            <w:tcW w:w="1418" w:type="dxa"/>
            <w:shd w:val="clear" w:color="auto" w:fill="FFFF00"/>
            <w:vAlign w:val="center"/>
          </w:tcPr>
          <w:p w:rsidR="00F91BE1" w:rsidRPr="006E6066" w:rsidRDefault="00F91BE1" w:rsidP="00BC13B4">
            <w:pPr>
              <w:jc w:val="center"/>
              <w:rPr>
                <w:b/>
              </w:rPr>
            </w:pPr>
            <w:r w:rsidRPr="006E6066">
              <w:rPr>
                <w:b/>
              </w:rPr>
              <w:t>R1  Events</w:t>
            </w:r>
          </w:p>
        </w:tc>
        <w:tc>
          <w:tcPr>
            <w:tcW w:w="3845" w:type="dxa"/>
            <w:shd w:val="clear" w:color="auto" w:fill="FFFF00"/>
            <w:vAlign w:val="center"/>
          </w:tcPr>
          <w:p w:rsidR="00F91BE1" w:rsidRPr="006E6066" w:rsidRDefault="00F91BE1" w:rsidP="00BC13B4">
            <w:pPr>
              <w:jc w:val="center"/>
              <w:rPr>
                <w:b/>
              </w:rPr>
            </w:pPr>
            <w:r w:rsidRPr="006E6066">
              <w:rPr>
                <w:b/>
              </w:rPr>
              <w:t>Dates and Locations</w:t>
            </w:r>
          </w:p>
        </w:tc>
        <w:tc>
          <w:tcPr>
            <w:tcW w:w="3300" w:type="dxa"/>
            <w:shd w:val="clear" w:color="auto" w:fill="FFFF00"/>
            <w:vAlign w:val="center"/>
          </w:tcPr>
          <w:p w:rsidR="00F91BE1" w:rsidRPr="006E6066" w:rsidRDefault="00F91BE1" w:rsidP="00BC13B4">
            <w:pPr>
              <w:jc w:val="center"/>
              <w:rPr>
                <w:b/>
              </w:rPr>
            </w:pPr>
            <w:r w:rsidRPr="006E6066">
              <w:rPr>
                <w:b/>
              </w:rPr>
              <w:t>STATUS</w:t>
            </w:r>
          </w:p>
        </w:tc>
      </w:tr>
      <w:tr w:rsidR="00F91BE1" w:rsidRPr="006E6066" w:rsidTr="00EB44A1">
        <w:tc>
          <w:tcPr>
            <w:tcW w:w="1418" w:type="dxa"/>
            <w:shd w:val="clear" w:color="auto" w:fill="FFFF00"/>
            <w:vAlign w:val="center"/>
          </w:tcPr>
          <w:p w:rsidR="00F91BE1" w:rsidRPr="006E6066" w:rsidRDefault="00F91BE1" w:rsidP="00BC13B4">
            <w:pPr>
              <w:jc w:val="center"/>
              <w:rPr>
                <w:b/>
              </w:rPr>
            </w:pPr>
            <w:r w:rsidRPr="006E6066">
              <w:rPr>
                <w:b/>
              </w:rPr>
              <w:t>RCC</w:t>
            </w:r>
          </w:p>
        </w:tc>
        <w:tc>
          <w:tcPr>
            <w:tcW w:w="3845" w:type="dxa"/>
          </w:tcPr>
          <w:p w:rsidR="00F91BE1" w:rsidRPr="006E6066" w:rsidRDefault="00F91BE1" w:rsidP="00BC13B4">
            <w:r w:rsidRPr="006E6066">
              <w:t>16 September 2011</w:t>
            </w:r>
          </w:p>
          <w:p w:rsidR="00F91BE1" w:rsidRPr="006E6066" w:rsidRDefault="00F91BE1" w:rsidP="00BC13B4">
            <w:pPr>
              <w:rPr>
                <w:b/>
              </w:rPr>
            </w:pPr>
            <w:smartTag w:uri="urn:schemas-microsoft-com:office:smarttags" w:element="country-region">
              <w:smartTag w:uri="urn:schemas-microsoft-com:office:smarttags" w:element="country-region">
                <w:r w:rsidRPr="006E6066">
                  <w:rPr>
                    <w:b/>
                  </w:rPr>
                  <w:t>Almaty</w:t>
                </w:r>
              </w:smartTag>
              <w:r w:rsidRPr="006E6066">
                <w:rPr>
                  <w:b/>
                </w:rPr>
                <w:t xml:space="preserve">, </w:t>
              </w:r>
              <w:smartTag w:uri="urn:schemas-microsoft-com:office:smarttags" w:element="country-region">
                <w:r w:rsidRPr="006E6066">
                  <w:rPr>
                    <w:b/>
                  </w:rPr>
                  <w:t>Kazakhstan</w:t>
                </w:r>
              </w:smartTag>
            </w:smartTag>
          </w:p>
        </w:tc>
        <w:tc>
          <w:tcPr>
            <w:tcW w:w="3300" w:type="dxa"/>
          </w:tcPr>
          <w:p w:rsidR="00F91BE1" w:rsidRPr="006E6066" w:rsidRDefault="00F91BE1" w:rsidP="00BC13B4">
            <w:pPr>
              <w:rPr>
                <w:b/>
              </w:rPr>
            </w:pPr>
            <w:r w:rsidRPr="006E6066">
              <w:rPr>
                <w:b/>
              </w:rPr>
              <w:t>Confirmed</w:t>
            </w:r>
          </w:p>
          <w:p w:rsidR="00F91BE1" w:rsidRPr="006E6066" w:rsidRDefault="00F91BE1" w:rsidP="00BC13B4">
            <w:r w:rsidRPr="006E6066">
              <w:t>45 minutes slot</w:t>
            </w:r>
          </w:p>
        </w:tc>
      </w:tr>
      <w:tr w:rsidR="00F91BE1" w:rsidRPr="006E6066" w:rsidTr="00EB44A1">
        <w:tc>
          <w:tcPr>
            <w:tcW w:w="1418" w:type="dxa"/>
            <w:shd w:val="clear" w:color="auto" w:fill="FFFF00"/>
            <w:vAlign w:val="center"/>
          </w:tcPr>
          <w:p w:rsidR="00F91BE1" w:rsidRPr="006E6066" w:rsidRDefault="00F91BE1" w:rsidP="00BC13B4">
            <w:pPr>
              <w:jc w:val="center"/>
              <w:rPr>
                <w:b/>
              </w:rPr>
            </w:pPr>
            <w:r w:rsidRPr="006E6066">
              <w:rPr>
                <w:b/>
              </w:rPr>
              <w:t>ASMG</w:t>
            </w:r>
          </w:p>
        </w:tc>
        <w:tc>
          <w:tcPr>
            <w:tcW w:w="3845" w:type="dxa"/>
          </w:tcPr>
          <w:p w:rsidR="00F91BE1" w:rsidRPr="007B317A" w:rsidRDefault="00F91BE1" w:rsidP="00BC13B4">
            <w:pPr>
              <w:rPr>
                <w:lang w:val="en-GB"/>
              </w:rPr>
            </w:pPr>
            <w:r>
              <w:rPr>
                <w:lang w:val="en-GB"/>
              </w:rPr>
              <w:t>5 October</w:t>
            </w:r>
            <w:r w:rsidRPr="007B317A">
              <w:rPr>
                <w:lang w:val="en-GB"/>
              </w:rPr>
              <w:t xml:space="preserve"> 2011 (</w:t>
            </w:r>
            <w:r>
              <w:rPr>
                <w:lang w:val="en-GB"/>
              </w:rPr>
              <w:t>TBC</w:t>
            </w:r>
            <w:r w:rsidRPr="007B317A">
              <w:rPr>
                <w:lang w:val="en-GB"/>
              </w:rPr>
              <w:t>)</w:t>
            </w:r>
          </w:p>
          <w:p w:rsidR="00F91BE1" w:rsidRPr="007B317A" w:rsidRDefault="00F91BE1" w:rsidP="00BC13B4">
            <w:pPr>
              <w:rPr>
                <w:b/>
                <w:lang w:val="en-GB"/>
              </w:rPr>
            </w:pPr>
            <w:r w:rsidRPr="007B317A">
              <w:rPr>
                <w:b/>
                <w:lang w:val="en-GB"/>
              </w:rPr>
              <w:t xml:space="preserve">Sharm El </w:t>
            </w:r>
            <w:smartTag w:uri="urn:schemas-microsoft-com:office:smarttags" w:element="City">
              <w:smartTag w:uri="urn:schemas-microsoft-com:office:smarttags" w:element="place">
                <w:smartTag w:uri="urn:schemas-microsoft-com:office:smarttags" w:element="City">
                  <w:r w:rsidRPr="007B317A">
                    <w:rPr>
                      <w:b/>
                      <w:lang w:val="en-GB"/>
                    </w:rPr>
                    <w:t>Sheikh</w:t>
                  </w:r>
                </w:smartTag>
                <w:r w:rsidRPr="007B317A">
                  <w:rPr>
                    <w:b/>
                    <w:lang w:val="en-GB"/>
                  </w:rPr>
                  <w:t xml:space="preserve">, </w:t>
                </w:r>
                <w:smartTag w:uri="urn:schemas-microsoft-com:office:smarttags" w:element="country-region">
                  <w:r w:rsidRPr="007B317A">
                    <w:rPr>
                      <w:b/>
                      <w:lang w:val="en-GB"/>
                    </w:rPr>
                    <w:t>Egypt</w:t>
                  </w:r>
                </w:smartTag>
              </w:smartTag>
            </w:smartTag>
          </w:p>
        </w:tc>
        <w:tc>
          <w:tcPr>
            <w:tcW w:w="3300" w:type="dxa"/>
          </w:tcPr>
          <w:p w:rsidR="00F91BE1" w:rsidRPr="007B317A" w:rsidRDefault="00F91BE1" w:rsidP="00BC13B4">
            <w:pPr>
              <w:rPr>
                <w:b/>
                <w:lang w:val="en-GB"/>
              </w:rPr>
            </w:pPr>
            <w:r w:rsidRPr="007B317A">
              <w:rPr>
                <w:b/>
                <w:lang w:val="en-GB"/>
              </w:rPr>
              <w:t xml:space="preserve">To be confirmed </w:t>
            </w:r>
          </w:p>
          <w:p w:rsidR="00F91BE1" w:rsidRPr="007B317A" w:rsidRDefault="00F91BE1" w:rsidP="00BC13B4">
            <w:pPr>
              <w:rPr>
                <w:lang w:val="en-GB"/>
              </w:rPr>
            </w:pPr>
            <w:r w:rsidRPr="007B317A">
              <w:rPr>
                <w:lang w:val="en-GB"/>
              </w:rPr>
              <w:t>1-2 hours slot</w:t>
            </w:r>
          </w:p>
        </w:tc>
      </w:tr>
    </w:tbl>
    <w:p w:rsidR="00F91BE1" w:rsidRDefault="00F91BE1" w:rsidP="00086C2C">
      <w:pPr>
        <w:overflowPunct/>
        <w:autoSpaceDE/>
        <w:autoSpaceDN/>
        <w:adjustRightInd/>
        <w:ind w:left="360"/>
        <w:jc w:val="both"/>
        <w:textAlignment w:val="auto"/>
        <w:rPr>
          <w:lang w:eastAsia="zh-CN"/>
        </w:rPr>
      </w:pPr>
    </w:p>
    <w:p w:rsidR="00F91BE1" w:rsidRDefault="00F91BE1" w:rsidP="00086C2C">
      <w:pPr>
        <w:numPr>
          <w:ilvl w:val="0"/>
          <w:numId w:val="1"/>
        </w:numPr>
        <w:jc w:val="both"/>
        <w:rPr>
          <w:lang w:val="en-GB"/>
        </w:rPr>
      </w:pPr>
      <w:r w:rsidRPr="002E781B">
        <w:rPr>
          <w:lang w:val="en-GB" w:eastAsia="zh-CN"/>
        </w:rPr>
        <w:t xml:space="preserve">for Region 2: one workshop is planned </w:t>
      </w:r>
      <w:r>
        <w:rPr>
          <w:lang w:val="en-GB" w:eastAsia="zh-CN"/>
        </w:rPr>
        <w:t>in conjunction with the</w:t>
      </w:r>
      <w:r w:rsidRPr="002E781B">
        <w:rPr>
          <w:lang w:val="en-GB" w:eastAsia="zh-CN"/>
        </w:rPr>
        <w:t xml:space="preserve"> November 2011 meeting of CITEL PCC.II</w:t>
      </w:r>
    </w:p>
    <w:p w:rsidR="00F91BE1" w:rsidRDefault="00F91BE1" w:rsidP="002E781B">
      <w:pPr>
        <w:jc w:val="both"/>
        <w:rPr>
          <w:lang w:val="en-GB" w:eastAsia="zh-CN"/>
        </w:rPr>
      </w:pPr>
    </w:p>
    <w:p w:rsidR="00F91BE1" w:rsidRPr="00356AE8" w:rsidRDefault="00F91BE1" w:rsidP="002E781B">
      <w:pPr>
        <w:jc w:val="both"/>
        <w:rPr>
          <w:lang w:val="en-GB"/>
        </w:rPr>
      </w:pPr>
    </w:p>
    <w:p w:rsidR="00F91BE1" w:rsidRPr="002E781B" w:rsidRDefault="00F91BE1" w:rsidP="00356AE8">
      <w:pPr>
        <w:jc w:val="both"/>
        <w:rPr>
          <w:lang w:val="en-GB" w:eastAsia="zh-CN"/>
        </w:rPr>
      </w:pPr>
    </w:p>
    <w:p w:rsidR="00F91BE1" w:rsidRDefault="00F91BE1" w:rsidP="002E781B">
      <w:pPr>
        <w:jc w:val="center"/>
        <w:rPr>
          <w:lang w:val="en-GB"/>
        </w:rPr>
      </w:pPr>
      <w:r>
        <w:rPr>
          <w:lang w:val="en-GB" w:eastAsia="zh-CN"/>
        </w:rPr>
        <w:t>____________________________</w:t>
      </w:r>
    </w:p>
    <w:p w:rsidR="00F91BE1" w:rsidRDefault="00F91BE1" w:rsidP="001F545D">
      <w:pPr>
        <w:jc w:val="center"/>
        <w:rPr>
          <w:lang w:val="en-GB"/>
        </w:rPr>
      </w:pPr>
      <w:r>
        <w:rPr>
          <w:lang w:val="en-GB"/>
        </w:rPr>
        <w:br w:type="page"/>
        <w:t>Annex: list of documents under preparation within WP 6A</w:t>
      </w:r>
    </w:p>
    <w:p w:rsidR="00F91BE1" w:rsidRDefault="00F91BE1" w:rsidP="001F545D">
      <w:pPr>
        <w:jc w:val="center"/>
        <w:rPr>
          <w:lang w:val="en-GB"/>
        </w:rPr>
      </w:pPr>
    </w:p>
    <w:p w:rsidR="00F91BE1" w:rsidRPr="0097116A" w:rsidRDefault="00F91BE1" w:rsidP="00775E4D">
      <w:pPr>
        <w:numPr>
          <w:ilvl w:val="0"/>
          <w:numId w:val="11"/>
        </w:numPr>
        <w:overflowPunct/>
        <w:autoSpaceDE/>
        <w:autoSpaceDN/>
        <w:adjustRightInd/>
        <w:jc w:val="both"/>
        <w:textAlignment w:val="auto"/>
        <w:rPr>
          <w:lang w:val="en-GB" w:eastAsia="ja-JP"/>
        </w:rPr>
      </w:pPr>
      <w:r w:rsidRPr="0097116A">
        <w:rPr>
          <w:lang w:val="en-GB" w:eastAsia="ja-JP"/>
        </w:rPr>
        <w:t xml:space="preserve">Document 6A/454 </w:t>
      </w:r>
      <w:r w:rsidRPr="0097116A">
        <w:rPr>
          <w:lang w:val="en-GB"/>
        </w:rPr>
        <w:t>(</w:t>
      </w:r>
      <w:r w:rsidRPr="0097116A">
        <w:rPr>
          <w:rStyle w:val="Strong"/>
          <w:b w:val="0"/>
          <w:bCs w:val="0"/>
          <w:lang w:val="en-GB"/>
        </w:rPr>
        <w:t>Annex 2)</w:t>
      </w:r>
      <w:r w:rsidRPr="0097116A">
        <w:rPr>
          <w:lang w:val="en-GB"/>
        </w:rPr>
        <w:t xml:space="preserve"> – Preliminary draft new Recommendation ITU-R BT.[IMTDTT] – Assessment of interference from co-primary co-channel and adjacent channels used by IMT base stations into the digital terrestrial broadcasting service in the UHF band.</w:t>
      </w:r>
    </w:p>
    <w:p w:rsidR="00F91BE1" w:rsidRPr="0097116A" w:rsidRDefault="00F91BE1" w:rsidP="00775E4D">
      <w:pPr>
        <w:numPr>
          <w:ilvl w:val="0"/>
          <w:numId w:val="12"/>
        </w:numPr>
        <w:overflowPunct/>
        <w:autoSpaceDE/>
        <w:autoSpaceDN/>
        <w:adjustRightInd/>
        <w:jc w:val="both"/>
        <w:textAlignment w:val="auto"/>
        <w:rPr>
          <w:lang w:val="en-GB" w:eastAsia="ja-JP"/>
        </w:rPr>
      </w:pPr>
      <w:r w:rsidRPr="0097116A">
        <w:rPr>
          <w:lang w:val="en-GB" w:eastAsia="ja-JP"/>
        </w:rPr>
        <w:t>Document 6A/454 (</w:t>
      </w:r>
      <w:r w:rsidRPr="0097116A">
        <w:rPr>
          <w:rStyle w:val="Strong"/>
          <w:b w:val="0"/>
          <w:bCs w:val="0"/>
          <w:lang w:val="en-GB"/>
        </w:rPr>
        <w:t>Annex 3)</w:t>
      </w:r>
      <w:r w:rsidRPr="0097116A">
        <w:rPr>
          <w:lang w:val="en-GB"/>
        </w:rPr>
        <w:t xml:space="preserve"> – Preliminary draft new Recommendation ITU-R BT.[PFDPROTECT] – Methodology for calculation of maximum [permissible] power flux-density limits for the protection of digital terrestrial television broadcasting services from interference generated by mobiles.</w:t>
      </w:r>
    </w:p>
    <w:p w:rsidR="00F91BE1" w:rsidRPr="0097116A" w:rsidRDefault="00F91BE1" w:rsidP="00775E4D">
      <w:pPr>
        <w:numPr>
          <w:ilvl w:val="0"/>
          <w:numId w:val="12"/>
        </w:numPr>
        <w:overflowPunct/>
        <w:autoSpaceDE/>
        <w:autoSpaceDN/>
        <w:adjustRightInd/>
        <w:jc w:val="both"/>
        <w:textAlignment w:val="auto"/>
        <w:rPr>
          <w:lang w:val="en-GB"/>
        </w:rPr>
      </w:pPr>
      <w:r w:rsidRPr="0097116A">
        <w:rPr>
          <w:lang w:val="en-GB" w:eastAsia="ja-JP"/>
        </w:rPr>
        <w:t xml:space="preserve">Document 6A/TEMP/275 </w:t>
      </w:r>
      <w:r w:rsidRPr="0097116A">
        <w:rPr>
          <w:lang w:val="en-GB"/>
        </w:rPr>
        <w:t>– Preliminary draft new Report – Field studies on compatibility between DTTB and IMT.</w:t>
      </w:r>
    </w:p>
    <w:p w:rsidR="00F91BE1" w:rsidRPr="0097116A" w:rsidRDefault="00F91BE1" w:rsidP="00775E4D">
      <w:pPr>
        <w:numPr>
          <w:ilvl w:val="0"/>
          <w:numId w:val="12"/>
        </w:numPr>
        <w:overflowPunct/>
        <w:autoSpaceDE/>
        <w:autoSpaceDN/>
        <w:adjustRightInd/>
        <w:jc w:val="both"/>
        <w:textAlignment w:val="auto"/>
        <w:rPr>
          <w:lang w:val="en-GB"/>
        </w:rPr>
      </w:pPr>
      <w:r w:rsidRPr="0097116A">
        <w:rPr>
          <w:lang w:val="en-GB" w:eastAsia="ja-JP"/>
        </w:rPr>
        <w:t xml:space="preserve">Document </w:t>
      </w:r>
      <w:r w:rsidRPr="0097116A">
        <w:rPr>
          <w:lang w:val="en-GB"/>
        </w:rPr>
        <w:t>6A/TEMP/269 – Preliminary draft new Report – The protection of digital television broadcasting in response to Resolution 224 (Rev.WRC-07).</w:t>
      </w:r>
    </w:p>
    <w:p w:rsidR="00F91BE1" w:rsidRPr="0097116A" w:rsidRDefault="00F91BE1" w:rsidP="00775E4D">
      <w:pPr>
        <w:numPr>
          <w:ilvl w:val="0"/>
          <w:numId w:val="12"/>
        </w:numPr>
        <w:overflowPunct/>
        <w:autoSpaceDE/>
        <w:autoSpaceDN/>
        <w:adjustRightInd/>
        <w:jc w:val="both"/>
        <w:textAlignment w:val="auto"/>
        <w:rPr>
          <w:lang w:val="en-GB"/>
        </w:rPr>
      </w:pPr>
      <w:r w:rsidRPr="0097116A">
        <w:rPr>
          <w:lang w:val="en-GB"/>
        </w:rPr>
        <w:t>Document 6A/TEMP/273 – Preliminary draft new Report ITU-R BT.[COMPENDIUM] - Studies on the use of the band 790-862 MHz by mobile applications and by primary services.</w:t>
      </w:r>
    </w:p>
    <w:p w:rsidR="00F91BE1" w:rsidRPr="005B1BEF" w:rsidRDefault="00F91BE1" w:rsidP="00775E4D">
      <w:pPr>
        <w:numPr>
          <w:ilvl w:val="0"/>
          <w:numId w:val="12"/>
        </w:numPr>
        <w:overflowPunct/>
        <w:autoSpaceDE/>
        <w:autoSpaceDN/>
        <w:adjustRightInd/>
        <w:jc w:val="both"/>
        <w:textAlignment w:val="auto"/>
        <w:rPr>
          <w:lang w:val="en-GB" w:eastAsia="ja-JP"/>
        </w:rPr>
      </w:pPr>
      <w:r w:rsidRPr="005B1BEF">
        <w:rPr>
          <w:lang w:val="en-GB" w:eastAsia="ja-JP"/>
        </w:rPr>
        <w:t xml:space="preserve">Document </w:t>
      </w:r>
      <w:r w:rsidRPr="005B1BEF">
        <w:rPr>
          <w:lang w:val="en-GB"/>
        </w:rPr>
        <w:t>6A/TEMP/274 – Working document toward a preliminary draft new Report – Guidelines for administrations on dealing with coexistence between mobile service including IMT systems, where identified in the Radio Regulations, and TV broadcasting services in response to Resolution 224 (Rev.WRC-07).</w:t>
      </w:r>
    </w:p>
    <w:p w:rsidR="00F91BE1" w:rsidRPr="005B1BEF" w:rsidRDefault="00F91BE1" w:rsidP="00775E4D">
      <w:pPr>
        <w:numPr>
          <w:ilvl w:val="0"/>
          <w:numId w:val="12"/>
        </w:numPr>
        <w:overflowPunct/>
        <w:autoSpaceDE/>
        <w:autoSpaceDN/>
        <w:adjustRightInd/>
        <w:jc w:val="both"/>
        <w:textAlignment w:val="auto"/>
        <w:rPr>
          <w:lang w:val="en-GB" w:eastAsia="ja-JP"/>
        </w:rPr>
      </w:pPr>
      <w:r w:rsidRPr="005B1BEF">
        <w:rPr>
          <w:lang w:val="en-GB" w:eastAsia="ja-JP"/>
        </w:rPr>
        <w:t xml:space="preserve">[Document 6A/TEMP/276] – </w:t>
      </w:r>
      <w:r w:rsidRPr="005B1BEF">
        <w:rPr>
          <w:lang w:val="en-GB" w:eastAsia="zh-CN"/>
        </w:rPr>
        <w:t>Working document towards a preliminary draft new Report ITU</w:t>
      </w:r>
      <w:r w:rsidRPr="005B1BEF">
        <w:rPr>
          <w:lang w:val="en-GB" w:eastAsia="zh-CN"/>
        </w:rPr>
        <w:noBreakHyphen/>
        <w:t xml:space="preserve">R BT.[DTTBGUIDELINE] – </w:t>
      </w:r>
      <w:r>
        <w:rPr>
          <w:lang w:val="en-US"/>
        </w:rPr>
        <w:t>Guidelines to assess co- and adjacent channel interference into the broadcasting service from other services having frequency allocations in the bands allocated to broadcasting.</w:t>
      </w:r>
    </w:p>
    <w:p w:rsidR="00F91BE1" w:rsidRDefault="00F91BE1" w:rsidP="001F545D">
      <w:pPr>
        <w:jc w:val="center"/>
        <w:rPr>
          <w:lang w:val="en-GB"/>
        </w:rPr>
      </w:pPr>
    </w:p>
    <w:sectPr w:rsidR="00F91BE1" w:rsidSect="000B4CC0">
      <w:pgSz w:w="11906" w:h="16838"/>
      <w:pgMar w:top="1417" w:right="1417" w:bottom="1134" w:left="1417"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BE1" w:rsidRDefault="00F91BE1">
      <w:r>
        <w:separator/>
      </w:r>
    </w:p>
  </w:endnote>
  <w:endnote w:type="continuationSeparator" w:id="0">
    <w:p w:rsidR="00F91BE1" w:rsidRDefault="00F91B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l?r ??fc"/>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BE1" w:rsidRDefault="00F91BE1">
      <w:r>
        <w:separator/>
      </w:r>
    </w:p>
  </w:footnote>
  <w:footnote w:type="continuationSeparator" w:id="0">
    <w:p w:rsidR="00F91BE1" w:rsidRDefault="00F91B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0C61"/>
    <w:multiLevelType w:val="hybridMultilevel"/>
    <w:tmpl w:val="D7F0C46A"/>
    <w:lvl w:ilvl="0" w:tplc="040C0001">
      <w:start w:val="1"/>
      <w:numFmt w:val="bullet"/>
      <w:lvlText w:val=""/>
      <w:lvlJc w:val="left"/>
      <w:pPr>
        <w:tabs>
          <w:tab w:val="num" w:pos="294"/>
        </w:tabs>
        <w:ind w:left="294" w:hanging="360"/>
      </w:pPr>
      <w:rPr>
        <w:rFonts w:ascii="Symbol" w:hAnsi="Symbol" w:hint="default"/>
      </w:rPr>
    </w:lvl>
    <w:lvl w:ilvl="1" w:tplc="040C0003">
      <w:start w:val="1"/>
      <w:numFmt w:val="bullet"/>
      <w:lvlText w:val="o"/>
      <w:lvlJc w:val="left"/>
      <w:pPr>
        <w:tabs>
          <w:tab w:val="num" w:pos="1014"/>
        </w:tabs>
        <w:ind w:left="1014" w:hanging="360"/>
      </w:pPr>
      <w:rPr>
        <w:rFonts w:ascii="Courier New" w:hAnsi="Courier New" w:hint="default"/>
      </w:rPr>
    </w:lvl>
    <w:lvl w:ilvl="2" w:tplc="040C0005">
      <w:start w:val="1"/>
      <w:numFmt w:val="bullet"/>
      <w:lvlText w:val=""/>
      <w:lvlJc w:val="left"/>
      <w:pPr>
        <w:tabs>
          <w:tab w:val="num" w:pos="1734"/>
        </w:tabs>
        <w:ind w:left="1734" w:hanging="360"/>
      </w:pPr>
      <w:rPr>
        <w:rFonts w:ascii="Wingdings" w:hAnsi="Wingdings" w:hint="default"/>
      </w:rPr>
    </w:lvl>
    <w:lvl w:ilvl="3" w:tplc="040C0001" w:tentative="1">
      <w:start w:val="1"/>
      <w:numFmt w:val="bullet"/>
      <w:lvlText w:val=""/>
      <w:lvlJc w:val="left"/>
      <w:pPr>
        <w:tabs>
          <w:tab w:val="num" w:pos="2454"/>
        </w:tabs>
        <w:ind w:left="2454" w:hanging="360"/>
      </w:pPr>
      <w:rPr>
        <w:rFonts w:ascii="Symbol" w:hAnsi="Symbol" w:hint="default"/>
      </w:rPr>
    </w:lvl>
    <w:lvl w:ilvl="4" w:tplc="040C0003" w:tentative="1">
      <w:start w:val="1"/>
      <w:numFmt w:val="bullet"/>
      <w:lvlText w:val="o"/>
      <w:lvlJc w:val="left"/>
      <w:pPr>
        <w:tabs>
          <w:tab w:val="num" w:pos="3174"/>
        </w:tabs>
        <w:ind w:left="3174" w:hanging="360"/>
      </w:pPr>
      <w:rPr>
        <w:rFonts w:ascii="Courier New" w:hAnsi="Courier New" w:hint="default"/>
      </w:rPr>
    </w:lvl>
    <w:lvl w:ilvl="5" w:tplc="040C0005" w:tentative="1">
      <w:start w:val="1"/>
      <w:numFmt w:val="bullet"/>
      <w:lvlText w:val=""/>
      <w:lvlJc w:val="left"/>
      <w:pPr>
        <w:tabs>
          <w:tab w:val="num" w:pos="3894"/>
        </w:tabs>
        <w:ind w:left="3894" w:hanging="360"/>
      </w:pPr>
      <w:rPr>
        <w:rFonts w:ascii="Wingdings" w:hAnsi="Wingdings" w:hint="default"/>
      </w:rPr>
    </w:lvl>
    <w:lvl w:ilvl="6" w:tplc="040C0001" w:tentative="1">
      <w:start w:val="1"/>
      <w:numFmt w:val="bullet"/>
      <w:lvlText w:val=""/>
      <w:lvlJc w:val="left"/>
      <w:pPr>
        <w:tabs>
          <w:tab w:val="num" w:pos="4614"/>
        </w:tabs>
        <w:ind w:left="4614" w:hanging="360"/>
      </w:pPr>
      <w:rPr>
        <w:rFonts w:ascii="Symbol" w:hAnsi="Symbol" w:hint="default"/>
      </w:rPr>
    </w:lvl>
    <w:lvl w:ilvl="7" w:tplc="040C0003" w:tentative="1">
      <w:start w:val="1"/>
      <w:numFmt w:val="bullet"/>
      <w:lvlText w:val="o"/>
      <w:lvlJc w:val="left"/>
      <w:pPr>
        <w:tabs>
          <w:tab w:val="num" w:pos="5334"/>
        </w:tabs>
        <w:ind w:left="5334" w:hanging="360"/>
      </w:pPr>
      <w:rPr>
        <w:rFonts w:ascii="Courier New" w:hAnsi="Courier New" w:hint="default"/>
      </w:rPr>
    </w:lvl>
    <w:lvl w:ilvl="8" w:tplc="040C0005" w:tentative="1">
      <w:start w:val="1"/>
      <w:numFmt w:val="bullet"/>
      <w:lvlText w:val=""/>
      <w:lvlJc w:val="left"/>
      <w:pPr>
        <w:tabs>
          <w:tab w:val="num" w:pos="6054"/>
        </w:tabs>
        <w:ind w:left="6054" w:hanging="360"/>
      </w:pPr>
      <w:rPr>
        <w:rFonts w:ascii="Wingdings" w:hAnsi="Wingdings" w:hint="default"/>
      </w:rPr>
    </w:lvl>
  </w:abstractNum>
  <w:abstractNum w:abstractNumId="1">
    <w:nsid w:val="08501D3B"/>
    <w:multiLevelType w:val="hybridMultilevel"/>
    <w:tmpl w:val="3E1AFBDC"/>
    <w:lvl w:ilvl="0" w:tplc="040C0001">
      <w:start w:val="1"/>
      <w:numFmt w:val="bullet"/>
      <w:lvlText w:val=""/>
      <w:lvlJc w:val="left"/>
      <w:pPr>
        <w:tabs>
          <w:tab w:val="num" w:pos="720"/>
        </w:tabs>
        <w:ind w:left="720" w:hanging="360"/>
      </w:pPr>
      <w:rPr>
        <w:rFonts w:ascii="Symbol" w:hAnsi="Symbol" w:hint="default"/>
      </w:rPr>
    </w:lvl>
    <w:lvl w:ilvl="1" w:tplc="040C0001">
      <w:start w:val="1"/>
      <w:numFmt w:val="bullet"/>
      <w:lvlText w:val=""/>
      <w:lvlJc w:val="left"/>
      <w:pPr>
        <w:tabs>
          <w:tab w:val="num" w:pos="1440"/>
        </w:tabs>
        <w:ind w:left="1440" w:hanging="360"/>
      </w:pPr>
      <w:rPr>
        <w:rFonts w:ascii="Symbol" w:hAnsi="Symbol" w:hint="default"/>
      </w:rPr>
    </w:lvl>
    <w:lvl w:ilvl="2" w:tplc="109442EE">
      <w:start w:val="1"/>
      <w:numFmt w:val="decimal"/>
      <w:lvlText w:val="%3)"/>
      <w:lvlJc w:val="left"/>
      <w:pPr>
        <w:tabs>
          <w:tab w:val="num" w:pos="2340"/>
        </w:tabs>
        <w:ind w:left="2340" w:hanging="360"/>
      </w:pPr>
      <w:rPr>
        <w:rFonts w:cs="Times New Roman" w:hint="default"/>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
    <w:nsid w:val="1A851637"/>
    <w:multiLevelType w:val="hybridMultilevel"/>
    <w:tmpl w:val="CD5276FE"/>
    <w:lvl w:ilvl="0" w:tplc="040C0003">
      <w:start w:val="1"/>
      <w:numFmt w:val="bullet"/>
      <w:lvlText w:val="o"/>
      <w:lvlJc w:val="left"/>
      <w:pPr>
        <w:tabs>
          <w:tab w:val="num" w:pos="1068"/>
        </w:tabs>
        <w:ind w:left="1068" w:hanging="360"/>
      </w:pPr>
      <w:rPr>
        <w:rFonts w:ascii="Courier New" w:hAnsi="Courier New" w:hint="default"/>
      </w:rPr>
    </w:lvl>
    <w:lvl w:ilvl="1" w:tplc="040C000F">
      <w:start w:val="1"/>
      <w:numFmt w:val="decimal"/>
      <w:lvlText w:val="%2."/>
      <w:lvlJc w:val="left"/>
      <w:pPr>
        <w:tabs>
          <w:tab w:val="num" w:pos="1788"/>
        </w:tabs>
        <w:ind w:left="1788" w:hanging="360"/>
      </w:pPr>
      <w:rPr>
        <w:rFonts w:cs="Times New Roman" w:hint="default"/>
      </w:rPr>
    </w:lvl>
    <w:lvl w:ilvl="2" w:tplc="87568AE0">
      <w:start w:val="10"/>
      <w:numFmt w:val="decimal"/>
      <w:lvlText w:val="%3"/>
      <w:lvlJc w:val="left"/>
      <w:pPr>
        <w:tabs>
          <w:tab w:val="num" w:pos="2508"/>
        </w:tabs>
        <w:ind w:left="2508" w:hanging="360"/>
      </w:pPr>
      <w:rPr>
        <w:rFonts w:cs="Times New Roman"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
    <w:nsid w:val="1EDB700D"/>
    <w:multiLevelType w:val="hybridMultilevel"/>
    <w:tmpl w:val="9A04190A"/>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
    <w:nsid w:val="33AB56AD"/>
    <w:multiLevelType w:val="hybridMultilevel"/>
    <w:tmpl w:val="B6AA2452"/>
    <w:lvl w:ilvl="0" w:tplc="040C0001">
      <w:start w:val="1"/>
      <w:numFmt w:val="bullet"/>
      <w:lvlText w:val=""/>
      <w:lvlJc w:val="left"/>
      <w:pPr>
        <w:tabs>
          <w:tab w:val="num" w:pos="720"/>
        </w:tabs>
        <w:ind w:left="720" w:hanging="360"/>
      </w:pPr>
      <w:rPr>
        <w:rFonts w:ascii="Symbol" w:hAnsi="Symbol" w:hint="default"/>
      </w:rPr>
    </w:lvl>
    <w:lvl w:ilvl="1" w:tplc="040C0001">
      <w:start w:val="1"/>
      <w:numFmt w:val="bullet"/>
      <w:lvlText w:val=""/>
      <w:lvlJc w:val="left"/>
      <w:pPr>
        <w:tabs>
          <w:tab w:val="num" w:pos="1440"/>
        </w:tabs>
        <w:ind w:left="1440" w:hanging="360"/>
      </w:pPr>
      <w:rPr>
        <w:rFonts w:ascii="Symbol" w:hAnsi="Symbol" w:hint="default"/>
      </w:rPr>
    </w:lvl>
    <w:lvl w:ilvl="2" w:tplc="109442EE">
      <w:start w:val="1"/>
      <w:numFmt w:val="decimal"/>
      <w:lvlText w:val="%3)"/>
      <w:lvlJc w:val="left"/>
      <w:pPr>
        <w:tabs>
          <w:tab w:val="num" w:pos="2340"/>
        </w:tabs>
        <w:ind w:left="2340" w:hanging="360"/>
      </w:pPr>
      <w:rPr>
        <w:rFonts w:cs="Times New Roman" w:hint="default"/>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5">
    <w:nsid w:val="45C85D10"/>
    <w:multiLevelType w:val="hybridMultilevel"/>
    <w:tmpl w:val="E4DC9032"/>
    <w:lvl w:ilvl="0" w:tplc="040C0001">
      <w:start w:val="1"/>
      <w:numFmt w:val="bullet"/>
      <w:lvlText w:val=""/>
      <w:lvlJc w:val="left"/>
      <w:pPr>
        <w:tabs>
          <w:tab w:val="num" w:pos="1014"/>
        </w:tabs>
        <w:ind w:left="1014" w:hanging="360"/>
      </w:pPr>
      <w:rPr>
        <w:rFonts w:ascii="Symbol" w:hAnsi="Symbol" w:hint="default"/>
      </w:rPr>
    </w:lvl>
    <w:lvl w:ilvl="1" w:tplc="040C0003" w:tentative="1">
      <w:start w:val="1"/>
      <w:numFmt w:val="bullet"/>
      <w:lvlText w:val="o"/>
      <w:lvlJc w:val="left"/>
      <w:pPr>
        <w:tabs>
          <w:tab w:val="num" w:pos="1734"/>
        </w:tabs>
        <w:ind w:left="1734" w:hanging="360"/>
      </w:pPr>
      <w:rPr>
        <w:rFonts w:ascii="Courier New" w:hAnsi="Courier New" w:hint="default"/>
      </w:rPr>
    </w:lvl>
    <w:lvl w:ilvl="2" w:tplc="040C0005" w:tentative="1">
      <w:start w:val="1"/>
      <w:numFmt w:val="bullet"/>
      <w:lvlText w:val=""/>
      <w:lvlJc w:val="left"/>
      <w:pPr>
        <w:tabs>
          <w:tab w:val="num" w:pos="2454"/>
        </w:tabs>
        <w:ind w:left="2454" w:hanging="360"/>
      </w:pPr>
      <w:rPr>
        <w:rFonts w:ascii="Wingdings" w:hAnsi="Wingdings" w:hint="default"/>
      </w:rPr>
    </w:lvl>
    <w:lvl w:ilvl="3" w:tplc="040C0001" w:tentative="1">
      <w:start w:val="1"/>
      <w:numFmt w:val="bullet"/>
      <w:lvlText w:val=""/>
      <w:lvlJc w:val="left"/>
      <w:pPr>
        <w:tabs>
          <w:tab w:val="num" w:pos="3174"/>
        </w:tabs>
        <w:ind w:left="3174" w:hanging="360"/>
      </w:pPr>
      <w:rPr>
        <w:rFonts w:ascii="Symbol" w:hAnsi="Symbol" w:hint="default"/>
      </w:rPr>
    </w:lvl>
    <w:lvl w:ilvl="4" w:tplc="040C0003" w:tentative="1">
      <w:start w:val="1"/>
      <w:numFmt w:val="bullet"/>
      <w:lvlText w:val="o"/>
      <w:lvlJc w:val="left"/>
      <w:pPr>
        <w:tabs>
          <w:tab w:val="num" w:pos="3894"/>
        </w:tabs>
        <w:ind w:left="3894" w:hanging="360"/>
      </w:pPr>
      <w:rPr>
        <w:rFonts w:ascii="Courier New" w:hAnsi="Courier New" w:hint="default"/>
      </w:rPr>
    </w:lvl>
    <w:lvl w:ilvl="5" w:tplc="040C0005" w:tentative="1">
      <w:start w:val="1"/>
      <w:numFmt w:val="bullet"/>
      <w:lvlText w:val=""/>
      <w:lvlJc w:val="left"/>
      <w:pPr>
        <w:tabs>
          <w:tab w:val="num" w:pos="4614"/>
        </w:tabs>
        <w:ind w:left="4614" w:hanging="360"/>
      </w:pPr>
      <w:rPr>
        <w:rFonts w:ascii="Wingdings" w:hAnsi="Wingdings" w:hint="default"/>
      </w:rPr>
    </w:lvl>
    <w:lvl w:ilvl="6" w:tplc="040C0001" w:tentative="1">
      <w:start w:val="1"/>
      <w:numFmt w:val="bullet"/>
      <w:lvlText w:val=""/>
      <w:lvlJc w:val="left"/>
      <w:pPr>
        <w:tabs>
          <w:tab w:val="num" w:pos="5334"/>
        </w:tabs>
        <w:ind w:left="5334" w:hanging="360"/>
      </w:pPr>
      <w:rPr>
        <w:rFonts w:ascii="Symbol" w:hAnsi="Symbol" w:hint="default"/>
      </w:rPr>
    </w:lvl>
    <w:lvl w:ilvl="7" w:tplc="040C0003" w:tentative="1">
      <w:start w:val="1"/>
      <w:numFmt w:val="bullet"/>
      <w:lvlText w:val="o"/>
      <w:lvlJc w:val="left"/>
      <w:pPr>
        <w:tabs>
          <w:tab w:val="num" w:pos="6054"/>
        </w:tabs>
        <w:ind w:left="6054" w:hanging="360"/>
      </w:pPr>
      <w:rPr>
        <w:rFonts w:ascii="Courier New" w:hAnsi="Courier New" w:hint="default"/>
      </w:rPr>
    </w:lvl>
    <w:lvl w:ilvl="8" w:tplc="040C0005" w:tentative="1">
      <w:start w:val="1"/>
      <w:numFmt w:val="bullet"/>
      <w:lvlText w:val=""/>
      <w:lvlJc w:val="left"/>
      <w:pPr>
        <w:tabs>
          <w:tab w:val="num" w:pos="6774"/>
        </w:tabs>
        <w:ind w:left="6774" w:hanging="360"/>
      </w:pPr>
      <w:rPr>
        <w:rFonts w:ascii="Wingdings" w:hAnsi="Wingdings" w:hint="default"/>
      </w:rPr>
    </w:lvl>
  </w:abstractNum>
  <w:abstractNum w:abstractNumId="6">
    <w:nsid w:val="4D6271D6"/>
    <w:multiLevelType w:val="hybridMultilevel"/>
    <w:tmpl w:val="4D24E0FA"/>
    <w:lvl w:ilvl="0" w:tplc="A51A417A">
      <w:start w:val="4"/>
      <w:numFmt w:val="bullet"/>
      <w:lvlText w:val=""/>
      <w:lvlJc w:val="left"/>
      <w:pPr>
        <w:tabs>
          <w:tab w:val="num" w:pos="1184"/>
        </w:tabs>
        <w:ind w:left="1184" w:hanging="390"/>
      </w:pPr>
      <w:rPr>
        <w:rFonts w:ascii="Wingdings" w:eastAsia="MS Mincho" w:hAnsi="Wingdings" w:hint="default"/>
      </w:rPr>
    </w:lvl>
    <w:lvl w:ilvl="1" w:tplc="10090003" w:tentative="1">
      <w:start w:val="1"/>
      <w:numFmt w:val="bullet"/>
      <w:lvlText w:val="o"/>
      <w:lvlJc w:val="left"/>
      <w:pPr>
        <w:tabs>
          <w:tab w:val="num" w:pos="1874"/>
        </w:tabs>
        <w:ind w:left="1874" w:hanging="360"/>
      </w:pPr>
      <w:rPr>
        <w:rFonts w:ascii="Courier New" w:hAnsi="Courier New" w:hint="default"/>
      </w:rPr>
    </w:lvl>
    <w:lvl w:ilvl="2" w:tplc="10090005" w:tentative="1">
      <w:start w:val="1"/>
      <w:numFmt w:val="bullet"/>
      <w:lvlText w:val=""/>
      <w:lvlJc w:val="left"/>
      <w:pPr>
        <w:tabs>
          <w:tab w:val="num" w:pos="2594"/>
        </w:tabs>
        <w:ind w:left="2594" w:hanging="360"/>
      </w:pPr>
      <w:rPr>
        <w:rFonts w:ascii="Wingdings" w:hAnsi="Wingdings" w:hint="default"/>
      </w:rPr>
    </w:lvl>
    <w:lvl w:ilvl="3" w:tplc="10090001" w:tentative="1">
      <w:start w:val="1"/>
      <w:numFmt w:val="bullet"/>
      <w:lvlText w:val=""/>
      <w:lvlJc w:val="left"/>
      <w:pPr>
        <w:tabs>
          <w:tab w:val="num" w:pos="3314"/>
        </w:tabs>
        <w:ind w:left="3314" w:hanging="360"/>
      </w:pPr>
      <w:rPr>
        <w:rFonts w:ascii="Symbol" w:hAnsi="Symbol" w:hint="default"/>
      </w:rPr>
    </w:lvl>
    <w:lvl w:ilvl="4" w:tplc="10090003" w:tentative="1">
      <w:start w:val="1"/>
      <w:numFmt w:val="bullet"/>
      <w:lvlText w:val="o"/>
      <w:lvlJc w:val="left"/>
      <w:pPr>
        <w:tabs>
          <w:tab w:val="num" w:pos="4034"/>
        </w:tabs>
        <w:ind w:left="4034" w:hanging="360"/>
      </w:pPr>
      <w:rPr>
        <w:rFonts w:ascii="Courier New" w:hAnsi="Courier New" w:hint="default"/>
      </w:rPr>
    </w:lvl>
    <w:lvl w:ilvl="5" w:tplc="10090005" w:tentative="1">
      <w:start w:val="1"/>
      <w:numFmt w:val="bullet"/>
      <w:lvlText w:val=""/>
      <w:lvlJc w:val="left"/>
      <w:pPr>
        <w:tabs>
          <w:tab w:val="num" w:pos="4754"/>
        </w:tabs>
        <w:ind w:left="4754" w:hanging="360"/>
      </w:pPr>
      <w:rPr>
        <w:rFonts w:ascii="Wingdings" w:hAnsi="Wingdings" w:hint="default"/>
      </w:rPr>
    </w:lvl>
    <w:lvl w:ilvl="6" w:tplc="10090001" w:tentative="1">
      <w:start w:val="1"/>
      <w:numFmt w:val="bullet"/>
      <w:lvlText w:val=""/>
      <w:lvlJc w:val="left"/>
      <w:pPr>
        <w:tabs>
          <w:tab w:val="num" w:pos="5474"/>
        </w:tabs>
        <w:ind w:left="5474" w:hanging="360"/>
      </w:pPr>
      <w:rPr>
        <w:rFonts w:ascii="Symbol" w:hAnsi="Symbol" w:hint="default"/>
      </w:rPr>
    </w:lvl>
    <w:lvl w:ilvl="7" w:tplc="10090003" w:tentative="1">
      <w:start w:val="1"/>
      <w:numFmt w:val="bullet"/>
      <w:lvlText w:val="o"/>
      <w:lvlJc w:val="left"/>
      <w:pPr>
        <w:tabs>
          <w:tab w:val="num" w:pos="6194"/>
        </w:tabs>
        <w:ind w:left="6194" w:hanging="360"/>
      </w:pPr>
      <w:rPr>
        <w:rFonts w:ascii="Courier New" w:hAnsi="Courier New" w:hint="default"/>
      </w:rPr>
    </w:lvl>
    <w:lvl w:ilvl="8" w:tplc="10090005" w:tentative="1">
      <w:start w:val="1"/>
      <w:numFmt w:val="bullet"/>
      <w:lvlText w:val=""/>
      <w:lvlJc w:val="left"/>
      <w:pPr>
        <w:tabs>
          <w:tab w:val="num" w:pos="6914"/>
        </w:tabs>
        <w:ind w:left="6914" w:hanging="360"/>
      </w:pPr>
      <w:rPr>
        <w:rFonts w:ascii="Wingdings" w:hAnsi="Wingdings" w:hint="default"/>
      </w:rPr>
    </w:lvl>
  </w:abstractNum>
  <w:abstractNum w:abstractNumId="7">
    <w:nsid w:val="50977DC2"/>
    <w:multiLevelType w:val="hybridMultilevel"/>
    <w:tmpl w:val="C092463C"/>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nsid w:val="56E1497B"/>
    <w:multiLevelType w:val="multilevel"/>
    <w:tmpl w:val="6796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812802"/>
    <w:multiLevelType w:val="hybridMultilevel"/>
    <w:tmpl w:val="28B87356"/>
    <w:lvl w:ilvl="0" w:tplc="040C000F">
      <w:start w:val="1"/>
      <w:numFmt w:val="decimal"/>
      <w:lvlText w:val="%1."/>
      <w:lvlJc w:val="left"/>
      <w:pPr>
        <w:tabs>
          <w:tab w:val="num" w:pos="720"/>
        </w:tabs>
        <w:ind w:left="720" w:hanging="360"/>
      </w:pPr>
      <w:rPr>
        <w:rFonts w:cs="Times New Roman" w:hint="default"/>
      </w:rPr>
    </w:lvl>
    <w:lvl w:ilvl="1" w:tplc="040C0001">
      <w:start w:val="1"/>
      <w:numFmt w:val="bullet"/>
      <w:lvlText w:val=""/>
      <w:lvlJc w:val="left"/>
      <w:pPr>
        <w:tabs>
          <w:tab w:val="num" w:pos="1440"/>
        </w:tabs>
        <w:ind w:left="1440" w:hanging="360"/>
      </w:pPr>
      <w:rPr>
        <w:rFonts w:ascii="Symbol" w:hAnsi="Symbol" w:hint="default"/>
      </w:rPr>
    </w:lvl>
    <w:lvl w:ilvl="2" w:tplc="109442EE">
      <w:start w:val="1"/>
      <w:numFmt w:val="decimal"/>
      <w:lvlText w:val="%3)"/>
      <w:lvlJc w:val="left"/>
      <w:pPr>
        <w:tabs>
          <w:tab w:val="num" w:pos="2340"/>
        </w:tabs>
        <w:ind w:left="2340" w:hanging="360"/>
      </w:pPr>
      <w:rPr>
        <w:rFonts w:cs="Times New Roman" w:hint="default"/>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
    <w:nsid w:val="678B0D7F"/>
    <w:multiLevelType w:val="hybridMultilevel"/>
    <w:tmpl w:val="9CD8AEEE"/>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75D52EAA"/>
    <w:multiLevelType w:val="hybridMultilevel"/>
    <w:tmpl w:val="E4FC4E96"/>
    <w:lvl w:ilvl="0" w:tplc="040C000F">
      <w:start w:val="1"/>
      <w:numFmt w:val="decimal"/>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0"/>
  </w:num>
  <w:num w:numId="3">
    <w:abstractNumId w:val="8"/>
  </w:num>
  <w:num w:numId="4">
    <w:abstractNumId w:val="5"/>
  </w:num>
  <w:num w:numId="5">
    <w:abstractNumId w:val="11"/>
  </w:num>
  <w:num w:numId="6">
    <w:abstractNumId w:val="2"/>
  </w:num>
  <w:num w:numId="7">
    <w:abstractNumId w:val="9"/>
  </w:num>
  <w:num w:numId="8">
    <w:abstractNumId w:val="7"/>
  </w:num>
  <w:num w:numId="9">
    <w:abstractNumId w:val="10"/>
  </w:num>
  <w:num w:numId="10">
    <w:abstractNumId w:val="6"/>
  </w:num>
  <w:num w:numId="11">
    <w:abstractNumId w:val="4"/>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stylePaneFormatFilter w:val="3F01"/>
  <w:defaultTabStop w:val="708"/>
  <w:hyphenationZone w:val="425"/>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4CC0"/>
    <w:rsid w:val="00013049"/>
    <w:rsid w:val="00025F4B"/>
    <w:rsid w:val="0005126B"/>
    <w:rsid w:val="00055FFF"/>
    <w:rsid w:val="000616A0"/>
    <w:rsid w:val="000724FA"/>
    <w:rsid w:val="0007628A"/>
    <w:rsid w:val="0008279A"/>
    <w:rsid w:val="00083612"/>
    <w:rsid w:val="000838A3"/>
    <w:rsid w:val="000856DD"/>
    <w:rsid w:val="00086C2C"/>
    <w:rsid w:val="000A3A98"/>
    <w:rsid w:val="000A71CF"/>
    <w:rsid w:val="000B4CC0"/>
    <w:rsid w:val="000B7FB8"/>
    <w:rsid w:val="000D10A4"/>
    <w:rsid w:val="000F1BAE"/>
    <w:rsid w:val="000F2AAC"/>
    <w:rsid w:val="000F5C90"/>
    <w:rsid w:val="00100DA6"/>
    <w:rsid w:val="00110841"/>
    <w:rsid w:val="001139FE"/>
    <w:rsid w:val="0013649C"/>
    <w:rsid w:val="00143B15"/>
    <w:rsid w:val="00175400"/>
    <w:rsid w:val="001803FC"/>
    <w:rsid w:val="001822E9"/>
    <w:rsid w:val="001871DD"/>
    <w:rsid w:val="001874C0"/>
    <w:rsid w:val="00191AC9"/>
    <w:rsid w:val="00195BF6"/>
    <w:rsid w:val="001A2A25"/>
    <w:rsid w:val="001B1995"/>
    <w:rsid w:val="001C3E92"/>
    <w:rsid w:val="001F545D"/>
    <w:rsid w:val="001F67F1"/>
    <w:rsid w:val="00227053"/>
    <w:rsid w:val="00236BD1"/>
    <w:rsid w:val="00240793"/>
    <w:rsid w:val="0024722F"/>
    <w:rsid w:val="00270D16"/>
    <w:rsid w:val="00275A5D"/>
    <w:rsid w:val="0028394F"/>
    <w:rsid w:val="00285E60"/>
    <w:rsid w:val="002A6635"/>
    <w:rsid w:val="002D7486"/>
    <w:rsid w:val="002E781B"/>
    <w:rsid w:val="00306031"/>
    <w:rsid w:val="00316A6F"/>
    <w:rsid w:val="003252A7"/>
    <w:rsid w:val="00344881"/>
    <w:rsid w:val="0034750E"/>
    <w:rsid w:val="00356AE8"/>
    <w:rsid w:val="00365A8D"/>
    <w:rsid w:val="00370F0C"/>
    <w:rsid w:val="003C4858"/>
    <w:rsid w:val="003D21B0"/>
    <w:rsid w:val="003D4577"/>
    <w:rsid w:val="003D7A98"/>
    <w:rsid w:val="00401760"/>
    <w:rsid w:val="004070AE"/>
    <w:rsid w:val="00411E4C"/>
    <w:rsid w:val="0041338E"/>
    <w:rsid w:val="00441ADC"/>
    <w:rsid w:val="004930BA"/>
    <w:rsid w:val="00494C9A"/>
    <w:rsid w:val="00496153"/>
    <w:rsid w:val="004A4AA0"/>
    <w:rsid w:val="004A56DD"/>
    <w:rsid w:val="004E1792"/>
    <w:rsid w:val="00520EE6"/>
    <w:rsid w:val="0052434E"/>
    <w:rsid w:val="005464C0"/>
    <w:rsid w:val="00547F7B"/>
    <w:rsid w:val="005503A1"/>
    <w:rsid w:val="00550956"/>
    <w:rsid w:val="005540CD"/>
    <w:rsid w:val="00570F4A"/>
    <w:rsid w:val="00573344"/>
    <w:rsid w:val="00582BA8"/>
    <w:rsid w:val="005838CC"/>
    <w:rsid w:val="00593F17"/>
    <w:rsid w:val="005A56C8"/>
    <w:rsid w:val="005B1BEF"/>
    <w:rsid w:val="005D14F6"/>
    <w:rsid w:val="005E1F52"/>
    <w:rsid w:val="005E2735"/>
    <w:rsid w:val="005E4D9A"/>
    <w:rsid w:val="00601895"/>
    <w:rsid w:val="006171DD"/>
    <w:rsid w:val="00623EBE"/>
    <w:rsid w:val="00631130"/>
    <w:rsid w:val="00636279"/>
    <w:rsid w:val="00642E80"/>
    <w:rsid w:val="006441BA"/>
    <w:rsid w:val="00646D05"/>
    <w:rsid w:val="00647B09"/>
    <w:rsid w:val="00647ED1"/>
    <w:rsid w:val="006517F1"/>
    <w:rsid w:val="00671F6D"/>
    <w:rsid w:val="00676AD6"/>
    <w:rsid w:val="00677EF8"/>
    <w:rsid w:val="00692151"/>
    <w:rsid w:val="00692D64"/>
    <w:rsid w:val="006B0552"/>
    <w:rsid w:val="006B44DC"/>
    <w:rsid w:val="006B4895"/>
    <w:rsid w:val="006B5425"/>
    <w:rsid w:val="006B67A6"/>
    <w:rsid w:val="006E6066"/>
    <w:rsid w:val="006F0640"/>
    <w:rsid w:val="00732219"/>
    <w:rsid w:val="0075156C"/>
    <w:rsid w:val="00775E4D"/>
    <w:rsid w:val="00791749"/>
    <w:rsid w:val="007B317A"/>
    <w:rsid w:val="007C2F50"/>
    <w:rsid w:val="007C7CF9"/>
    <w:rsid w:val="007F11B4"/>
    <w:rsid w:val="007F692A"/>
    <w:rsid w:val="008271FA"/>
    <w:rsid w:val="0083531A"/>
    <w:rsid w:val="00836D38"/>
    <w:rsid w:val="00842ED5"/>
    <w:rsid w:val="00856B69"/>
    <w:rsid w:val="00870A3E"/>
    <w:rsid w:val="00883FFB"/>
    <w:rsid w:val="008A4C94"/>
    <w:rsid w:val="008B6269"/>
    <w:rsid w:val="008E05BC"/>
    <w:rsid w:val="008E25A2"/>
    <w:rsid w:val="008E7922"/>
    <w:rsid w:val="008F2A83"/>
    <w:rsid w:val="0090138D"/>
    <w:rsid w:val="0090561F"/>
    <w:rsid w:val="00922FEB"/>
    <w:rsid w:val="00927C10"/>
    <w:rsid w:val="0094291F"/>
    <w:rsid w:val="00943494"/>
    <w:rsid w:val="00956C68"/>
    <w:rsid w:val="00957506"/>
    <w:rsid w:val="00965540"/>
    <w:rsid w:val="00965D03"/>
    <w:rsid w:val="00970615"/>
    <w:rsid w:val="0097116A"/>
    <w:rsid w:val="00974BB9"/>
    <w:rsid w:val="00992B54"/>
    <w:rsid w:val="009A683B"/>
    <w:rsid w:val="009C56E5"/>
    <w:rsid w:val="009D6803"/>
    <w:rsid w:val="009E5FD1"/>
    <w:rsid w:val="00A23996"/>
    <w:rsid w:val="00A555C5"/>
    <w:rsid w:val="00A63066"/>
    <w:rsid w:val="00A64481"/>
    <w:rsid w:val="00A65910"/>
    <w:rsid w:val="00A820FD"/>
    <w:rsid w:val="00A83693"/>
    <w:rsid w:val="00AA2BED"/>
    <w:rsid w:val="00AB23EA"/>
    <w:rsid w:val="00AB419A"/>
    <w:rsid w:val="00AB500C"/>
    <w:rsid w:val="00B01149"/>
    <w:rsid w:val="00B022C1"/>
    <w:rsid w:val="00B04DDF"/>
    <w:rsid w:val="00B525E6"/>
    <w:rsid w:val="00B5287B"/>
    <w:rsid w:val="00B66CEF"/>
    <w:rsid w:val="00B80089"/>
    <w:rsid w:val="00B85426"/>
    <w:rsid w:val="00B91DC8"/>
    <w:rsid w:val="00BB42B7"/>
    <w:rsid w:val="00BC13B4"/>
    <w:rsid w:val="00BC7647"/>
    <w:rsid w:val="00BD0DB8"/>
    <w:rsid w:val="00BD4CA3"/>
    <w:rsid w:val="00BD7B9D"/>
    <w:rsid w:val="00BF2801"/>
    <w:rsid w:val="00C04F8F"/>
    <w:rsid w:val="00C251B4"/>
    <w:rsid w:val="00C25522"/>
    <w:rsid w:val="00C328BE"/>
    <w:rsid w:val="00C34B12"/>
    <w:rsid w:val="00C514B6"/>
    <w:rsid w:val="00C53CDA"/>
    <w:rsid w:val="00C936BE"/>
    <w:rsid w:val="00CB22D1"/>
    <w:rsid w:val="00CB602A"/>
    <w:rsid w:val="00CD117B"/>
    <w:rsid w:val="00CE5DEE"/>
    <w:rsid w:val="00CF4985"/>
    <w:rsid w:val="00CF5DCE"/>
    <w:rsid w:val="00D037B2"/>
    <w:rsid w:val="00D053C7"/>
    <w:rsid w:val="00D253F7"/>
    <w:rsid w:val="00D4310E"/>
    <w:rsid w:val="00D46662"/>
    <w:rsid w:val="00D746CF"/>
    <w:rsid w:val="00D91B86"/>
    <w:rsid w:val="00DA3BEB"/>
    <w:rsid w:val="00DB12C7"/>
    <w:rsid w:val="00DF06F5"/>
    <w:rsid w:val="00DF0DC2"/>
    <w:rsid w:val="00DF7417"/>
    <w:rsid w:val="00DF78F3"/>
    <w:rsid w:val="00E029AC"/>
    <w:rsid w:val="00E12475"/>
    <w:rsid w:val="00E22229"/>
    <w:rsid w:val="00E27A36"/>
    <w:rsid w:val="00E35B91"/>
    <w:rsid w:val="00E5577E"/>
    <w:rsid w:val="00E71DD0"/>
    <w:rsid w:val="00E7373D"/>
    <w:rsid w:val="00EB1BAA"/>
    <w:rsid w:val="00EB44A1"/>
    <w:rsid w:val="00EC6384"/>
    <w:rsid w:val="00EF50DD"/>
    <w:rsid w:val="00F04876"/>
    <w:rsid w:val="00F15DC3"/>
    <w:rsid w:val="00F21840"/>
    <w:rsid w:val="00F365C6"/>
    <w:rsid w:val="00F64733"/>
    <w:rsid w:val="00F656ED"/>
    <w:rsid w:val="00F913A7"/>
    <w:rsid w:val="00F91BE1"/>
    <w:rsid w:val="00F92F3C"/>
    <w:rsid w:val="00FA6E8C"/>
    <w:rsid w:val="00FB55F4"/>
    <w:rsid w:val="00FC788F"/>
    <w:rsid w:val="00FD5B6E"/>
    <w:rsid w:val="00FE01D1"/>
    <w:rsid w:val="00FE1D40"/>
    <w:rsid w:val="00FF2B8A"/>
    <w:rsid w:val="00FF7F85"/>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CC0"/>
    <w:pPr>
      <w:overflowPunct w:val="0"/>
      <w:autoSpaceDE w:val="0"/>
      <w:autoSpaceDN w:val="0"/>
      <w:adjustRightInd w:val="0"/>
      <w:textAlignment w:val="baseline"/>
    </w:pPr>
    <w:rPr>
      <w:rFonts w:ascii="Arial" w:hAnsi="Arial"/>
      <w:szCs w:val="20"/>
      <w:lang w:val="de-DE" w:eastAsia="de-DE"/>
    </w:rPr>
  </w:style>
  <w:style w:type="paragraph" w:styleId="Heading4">
    <w:name w:val="heading 4"/>
    <w:basedOn w:val="Normal"/>
    <w:next w:val="Normal"/>
    <w:link w:val="Heading4Char"/>
    <w:uiPriority w:val="99"/>
    <w:qFormat/>
    <w:rsid w:val="000B4CC0"/>
    <w:pPr>
      <w:keepNext/>
      <w:spacing w:before="240" w:after="60"/>
      <w:outlineLvl w:val="3"/>
    </w:pPr>
    <w:rPr>
      <w:rFonts w:ascii="Times New Roman" w:hAnsi="Times New Roman"/>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1874C0"/>
    <w:rPr>
      <w:rFonts w:ascii="Calibri" w:hAnsi="Calibri" w:cs="Times New Roman"/>
      <w:b/>
      <w:bCs/>
      <w:sz w:val="28"/>
      <w:szCs w:val="28"/>
      <w:lang w:val="de-DE" w:eastAsia="de-DE"/>
    </w:rPr>
  </w:style>
  <w:style w:type="paragraph" w:styleId="BalloonText">
    <w:name w:val="Balloon Text"/>
    <w:basedOn w:val="Normal"/>
    <w:link w:val="BalloonTextChar"/>
    <w:uiPriority w:val="99"/>
    <w:semiHidden/>
    <w:pPr>
      <w:overflowPunct/>
      <w:autoSpaceDE/>
      <w:autoSpaceDN/>
      <w:adjustRightInd/>
      <w:textAlignment w:val="auto"/>
    </w:pPr>
    <w:rPr>
      <w:rFonts w:ascii="Tahoma" w:hAnsi="Tahoma" w:cs="Tahoma"/>
      <w:sz w:val="16"/>
      <w:szCs w:val="16"/>
      <w:lang w:val="fr-FR" w:eastAsia="fr-FR"/>
    </w:rPr>
  </w:style>
  <w:style w:type="character" w:customStyle="1" w:styleId="BalloonTextChar">
    <w:name w:val="Balloon Text Char"/>
    <w:basedOn w:val="DefaultParagraphFont"/>
    <w:link w:val="BalloonText"/>
    <w:uiPriority w:val="99"/>
    <w:semiHidden/>
    <w:rsid w:val="00FB4F9A"/>
    <w:rPr>
      <w:sz w:val="0"/>
      <w:szCs w:val="0"/>
      <w:lang w:val="de-DE" w:eastAsia="de-DE"/>
    </w:rPr>
  </w:style>
  <w:style w:type="paragraph" w:customStyle="1" w:styleId="PT1Head">
    <w:name w:val="PT1_Head"/>
    <w:basedOn w:val="Heading4"/>
    <w:next w:val="Normal"/>
    <w:uiPriority w:val="99"/>
    <w:rsid w:val="000B4CC0"/>
    <w:pPr>
      <w:overflowPunct/>
      <w:autoSpaceDE/>
      <w:autoSpaceDN/>
      <w:adjustRightInd/>
      <w:spacing w:before="0" w:after="0"/>
      <w:textAlignment w:val="auto"/>
    </w:pPr>
    <w:rPr>
      <w:rFonts w:ascii="Arial" w:hAnsi="Arial"/>
      <w:bCs w:val="0"/>
      <w:sz w:val="24"/>
      <w:szCs w:val="20"/>
      <w:lang w:val="en-GB" w:eastAsia="en-IE"/>
    </w:rPr>
  </w:style>
  <w:style w:type="paragraph" w:customStyle="1" w:styleId="PT1Headrechts">
    <w:name w:val="PT1_Head_rechts"/>
    <w:basedOn w:val="PT1Head"/>
    <w:next w:val="PT1Head"/>
    <w:uiPriority w:val="99"/>
    <w:rsid w:val="000B4CC0"/>
    <w:pPr>
      <w:jc w:val="right"/>
    </w:pPr>
    <w:rPr>
      <w:lang w:val="de-DE"/>
    </w:rPr>
  </w:style>
  <w:style w:type="character" w:styleId="Hyperlink">
    <w:name w:val="Hyperlink"/>
    <w:basedOn w:val="DefaultParagraphFont"/>
    <w:uiPriority w:val="99"/>
    <w:rsid w:val="00BF2801"/>
    <w:rPr>
      <w:rFonts w:cs="Times New Roman"/>
      <w:color w:val="0000FF"/>
      <w:u w:val="single"/>
    </w:rPr>
  </w:style>
  <w:style w:type="character" w:styleId="FollowedHyperlink">
    <w:name w:val="FollowedHyperlink"/>
    <w:basedOn w:val="DefaultParagraphFont"/>
    <w:uiPriority w:val="99"/>
    <w:rsid w:val="00F15DC3"/>
    <w:rPr>
      <w:rFonts w:cs="Times New Roman"/>
      <w:color w:val="800080"/>
      <w:u w:val="single"/>
    </w:rPr>
  </w:style>
  <w:style w:type="paragraph" w:styleId="NormalWeb">
    <w:name w:val="Normal (Web)"/>
    <w:basedOn w:val="Normal"/>
    <w:uiPriority w:val="99"/>
    <w:rsid w:val="00573344"/>
    <w:pPr>
      <w:overflowPunct/>
      <w:autoSpaceDE/>
      <w:autoSpaceDN/>
      <w:adjustRightInd/>
      <w:spacing w:before="100" w:beforeAutospacing="1" w:after="100" w:afterAutospacing="1"/>
      <w:textAlignment w:val="auto"/>
    </w:pPr>
    <w:rPr>
      <w:rFonts w:ascii="Times New Roman" w:hAnsi="Times New Roman"/>
      <w:sz w:val="24"/>
      <w:szCs w:val="24"/>
      <w:lang w:val="fr-FR" w:eastAsia="fr-FR"/>
    </w:rPr>
  </w:style>
  <w:style w:type="character" w:styleId="FootnoteReference">
    <w:name w:val="footnote reference"/>
    <w:basedOn w:val="DefaultParagraphFont"/>
    <w:uiPriority w:val="99"/>
    <w:rsid w:val="006517F1"/>
    <w:rPr>
      <w:rFonts w:cs="Times New Roman"/>
      <w:position w:val="6"/>
      <w:sz w:val="18"/>
    </w:rPr>
  </w:style>
  <w:style w:type="paragraph" w:styleId="FootnoteText">
    <w:name w:val="footnote text"/>
    <w:basedOn w:val="Normal"/>
    <w:link w:val="FootnoteTextChar"/>
    <w:uiPriority w:val="99"/>
    <w:rsid w:val="006517F1"/>
    <w:pPr>
      <w:keepLines/>
      <w:tabs>
        <w:tab w:val="left" w:pos="255"/>
        <w:tab w:val="left" w:pos="1134"/>
        <w:tab w:val="left" w:pos="1871"/>
        <w:tab w:val="left" w:pos="2268"/>
      </w:tabs>
      <w:spacing w:before="120"/>
    </w:pPr>
    <w:rPr>
      <w:rFonts w:ascii="Times New Roman" w:hAnsi="Times New Roman"/>
      <w:sz w:val="24"/>
      <w:lang w:val="en-GB" w:eastAsia="en-US"/>
    </w:rPr>
  </w:style>
  <w:style w:type="character" w:customStyle="1" w:styleId="FootnoteTextChar">
    <w:name w:val="Footnote Text Char"/>
    <w:basedOn w:val="DefaultParagraphFont"/>
    <w:link w:val="FootnoteText"/>
    <w:uiPriority w:val="99"/>
    <w:locked/>
    <w:rsid w:val="006517F1"/>
    <w:rPr>
      <w:rFonts w:cs="Times New Roman"/>
      <w:sz w:val="24"/>
      <w:lang w:val="en-GB" w:eastAsia="en-US" w:bidi="ar-SA"/>
    </w:rPr>
  </w:style>
  <w:style w:type="paragraph" w:customStyle="1" w:styleId="Tabletext">
    <w:name w:val="Table_text"/>
    <w:basedOn w:val="Normal"/>
    <w:link w:val="TabletextChar"/>
    <w:uiPriority w:val="99"/>
    <w:rsid w:val="00BD7B9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rPr>
      <w:rFonts w:ascii="Times New Roman" w:hAnsi="Times New Roman"/>
      <w:sz w:val="20"/>
      <w:lang w:val="en-GB" w:eastAsia="en-US"/>
    </w:rPr>
  </w:style>
  <w:style w:type="character" w:customStyle="1" w:styleId="observation">
    <w:name w:val="observation"/>
    <w:basedOn w:val="DefaultParagraphFont"/>
    <w:uiPriority w:val="99"/>
    <w:rsid w:val="00677EF8"/>
    <w:rPr>
      <w:rFonts w:cs="Times New Roman"/>
    </w:rPr>
  </w:style>
  <w:style w:type="character" w:customStyle="1" w:styleId="TabletextChar">
    <w:name w:val="Table_text Char"/>
    <w:basedOn w:val="DefaultParagraphFont"/>
    <w:link w:val="Tabletext"/>
    <w:uiPriority w:val="99"/>
    <w:locked/>
    <w:rsid w:val="00DB12C7"/>
    <w:rPr>
      <w:rFonts w:cs="Times New Roman"/>
      <w:lang w:val="en-GB" w:eastAsia="en-US" w:bidi="ar-SA"/>
    </w:rPr>
  </w:style>
  <w:style w:type="paragraph" w:customStyle="1" w:styleId="Annextitle">
    <w:name w:val="Annex_title"/>
    <w:basedOn w:val="Normal"/>
    <w:next w:val="Normal"/>
    <w:uiPriority w:val="99"/>
    <w:rsid w:val="00306031"/>
    <w:pPr>
      <w:keepNext/>
      <w:keepLines/>
      <w:tabs>
        <w:tab w:val="left" w:pos="1134"/>
        <w:tab w:val="left" w:pos="1871"/>
        <w:tab w:val="left" w:pos="2268"/>
      </w:tabs>
      <w:spacing w:before="240" w:after="280"/>
      <w:jc w:val="center"/>
    </w:pPr>
    <w:rPr>
      <w:rFonts w:ascii="Times New Roman Bold" w:hAnsi="Times New Roman Bold"/>
      <w:b/>
      <w:sz w:val="28"/>
      <w:lang w:val="en-GB" w:eastAsia="en-US"/>
    </w:rPr>
  </w:style>
  <w:style w:type="paragraph" w:customStyle="1" w:styleId="enumlev1">
    <w:name w:val="enumlev1"/>
    <w:basedOn w:val="Normal"/>
    <w:link w:val="enumlev1Char"/>
    <w:uiPriority w:val="99"/>
    <w:rsid w:val="00306031"/>
    <w:pPr>
      <w:tabs>
        <w:tab w:val="left" w:pos="794"/>
        <w:tab w:val="left" w:pos="1191"/>
        <w:tab w:val="left" w:pos="1588"/>
        <w:tab w:val="left" w:pos="1985"/>
      </w:tabs>
      <w:spacing w:before="80"/>
      <w:ind w:left="794" w:hanging="794"/>
    </w:pPr>
    <w:rPr>
      <w:rFonts w:ascii="Times New Roman" w:eastAsia="MS Mincho" w:hAnsi="Times New Roman"/>
      <w:sz w:val="24"/>
      <w:lang w:val="en-GB" w:eastAsia="en-US"/>
    </w:rPr>
  </w:style>
  <w:style w:type="paragraph" w:customStyle="1" w:styleId="enumlev2">
    <w:name w:val="enumlev2"/>
    <w:basedOn w:val="enumlev1"/>
    <w:uiPriority w:val="99"/>
    <w:rsid w:val="00306031"/>
    <w:pPr>
      <w:ind w:left="1191" w:hanging="397"/>
    </w:pPr>
  </w:style>
  <w:style w:type="character" w:customStyle="1" w:styleId="enumlev1Char">
    <w:name w:val="enumlev1 Char"/>
    <w:basedOn w:val="DefaultParagraphFont"/>
    <w:link w:val="enumlev1"/>
    <w:uiPriority w:val="99"/>
    <w:locked/>
    <w:rsid w:val="00306031"/>
    <w:rPr>
      <w:rFonts w:eastAsia="MS Mincho" w:cs="Times New Roman"/>
      <w:sz w:val="24"/>
      <w:lang w:val="en-GB" w:eastAsia="en-US" w:bidi="ar-SA"/>
    </w:rPr>
  </w:style>
  <w:style w:type="character" w:styleId="Strong">
    <w:name w:val="Strong"/>
    <w:basedOn w:val="DefaultParagraphFont"/>
    <w:uiPriority w:val="99"/>
    <w:qFormat/>
    <w:rsid w:val="006F0640"/>
    <w:rPr>
      <w:rFonts w:cs="Times New Roman"/>
      <w:b/>
      <w:bCs/>
    </w:rPr>
  </w:style>
</w:styles>
</file>

<file path=word/webSettings.xml><?xml version="1.0" encoding="utf-8"?>
<w:webSettings xmlns:r="http://schemas.openxmlformats.org/officeDocument/2006/relationships" xmlns:w="http://schemas.openxmlformats.org/wordprocessingml/2006/main">
  <w:divs>
    <w:div w:id="289822880">
      <w:marLeft w:val="0"/>
      <w:marRight w:val="0"/>
      <w:marTop w:val="0"/>
      <w:marBottom w:val="0"/>
      <w:divBdr>
        <w:top w:val="none" w:sz="0" w:space="0" w:color="auto"/>
        <w:left w:val="none" w:sz="0" w:space="0" w:color="auto"/>
        <w:bottom w:val="none" w:sz="0" w:space="0" w:color="auto"/>
        <w:right w:val="none" w:sz="0" w:space="0" w:color="auto"/>
      </w:divBdr>
    </w:div>
    <w:div w:id="289822881">
      <w:marLeft w:val="0"/>
      <w:marRight w:val="0"/>
      <w:marTop w:val="0"/>
      <w:marBottom w:val="0"/>
      <w:divBdr>
        <w:top w:val="none" w:sz="0" w:space="0" w:color="auto"/>
        <w:left w:val="none" w:sz="0" w:space="0" w:color="auto"/>
        <w:bottom w:val="none" w:sz="0" w:space="0" w:color="auto"/>
        <w:right w:val="none" w:sz="0" w:space="0" w:color="auto"/>
      </w:divBdr>
      <w:divsChild>
        <w:div w:id="289822884">
          <w:marLeft w:val="0"/>
          <w:marRight w:val="0"/>
          <w:marTop w:val="0"/>
          <w:marBottom w:val="0"/>
          <w:divBdr>
            <w:top w:val="none" w:sz="0" w:space="0" w:color="auto"/>
            <w:left w:val="none" w:sz="0" w:space="0" w:color="auto"/>
            <w:bottom w:val="none" w:sz="0" w:space="0" w:color="auto"/>
            <w:right w:val="none" w:sz="0" w:space="0" w:color="auto"/>
          </w:divBdr>
        </w:div>
      </w:divsChild>
    </w:div>
    <w:div w:id="289822883">
      <w:marLeft w:val="0"/>
      <w:marRight w:val="0"/>
      <w:marTop w:val="0"/>
      <w:marBottom w:val="0"/>
      <w:divBdr>
        <w:top w:val="none" w:sz="0" w:space="0" w:color="auto"/>
        <w:left w:val="none" w:sz="0" w:space="0" w:color="auto"/>
        <w:bottom w:val="none" w:sz="0" w:space="0" w:color="auto"/>
        <w:right w:val="none" w:sz="0" w:space="0" w:color="auto"/>
      </w:divBdr>
    </w:div>
    <w:div w:id="289822885">
      <w:marLeft w:val="0"/>
      <w:marRight w:val="0"/>
      <w:marTop w:val="0"/>
      <w:marBottom w:val="0"/>
      <w:divBdr>
        <w:top w:val="none" w:sz="0" w:space="0" w:color="auto"/>
        <w:left w:val="none" w:sz="0" w:space="0" w:color="auto"/>
        <w:bottom w:val="none" w:sz="0" w:space="0" w:color="auto"/>
        <w:right w:val="none" w:sz="0" w:space="0" w:color="auto"/>
      </w:divBdr>
      <w:divsChild>
        <w:div w:id="289822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md/R07-WP5D-110707-TD-0550/en" TargetMode="External"/><Relationship Id="rId13" Type="http://schemas.openxmlformats.org/officeDocument/2006/relationships/hyperlink" Target="http://www.itu.int/md/R07-WP5D-110707-TD-0535/en" TargetMode="External"/><Relationship Id="rId3" Type="http://schemas.openxmlformats.org/officeDocument/2006/relationships/settings" Target="settings.xml"/><Relationship Id="rId7" Type="http://schemas.openxmlformats.org/officeDocument/2006/relationships/hyperlink" Target="http://www.itu.int/md/R07-WP5D-110707-TD-0524/en" TargetMode="External"/><Relationship Id="rId12" Type="http://schemas.openxmlformats.org/officeDocument/2006/relationships/hyperlink" Target="http://www.itu.int/md/R07-WP5D-110707-TD-0537/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md/R07-WP5D-110707-TD-0517/e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tu.int/md/R07-WP5D-110707-TD-0545/en" TargetMode="External"/><Relationship Id="rId4" Type="http://schemas.openxmlformats.org/officeDocument/2006/relationships/webSettings" Target="webSettings.xml"/><Relationship Id="rId9" Type="http://schemas.openxmlformats.org/officeDocument/2006/relationships/hyperlink" Target="http://www.itu.int/md/R07-WP5D-110707-TD-0542/en" TargetMode="External"/><Relationship Id="rId14" Type="http://schemas.openxmlformats.org/officeDocument/2006/relationships/hyperlink" Target="http://www.itu.int/md/R07-WP5D-110707-TD-0566/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1350</Words>
  <Characters>7425</Characters>
  <Application>Microsoft Office Outlook</Application>
  <DocSecurity>0</DocSecurity>
  <Lines>0</Lines>
  <Paragraphs>0</Paragraphs>
  <ScaleCrop>false</ScaleCrop>
  <Company>Bundesnetzagentur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30th ECC PT1 MEETING</dc:title>
  <dc:subject/>
  <dc:creator>Schwarz</dc:creator>
  <cp:keywords/>
  <dc:description/>
  <cp:lastModifiedBy>AFNR</cp:lastModifiedBy>
  <cp:revision>3</cp:revision>
  <cp:lastPrinted>2009-02-02T10:22:00Z</cp:lastPrinted>
  <dcterms:created xsi:type="dcterms:W3CDTF">2011-08-30T12:55:00Z</dcterms:created>
  <dcterms:modified xsi:type="dcterms:W3CDTF">2011-08-30T12:55:00Z</dcterms:modified>
</cp:coreProperties>
</file>