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53" w:type="dxa"/>
        <w:tblInd w:w="-459" w:type="dxa"/>
        <w:tblLayout w:type="fixed"/>
        <w:tblLook w:val="0000" w:firstRow="0" w:lastRow="0" w:firstColumn="0" w:lastColumn="0" w:noHBand="0" w:noVBand="0"/>
      </w:tblPr>
      <w:tblGrid>
        <w:gridCol w:w="3119"/>
        <w:gridCol w:w="283"/>
        <w:gridCol w:w="1134"/>
        <w:gridCol w:w="284"/>
        <w:gridCol w:w="796"/>
        <w:gridCol w:w="4137"/>
      </w:tblGrid>
      <w:tr w:rsidR="00F91BE1">
        <w:tc>
          <w:tcPr>
            <w:tcW w:w="5616" w:type="dxa"/>
            <w:gridSpan w:val="5"/>
          </w:tcPr>
          <w:p w:rsidR="00F91BE1" w:rsidRDefault="001A22CF" w:rsidP="000B4CC0">
            <w:pPr>
              <w:pStyle w:val="PT1Head"/>
            </w:pPr>
            <w:bookmarkStart w:id="0" w:name="_GoBack"/>
            <w:bookmarkEnd w:id="0"/>
            <w:r>
              <w:t>40</w:t>
            </w:r>
            <w:r w:rsidR="00F91BE1">
              <w:rPr>
                <w:vertAlign w:val="superscript"/>
              </w:rPr>
              <w:t>th</w:t>
            </w:r>
            <w:r w:rsidR="00F91BE1">
              <w:t xml:space="preserve"> ECC PT</w:t>
            </w:r>
            <w:smartTag w:uri="urn:schemas-microsoft-com:office:smarttags" w:element="PersonName">
              <w:r w:rsidR="00F91BE1">
                <w:t>1</w:t>
              </w:r>
            </w:smartTag>
            <w:r w:rsidR="00F91BE1">
              <w:t xml:space="preserve"> MEETING</w:t>
            </w:r>
          </w:p>
          <w:p w:rsidR="00F91BE1" w:rsidRPr="00FA6E8C" w:rsidRDefault="001A22CF" w:rsidP="00970FF3">
            <w:pPr>
              <w:pStyle w:val="PT1Head"/>
            </w:pPr>
            <w:r w:rsidRPr="001A22CF">
              <w:t>Wroclaw</w:t>
            </w:r>
            <w:r w:rsidR="00F91BE1" w:rsidRPr="008E7922">
              <w:t xml:space="preserve">, </w:t>
            </w:r>
            <w:r w:rsidR="00970FF3">
              <w:t>11</w:t>
            </w:r>
            <w:r w:rsidR="00F91BE1" w:rsidRPr="008E7922">
              <w:t xml:space="preserve"> – </w:t>
            </w:r>
            <w:r w:rsidR="00970FF3">
              <w:t>13</w:t>
            </w:r>
            <w:r w:rsidR="00F91BE1" w:rsidRPr="008E7922">
              <w:t xml:space="preserve"> </w:t>
            </w:r>
            <w:r w:rsidR="00970FF3">
              <w:t>April</w:t>
            </w:r>
            <w:r w:rsidR="00F91BE1" w:rsidRPr="008E7922">
              <w:t xml:space="preserve"> 201</w:t>
            </w:r>
            <w:r w:rsidR="005E0D76">
              <w:t>2</w:t>
            </w:r>
          </w:p>
        </w:tc>
        <w:tc>
          <w:tcPr>
            <w:tcW w:w="4137" w:type="dxa"/>
          </w:tcPr>
          <w:p w:rsidR="00F91BE1" w:rsidRDefault="004B3A38" w:rsidP="000B4CC0">
            <w:pPr>
              <w:pStyle w:val="PT1Headrechts"/>
              <w:rPr>
                <w:lang w:val="it-IT"/>
              </w:rPr>
            </w:pPr>
            <w:r>
              <w:rPr>
                <w:lang w:val="it-IT"/>
              </w:rPr>
              <w:t>ECC PT1(11)INFO 01</w:t>
            </w:r>
          </w:p>
          <w:p w:rsidR="00F91BE1" w:rsidRDefault="00F91BE1" w:rsidP="000B4CC0">
            <w:pPr>
              <w:pStyle w:val="PT1Headrechts"/>
              <w:rPr>
                <w:b w:val="0"/>
                <w:lang w:val="it-IT"/>
              </w:rPr>
            </w:pPr>
          </w:p>
        </w:tc>
      </w:tr>
      <w:tr w:rsidR="00F91BE1">
        <w:tc>
          <w:tcPr>
            <w:tcW w:w="5616" w:type="dxa"/>
            <w:gridSpan w:val="5"/>
          </w:tcPr>
          <w:p w:rsidR="00F91BE1" w:rsidRDefault="00F91BE1" w:rsidP="000B4CC0">
            <w:pPr>
              <w:rPr>
                <w:b/>
                <w:lang w:val="en-IE"/>
              </w:rPr>
            </w:pPr>
          </w:p>
        </w:tc>
        <w:tc>
          <w:tcPr>
            <w:tcW w:w="4137" w:type="dxa"/>
          </w:tcPr>
          <w:p w:rsidR="00F91BE1" w:rsidRDefault="00F91BE1" w:rsidP="000B4CC0">
            <w:pPr>
              <w:jc w:val="right"/>
              <w:rPr>
                <w:b/>
                <w:lang w:val="en-IE"/>
              </w:rPr>
            </w:pPr>
          </w:p>
        </w:tc>
      </w:tr>
      <w:tr w:rsidR="00F91BE1">
        <w:trPr>
          <w:cantSplit/>
          <w:trHeight w:val="1183"/>
        </w:trPr>
        <w:tc>
          <w:tcPr>
            <w:tcW w:w="9753" w:type="dxa"/>
            <w:gridSpan w:val="6"/>
          </w:tcPr>
          <w:p w:rsidR="00F91BE1" w:rsidRPr="006A4D05" w:rsidRDefault="00F91BE1" w:rsidP="000B4CC0">
            <w:pPr>
              <w:pStyle w:val="PT1Head"/>
              <w:rPr>
                <w:rFonts w:cs="Arial"/>
              </w:rPr>
            </w:pPr>
            <w:r w:rsidRPr="006A4D05">
              <w:rPr>
                <w:rFonts w:cs="Arial"/>
              </w:rPr>
              <w:t xml:space="preserve">Date issued: </w:t>
            </w:r>
            <w:r w:rsidR="004B3A38">
              <w:rPr>
                <w:rFonts w:cs="Arial"/>
              </w:rPr>
              <w:t>12 March</w:t>
            </w:r>
            <w:r w:rsidR="00970FF3" w:rsidRPr="006A4D05">
              <w:rPr>
                <w:rFonts w:cs="Arial"/>
              </w:rPr>
              <w:t xml:space="preserve"> 2012</w:t>
            </w:r>
          </w:p>
          <w:p w:rsidR="00F91BE1" w:rsidRPr="006A4D05" w:rsidRDefault="00F91BE1" w:rsidP="000B4CC0">
            <w:pPr>
              <w:rPr>
                <w:rFonts w:cs="Arial"/>
                <w:b/>
                <w:lang w:val="en-IE"/>
              </w:rPr>
            </w:pPr>
          </w:p>
          <w:p w:rsidR="00F91BE1" w:rsidRPr="006A4D05" w:rsidRDefault="00F91BE1" w:rsidP="000B4CC0">
            <w:pPr>
              <w:pStyle w:val="PT1Head"/>
              <w:rPr>
                <w:rFonts w:cs="Arial"/>
                <w:b w:val="0"/>
                <w:lang w:val="en-IE"/>
              </w:rPr>
            </w:pPr>
            <w:r w:rsidRPr="006A4D05">
              <w:rPr>
                <w:rFonts w:cs="Arial"/>
                <w:lang w:val="en-IE"/>
              </w:rPr>
              <w:t>Source: WP 5D rapporteur</w:t>
            </w:r>
          </w:p>
          <w:p w:rsidR="00F91BE1" w:rsidRPr="006A4D05" w:rsidRDefault="00F91BE1" w:rsidP="000B4CC0">
            <w:pPr>
              <w:pStyle w:val="PT1Head"/>
              <w:rPr>
                <w:rFonts w:cs="Arial"/>
                <w:lang w:val="en-IE"/>
              </w:rPr>
            </w:pPr>
          </w:p>
          <w:p w:rsidR="00F91BE1" w:rsidRPr="00C328BE" w:rsidRDefault="00F91BE1" w:rsidP="000B4CC0">
            <w:pPr>
              <w:pStyle w:val="PT1Head"/>
              <w:rPr>
                <w:rFonts w:cs="Arial"/>
                <w:lang w:val="en-IE"/>
              </w:rPr>
            </w:pPr>
            <w:r w:rsidRPr="006A4D05">
              <w:rPr>
                <w:rFonts w:cs="Arial"/>
                <w:lang w:val="en-IE"/>
              </w:rPr>
              <w:t>Subject: Feedback from WP 5D</w:t>
            </w:r>
            <w:r w:rsidR="005509C0" w:rsidRPr="006A4D05">
              <w:rPr>
                <w:rFonts w:cs="Arial"/>
                <w:lang w:val="en-IE"/>
              </w:rPr>
              <w:t xml:space="preserve">, </w:t>
            </w:r>
            <w:r w:rsidR="005E4501" w:rsidRPr="006A4D05">
              <w:rPr>
                <w:rFonts w:cs="Arial"/>
                <w:lang w:val="en-IE"/>
              </w:rPr>
              <w:t>SG 5</w:t>
            </w:r>
            <w:r w:rsidR="005509C0" w:rsidRPr="006A4D05">
              <w:rPr>
                <w:rFonts w:cs="Arial"/>
                <w:lang w:val="en-IE"/>
              </w:rPr>
              <w:t xml:space="preserve">, </w:t>
            </w:r>
            <w:r w:rsidR="001D6B94" w:rsidRPr="006A4D05">
              <w:rPr>
                <w:rFonts w:cs="Arial"/>
                <w:lang w:val="en-IE"/>
              </w:rPr>
              <w:t xml:space="preserve">RA-12, </w:t>
            </w:r>
            <w:r w:rsidR="00970FF3" w:rsidRPr="006A4D05">
              <w:rPr>
                <w:rFonts w:cs="Arial"/>
                <w:lang w:val="en-IE"/>
              </w:rPr>
              <w:t>WRC-12</w:t>
            </w:r>
            <w:r w:rsidR="001D6B94" w:rsidRPr="006A4D05">
              <w:rPr>
                <w:rFonts w:cs="Arial"/>
                <w:lang w:val="en-IE"/>
              </w:rPr>
              <w:t xml:space="preserve"> and CPM15-1</w:t>
            </w:r>
          </w:p>
          <w:p w:rsidR="00F91BE1" w:rsidRPr="00C328BE" w:rsidRDefault="00F91BE1" w:rsidP="000B4CC0">
            <w:pPr>
              <w:rPr>
                <w:rFonts w:cs="Arial"/>
                <w:b/>
                <w:sz w:val="24"/>
                <w:lang w:val="en-IE"/>
              </w:rPr>
            </w:pPr>
          </w:p>
        </w:tc>
      </w:tr>
      <w:tr w:rsidR="00F91BE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PrEx>
        <w:trPr>
          <w:gridAfter w:val="2"/>
          <w:wAfter w:w="4933" w:type="dxa"/>
        </w:trPr>
        <w:tc>
          <w:tcPr>
            <w:tcW w:w="3119" w:type="dxa"/>
            <w:tcBorders>
              <w:top w:val="nil"/>
              <w:left w:val="nil"/>
              <w:bottom w:val="nil"/>
            </w:tcBorders>
          </w:tcPr>
          <w:p w:rsidR="00F91BE1" w:rsidRDefault="00F91BE1" w:rsidP="000B4CC0">
            <w:pPr>
              <w:pStyle w:val="PT1Head"/>
              <w:ind w:left="71"/>
              <w:rPr>
                <w:sz w:val="20"/>
              </w:rPr>
            </w:pPr>
            <w:r>
              <w:t>Password protected: yes</w:t>
            </w:r>
          </w:p>
        </w:tc>
        <w:tc>
          <w:tcPr>
            <w:tcW w:w="283" w:type="dxa"/>
          </w:tcPr>
          <w:p w:rsidR="00F91BE1" w:rsidRDefault="00F91BE1" w:rsidP="000B4CC0">
            <w:pPr>
              <w:pStyle w:val="PT1Head"/>
              <w:keepNext w:val="0"/>
              <w:overflowPunct w:val="0"/>
              <w:autoSpaceDE w:val="0"/>
              <w:autoSpaceDN w:val="0"/>
              <w:adjustRightInd w:val="0"/>
              <w:textAlignment w:val="baseline"/>
              <w:rPr>
                <w:bCs/>
                <w:lang w:val="en-IE" w:eastAsia="de-DE"/>
              </w:rPr>
            </w:pPr>
          </w:p>
        </w:tc>
        <w:tc>
          <w:tcPr>
            <w:tcW w:w="1134" w:type="dxa"/>
            <w:tcBorders>
              <w:top w:val="nil"/>
              <w:bottom w:val="nil"/>
            </w:tcBorders>
          </w:tcPr>
          <w:p w:rsidR="00F91BE1" w:rsidRDefault="00F91BE1" w:rsidP="000B4CC0">
            <w:pPr>
              <w:pStyle w:val="PT1Head"/>
              <w:keepNext w:val="0"/>
              <w:overflowPunct w:val="0"/>
              <w:autoSpaceDE w:val="0"/>
              <w:autoSpaceDN w:val="0"/>
              <w:adjustRightInd w:val="0"/>
              <w:jc w:val="right"/>
              <w:textAlignment w:val="baseline"/>
              <w:rPr>
                <w:bCs/>
                <w:lang w:val="en-IE" w:eastAsia="de-DE"/>
              </w:rPr>
            </w:pPr>
            <w:r>
              <w:rPr>
                <w:bCs/>
                <w:lang w:val="en-IE" w:eastAsia="de-DE"/>
              </w:rPr>
              <w:t>no</w:t>
            </w:r>
          </w:p>
        </w:tc>
        <w:tc>
          <w:tcPr>
            <w:tcW w:w="284" w:type="dxa"/>
          </w:tcPr>
          <w:p w:rsidR="00F91BE1" w:rsidRDefault="00F91BE1" w:rsidP="000B4CC0">
            <w:pPr>
              <w:pStyle w:val="PT1Head"/>
              <w:keepNext w:val="0"/>
              <w:overflowPunct w:val="0"/>
              <w:autoSpaceDE w:val="0"/>
              <w:autoSpaceDN w:val="0"/>
              <w:adjustRightInd w:val="0"/>
              <w:textAlignment w:val="baseline"/>
              <w:rPr>
                <w:bCs/>
                <w:lang w:val="en-IE" w:eastAsia="de-DE"/>
              </w:rPr>
            </w:pPr>
            <w:r>
              <w:rPr>
                <w:bCs/>
                <w:lang w:val="en-IE" w:eastAsia="de-DE"/>
              </w:rPr>
              <w:t>x</w:t>
            </w:r>
          </w:p>
        </w:tc>
      </w:tr>
    </w:tbl>
    <w:p w:rsidR="00F91BE1" w:rsidRDefault="00F91BE1" w:rsidP="000B4CC0">
      <w:pPr>
        <w:ind w:left="-426"/>
        <w:rPr>
          <w:lang w:val="en-US"/>
        </w:rPr>
      </w:pPr>
    </w:p>
    <w:p w:rsidR="00F91BE1" w:rsidRDefault="00F91BE1" w:rsidP="00D053C7">
      <w:pPr>
        <w:ind w:left="-426"/>
        <w:jc w:val="both"/>
        <w:rPr>
          <w:lang w:val="en-US"/>
        </w:rPr>
      </w:pPr>
      <w:r>
        <w:rPr>
          <w:lang w:val="en-US"/>
        </w:rPr>
        <w:t>This document is provided for the information of ECC PT1 delegates and possible contributions to the next ECC PT1 meeting and/or the next WP 5D meeting (</w:t>
      </w:r>
      <w:r w:rsidR="00970FF3">
        <w:rPr>
          <w:lang w:val="en-US"/>
        </w:rPr>
        <w:t>Geneva</w:t>
      </w:r>
      <w:r>
        <w:rPr>
          <w:lang w:val="en-US"/>
        </w:rPr>
        <w:t xml:space="preserve">, </w:t>
      </w:r>
      <w:r w:rsidR="00970FF3">
        <w:rPr>
          <w:lang w:val="en-US"/>
        </w:rPr>
        <w:t>14 – 18 May 2012</w:t>
      </w:r>
      <w:r>
        <w:rPr>
          <w:lang w:val="en-US"/>
        </w:rPr>
        <w:t>).</w:t>
      </w:r>
    </w:p>
    <w:p w:rsidR="00F91BE1" w:rsidRDefault="00F91BE1" w:rsidP="00D053C7">
      <w:pPr>
        <w:ind w:left="-426"/>
        <w:jc w:val="both"/>
        <w:rPr>
          <w:lang w:val="en-US"/>
        </w:rPr>
      </w:pPr>
      <w:r>
        <w:rPr>
          <w:lang w:val="en-US"/>
        </w:rPr>
        <w:t>WP 5D held its 1</w:t>
      </w:r>
      <w:r w:rsidR="00970FF3">
        <w:rPr>
          <w:lang w:val="en-US"/>
        </w:rPr>
        <w:t>2</w:t>
      </w:r>
      <w:r w:rsidRPr="00A23996">
        <w:rPr>
          <w:vertAlign w:val="superscript"/>
          <w:lang w:val="en-US"/>
        </w:rPr>
        <w:t>th</w:t>
      </w:r>
      <w:r>
        <w:rPr>
          <w:lang w:val="en-US"/>
        </w:rPr>
        <w:t xml:space="preserve"> meeting in </w:t>
      </w:r>
      <w:r w:rsidR="00970FF3">
        <w:rPr>
          <w:lang w:val="en-US"/>
        </w:rPr>
        <w:t>Goa</w:t>
      </w:r>
      <w:r>
        <w:rPr>
          <w:lang w:val="en-US"/>
        </w:rPr>
        <w:t xml:space="preserve"> (</w:t>
      </w:r>
      <w:r w:rsidR="00970FF3">
        <w:rPr>
          <w:lang w:val="en-US"/>
        </w:rPr>
        <w:t>India</w:t>
      </w:r>
      <w:r>
        <w:rPr>
          <w:lang w:val="en-US"/>
        </w:rPr>
        <w:t xml:space="preserve">, </w:t>
      </w:r>
      <w:r w:rsidR="00970FF3">
        <w:rPr>
          <w:lang w:val="en-US"/>
        </w:rPr>
        <w:t>12 – 19 October 2011</w:t>
      </w:r>
      <w:r>
        <w:rPr>
          <w:lang w:val="en-US"/>
        </w:rPr>
        <w:t>). The main outcome listed below is of interest for ECC PT1. The output documents, ECC PT1 may be interested in, have been hyperlinked.</w:t>
      </w:r>
    </w:p>
    <w:p w:rsidR="00F91BE1" w:rsidRDefault="00F91BE1" w:rsidP="00D053C7">
      <w:pPr>
        <w:ind w:left="-426"/>
        <w:jc w:val="both"/>
        <w:rPr>
          <w:lang w:val="en-US"/>
        </w:rPr>
      </w:pPr>
    </w:p>
    <w:p w:rsidR="0059424A" w:rsidRDefault="00970FF3" w:rsidP="00D053C7">
      <w:pPr>
        <w:ind w:left="-426"/>
        <w:jc w:val="both"/>
        <w:rPr>
          <w:lang w:val="en-US"/>
        </w:rPr>
      </w:pPr>
      <w:r>
        <w:rPr>
          <w:lang w:val="en-US"/>
        </w:rPr>
        <w:t>This document also pro</w:t>
      </w:r>
      <w:r w:rsidR="00AA6054">
        <w:rPr>
          <w:lang w:val="en-US"/>
        </w:rPr>
        <w:t xml:space="preserve">vides the feedback </w:t>
      </w:r>
      <w:r w:rsidR="005509C0">
        <w:rPr>
          <w:lang w:val="en-US"/>
        </w:rPr>
        <w:t>from</w:t>
      </w:r>
      <w:r w:rsidR="00AA6054">
        <w:rPr>
          <w:lang w:val="en-US"/>
        </w:rPr>
        <w:t xml:space="preserve"> the last SG 5 meeting (21 – 23 November 2011)</w:t>
      </w:r>
      <w:r w:rsidR="00236A4A">
        <w:rPr>
          <w:lang w:val="en-US"/>
        </w:rPr>
        <w:t>, RA-12 (16 – 20 January 2012),</w:t>
      </w:r>
      <w:r w:rsidR="00AA6054">
        <w:rPr>
          <w:lang w:val="en-US"/>
        </w:rPr>
        <w:t xml:space="preserve"> WRC-12 (23 January 2012 – 17 February 2012)</w:t>
      </w:r>
      <w:r w:rsidR="00236A4A">
        <w:rPr>
          <w:lang w:val="en-US"/>
        </w:rPr>
        <w:t xml:space="preserve"> and CPM15-1 (</w:t>
      </w:r>
      <w:r w:rsidR="00770F1A">
        <w:rPr>
          <w:lang w:val="en-US"/>
        </w:rPr>
        <w:t xml:space="preserve">20 – 21 </w:t>
      </w:r>
      <w:r w:rsidR="00770F1A" w:rsidRPr="006A4D05">
        <w:rPr>
          <w:lang w:val="en-US"/>
        </w:rPr>
        <w:t>February 2012)</w:t>
      </w:r>
      <w:r w:rsidR="00AA6054" w:rsidRPr="006A4D05">
        <w:rPr>
          <w:lang w:val="en-US"/>
        </w:rPr>
        <w:t>.</w:t>
      </w:r>
      <w:r w:rsidR="00BC733C" w:rsidRPr="006A4D05">
        <w:rPr>
          <w:lang w:val="en-US"/>
        </w:rPr>
        <w:t xml:space="preserve"> This feedback only contains information relating to the ECC PT1 activities (IMT, MBB).</w:t>
      </w:r>
    </w:p>
    <w:p w:rsidR="00EE1315" w:rsidRPr="00EE1315" w:rsidRDefault="0059424A" w:rsidP="0059424A">
      <w:pPr>
        <w:jc w:val="center"/>
        <w:rPr>
          <w:b/>
          <w:u w:val="single"/>
          <w:lang w:val="en-US"/>
        </w:rPr>
      </w:pPr>
      <w:r>
        <w:rPr>
          <w:lang w:val="en-US"/>
        </w:rPr>
        <w:br w:type="page"/>
      </w:r>
      <w:r w:rsidR="00EE1315" w:rsidRPr="00EE1315">
        <w:rPr>
          <w:b/>
          <w:u w:val="single"/>
          <w:lang w:val="en-US"/>
        </w:rPr>
        <w:lastRenderedPageBreak/>
        <w:t>Working Party 5D</w:t>
      </w:r>
    </w:p>
    <w:p w:rsidR="00EB0B96" w:rsidRDefault="00EB0B96" w:rsidP="00D053C7">
      <w:pPr>
        <w:ind w:left="-426"/>
        <w:jc w:val="both"/>
        <w:rPr>
          <w:lang w:val="en-US"/>
        </w:rPr>
      </w:pPr>
    </w:p>
    <w:p w:rsidR="00EE1315" w:rsidRDefault="00EB0B96" w:rsidP="00D053C7">
      <w:pPr>
        <w:ind w:left="-426"/>
        <w:jc w:val="both"/>
        <w:rPr>
          <w:lang w:val="en-US"/>
        </w:rPr>
      </w:pPr>
      <w:r>
        <w:rPr>
          <w:lang w:val="en-US"/>
        </w:rPr>
        <w:t>Working Party 5D held its last meeting on 12-19 October 2011.</w:t>
      </w:r>
    </w:p>
    <w:p w:rsidR="00EB0B96" w:rsidRDefault="00EB0B96" w:rsidP="00D053C7">
      <w:pPr>
        <w:ind w:left="-426"/>
        <w:jc w:val="both"/>
        <w:rPr>
          <w:lang w:val="en-US"/>
        </w:rPr>
      </w:pPr>
    </w:p>
    <w:p w:rsidR="00EB0B96" w:rsidRDefault="00EB0B96" w:rsidP="00D053C7">
      <w:pPr>
        <w:ind w:left="-426"/>
        <w:jc w:val="both"/>
        <w:rPr>
          <w:lang w:val="en-US"/>
        </w:rPr>
      </w:pPr>
    </w:p>
    <w:p w:rsidR="00EB0B96" w:rsidRDefault="00EB0B96" w:rsidP="00D053C7">
      <w:pPr>
        <w:ind w:left="-426"/>
        <w:jc w:val="both"/>
        <w:rPr>
          <w:lang w:val="en-US"/>
        </w:rPr>
      </w:pPr>
    </w:p>
    <w:p w:rsidR="00F91BE1" w:rsidRDefault="00F91BE1" w:rsidP="000B4CC0">
      <w:pPr>
        <w:ind w:left="-426"/>
        <w:rPr>
          <w:u w:val="single"/>
          <w:lang w:val="en-US"/>
        </w:rPr>
      </w:pPr>
      <w:r>
        <w:rPr>
          <w:u w:val="single"/>
          <w:lang w:val="en-US"/>
        </w:rPr>
        <w:t xml:space="preserve">1- WP 5D: </w:t>
      </w:r>
      <w:r w:rsidRPr="00A23996">
        <w:rPr>
          <w:u w:val="single"/>
          <w:lang w:val="en-US"/>
        </w:rPr>
        <w:t>Technology</w:t>
      </w:r>
      <w:r>
        <w:rPr>
          <w:u w:val="single"/>
          <w:lang w:val="en-US"/>
        </w:rPr>
        <w:t xml:space="preserve"> aspects</w:t>
      </w:r>
    </w:p>
    <w:p w:rsidR="00F91BE1" w:rsidRPr="00A23996" w:rsidRDefault="00F91BE1" w:rsidP="000B4CC0">
      <w:pPr>
        <w:ind w:left="-426"/>
        <w:rPr>
          <w:u w:val="single"/>
          <w:lang w:val="en-US"/>
        </w:rPr>
      </w:pPr>
    </w:p>
    <w:p w:rsidR="003A14AB" w:rsidRPr="003A14AB" w:rsidRDefault="00F91BE1" w:rsidP="005A3B75">
      <w:pPr>
        <w:numPr>
          <w:ilvl w:val="0"/>
          <w:numId w:val="2"/>
        </w:numPr>
        <w:jc w:val="both"/>
        <w:rPr>
          <w:lang w:val="en-GB"/>
        </w:rPr>
      </w:pPr>
      <w:r w:rsidRPr="00BD0DB8">
        <w:rPr>
          <w:b/>
          <w:i/>
          <w:lang w:val="en-US"/>
        </w:rPr>
        <w:t>IMT-Advanced</w:t>
      </w:r>
      <w:r>
        <w:rPr>
          <w:b/>
          <w:i/>
          <w:lang w:val="en-US"/>
        </w:rPr>
        <w:t xml:space="preserve"> activities</w:t>
      </w:r>
    </w:p>
    <w:p w:rsidR="00146410" w:rsidRDefault="00146410" w:rsidP="00146410">
      <w:pPr>
        <w:numPr>
          <w:ilvl w:val="1"/>
          <w:numId w:val="2"/>
        </w:numPr>
        <w:jc w:val="both"/>
        <w:rPr>
          <w:lang w:val="en-US"/>
        </w:rPr>
      </w:pPr>
      <w:r>
        <w:rPr>
          <w:lang w:val="en-US"/>
        </w:rPr>
        <w:t>Draft New Recommendation ITU-R M</w:t>
      </w:r>
      <w:proofErr w:type="gramStart"/>
      <w:r>
        <w:rPr>
          <w:lang w:val="en-US"/>
        </w:rPr>
        <w:t>.[</w:t>
      </w:r>
      <w:proofErr w:type="gramEnd"/>
      <w:r>
        <w:rPr>
          <w:lang w:val="en-US"/>
        </w:rPr>
        <w:t>IMT.RSPEC] : step 8 of the IMT-Advanced process was completed. Mainly administrative tasks/details remained to finalize, relating to information provided by Transposing Organizations (specification references)</w:t>
      </w:r>
    </w:p>
    <w:p w:rsidR="00F91BE1" w:rsidRPr="005F0B91" w:rsidRDefault="00B2714B" w:rsidP="005F0B91">
      <w:pPr>
        <w:ind w:left="1014"/>
        <w:jc w:val="both"/>
        <w:rPr>
          <w:lang w:val="en-US"/>
        </w:rPr>
      </w:pPr>
      <w:r w:rsidRPr="00146410">
        <w:rPr>
          <w:lang w:val="en-US"/>
        </w:rPr>
        <w:t>All these issues were fixed and the document was completed in Goa and submitted to SG 5 (</w:t>
      </w:r>
      <w:hyperlink r:id="rId8" w:history="1">
        <w:r w:rsidR="005A3B75" w:rsidRPr="00146410">
          <w:rPr>
            <w:rStyle w:val="Lienhypertexte"/>
            <w:lang w:val="en-US"/>
          </w:rPr>
          <w:t>http://www.itu.int/md/R07-SG05-C-0275/en</w:t>
        </w:r>
      </w:hyperlink>
      <w:r w:rsidR="005A3B75" w:rsidRPr="00146410">
        <w:rPr>
          <w:lang w:val="en-US"/>
        </w:rPr>
        <w:t>)</w:t>
      </w:r>
      <w:r w:rsidRPr="00146410">
        <w:rPr>
          <w:lang w:val="en-US"/>
        </w:rPr>
        <w:t xml:space="preserve"> </w:t>
      </w:r>
    </w:p>
    <w:p w:rsidR="00F91BE1" w:rsidRPr="00146410" w:rsidRDefault="00F91BE1" w:rsidP="00146410">
      <w:pPr>
        <w:numPr>
          <w:ilvl w:val="1"/>
          <w:numId w:val="2"/>
        </w:numPr>
        <w:jc w:val="both"/>
        <w:rPr>
          <w:lang w:val="en-US"/>
        </w:rPr>
      </w:pPr>
      <w:r w:rsidRPr="00146410">
        <w:rPr>
          <w:lang w:val="en-US"/>
        </w:rPr>
        <w:t>The procedure for the development of draft revisions of Recommendation ITU-R M</w:t>
      </w:r>
      <w:proofErr w:type="gramStart"/>
      <w:r w:rsidRPr="00146410">
        <w:rPr>
          <w:lang w:val="en-US"/>
        </w:rPr>
        <w:t>.[</w:t>
      </w:r>
      <w:proofErr w:type="gramEnd"/>
      <w:r w:rsidRPr="00146410">
        <w:rPr>
          <w:lang w:val="en-US"/>
        </w:rPr>
        <w:t xml:space="preserve">IMT.RSPEC] has been </w:t>
      </w:r>
      <w:r w:rsidR="005A3B75" w:rsidRPr="00146410">
        <w:rPr>
          <w:lang w:val="en-US"/>
        </w:rPr>
        <w:t>also completed</w:t>
      </w:r>
      <w:r w:rsidR="00146410" w:rsidRPr="00146410">
        <w:rPr>
          <w:lang w:val="en-US"/>
        </w:rPr>
        <w:t xml:space="preserve"> by WP 5D (but not submitted to </w:t>
      </w:r>
      <w:r w:rsidR="005E4501">
        <w:rPr>
          <w:lang w:val="en-US"/>
        </w:rPr>
        <w:t>SG 5</w:t>
      </w:r>
      <w:r w:rsidR="00146410" w:rsidRPr="00146410">
        <w:rPr>
          <w:lang w:val="en-US"/>
        </w:rPr>
        <w:t>)</w:t>
      </w:r>
      <w:r w:rsidR="005A3B75" w:rsidRPr="00146410">
        <w:rPr>
          <w:lang w:val="en-US"/>
        </w:rPr>
        <w:t>.</w:t>
      </w:r>
      <w:r w:rsidRPr="00146410">
        <w:rPr>
          <w:lang w:val="en-US"/>
        </w:rPr>
        <w:t xml:space="preserve"> The latest version of the document can be found at:</w:t>
      </w:r>
    </w:p>
    <w:p w:rsidR="005A3B75" w:rsidRDefault="0048705F" w:rsidP="00146410">
      <w:pPr>
        <w:ind w:left="600" w:firstLine="414"/>
        <w:jc w:val="both"/>
        <w:rPr>
          <w:lang w:val="en-GB"/>
        </w:rPr>
      </w:pPr>
      <w:hyperlink r:id="rId9" w:history="1">
        <w:r w:rsidR="005A3B75" w:rsidRPr="00BD5D31">
          <w:rPr>
            <w:rStyle w:val="Lienhypertexte"/>
            <w:lang w:val="en-GB"/>
          </w:rPr>
          <w:t>http://www.itu.int/md/R07-WP5D-C-1163/en</w:t>
        </w:r>
      </w:hyperlink>
      <w:r w:rsidR="005A3B75">
        <w:rPr>
          <w:lang w:val="en-GB"/>
        </w:rPr>
        <w:t xml:space="preserve"> - ch</w:t>
      </w:r>
      <w:r w:rsidR="003A14AB">
        <w:rPr>
          <w:lang w:val="en-GB"/>
        </w:rPr>
        <w:t>apter 5 - Attachment 5.3</w:t>
      </w:r>
    </w:p>
    <w:p w:rsidR="003A14AB" w:rsidRDefault="005A3B75" w:rsidP="00146410">
      <w:pPr>
        <w:ind w:left="1014"/>
        <w:jc w:val="both"/>
        <w:rPr>
          <w:lang w:val="en-GB"/>
        </w:rPr>
      </w:pPr>
      <w:r>
        <w:rPr>
          <w:lang w:val="en-GB"/>
        </w:rPr>
        <w:t xml:space="preserve">This document will become </w:t>
      </w:r>
      <w:r w:rsidR="003A14AB">
        <w:rPr>
          <w:lang w:val="en-GB"/>
        </w:rPr>
        <w:t>Document IMT.ADV-25, available at:</w:t>
      </w:r>
    </w:p>
    <w:p w:rsidR="00F91BE1" w:rsidRDefault="0048705F" w:rsidP="00146410">
      <w:pPr>
        <w:ind w:left="1014"/>
        <w:jc w:val="both"/>
        <w:rPr>
          <w:lang w:val="en-GB"/>
        </w:rPr>
      </w:pPr>
      <w:hyperlink r:id="rId10" w:history="1">
        <w:r w:rsidR="003A14AB" w:rsidRPr="00BD5D31">
          <w:rPr>
            <w:rStyle w:val="Lienhypertexte"/>
            <w:lang w:val="en-GB"/>
          </w:rPr>
          <w:t>http://www.itu.int/md/R07-IMT.ADV-C</w:t>
        </w:r>
      </w:hyperlink>
      <w:r w:rsidR="003A14AB">
        <w:rPr>
          <w:lang w:val="en-GB"/>
        </w:rPr>
        <w:t xml:space="preserve"> </w:t>
      </w:r>
    </w:p>
    <w:p w:rsidR="005F0B91" w:rsidRPr="00146410" w:rsidRDefault="005F0B91" w:rsidP="005F0B91">
      <w:pPr>
        <w:numPr>
          <w:ilvl w:val="1"/>
          <w:numId w:val="2"/>
        </w:numPr>
        <w:jc w:val="both"/>
        <w:rPr>
          <w:lang w:val="en-US"/>
        </w:rPr>
      </w:pPr>
      <w:r>
        <w:rPr>
          <w:lang w:val="en-US"/>
        </w:rPr>
        <w:t>A document relating to the</w:t>
      </w:r>
      <w:r w:rsidRPr="00146410">
        <w:rPr>
          <w:lang w:val="en-US"/>
        </w:rPr>
        <w:t xml:space="preserve"> </w:t>
      </w:r>
      <w:r>
        <w:rPr>
          <w:lang w:val="en-US"/>
        </w:rPr>
        <w:t>s</w:t>
      </w:r>
      <w:r w:rsidRPr="005F0B91">
        <w:rPr>
          <w:lang w:val="en-US"/>
        </w:rPr>
        <w:t>chedule for revision 1 update</w:t>
      </w:r>
      <w:r w:rsidRPr="00146410">
        <w:rPr>
          <w:lang w:val="en-US"/>
        </w:rPr>
        <w:t xml:space="preserve"> </w:t>
      </w:r>
      <w:r w:rsidRPr="005F0B91">
        <w:rPr>
          <w:lang w:val="en-US"/>
        </w:rPr>
        <w:t>of Recommendation ITU-R M.[IMT.RSPEC]</w:t>
      </w:r>
      <w:r>
        <w:rPr>
          <w:lang w:val="en-US"/>
        </w:rPr>
        <w:t xml:space="preserve"> was developed:</w:t>
      </w:r>
    </w:p>
    <w:p w:rsidR="005F0B91" w:rsidRDefault="0048705F" w:rsidP="005F0B91">
      <w:pPr>
        <w:ind w:left="600" w:firstLine="414"/>
        <w:jc w:val="both"/>
        <w:rPr>
          <w:lang w:val="en-GB"/>
        </w:rPr>
      </w:pPr>
      <w:hyperlink r:id="rId11" w:history="1">
        <w:r w:rsidR="005F0B91" w:rsidRPr="00BD5D31">
          <w:rPr>
            <w:rStyle w:val="Lienhypertexte"/>
            <w:lang w:val="en-GB"/>
          </w:rPr>
          <w:t>http://www.itu.int/md/R07-WP5D-C-1163/en</w:t>
        </w:r>
      </w:hyperlink>
      <w:r w:rsidR="005F0B91">
        <w:rPr>
          <w:lang w:val="en-GB"/>
        </w:rPr>
        <w:t xml:space="preserve"> - chapter 5 - Attachment 5.5</w:t>
      </w:r>
    </w:p>
    <w:p w:rsidR="00F91BE1" w:rsidRPr="00927C10" w:rsidRDefault="00F91BE1" w:rsidP="00BD0DB8">
      <w:pPr>
        <w:ind w:left="294"/>
        <w:jc w:val="both"/>
        <w:rPr>
          <w:lang w:val="en-GB"/>
        </w:rPr>
      </w:pPr>
    </w:p>
    <w:p w:rsidR="00F91BE1" w:rsidRDefault="00F91BE1" w:rsidP="00F365C6">
      <w:pPr>
        <w:numPr>
          <w:ilvl w:val="0"/>
          <w:numId w:val="2"/>
        </w:numPr>
        <w:jc w:val="both"/>
        <w:rPr>
          <w:lang w:val="en-US"/>
        </w:rPr>
      </w:pPr>
      <w:r w:rsidRPr="00BD0DB8">
        <w:rPr>
          <w:b/>
          <w:i/>
          <w:lang w:val="en-US"/>
        </w:rPr>
        <w:t>IMT-</w:t>
      </w:r>
      <w:r>
        <w:rPr>
          <w:b/>
          <w:i/>
          <w:lang w:val="en-US"/>
        </w:rPr>
        <w:t>2000 activities</w:t>
      </w:r>
    </w:p>
    <w:p w:rsidR="00F91BE1" w:rsidRDefault="00F91BE1" w:rsidP="00F365C6">
      <w:pPr>
        <w:numPr>
          <w:ilvl w:val="1"/>
          <w:numId w:val="2"/>
        </w:numPr>
        <w:jc w:val="both"/>
        <w:rPr>
          <w:lang w:val="en-US"/>
        </w:rPr>
      </w:pPr>
      <w:r>
        <w:rPr>
          <w:lang w:val="en-US"/>
        </w:rPr>
        <w:t>Revision 10 of Recommendat</w:t>
      </w:r>
      <w:r w:rsidR="005509C0">
        <w:rPr>
          <w:lang w:val="en-US"/>
        </w:rPr>
        <w:t>ion ITU-R M.1457 had been adopt</w:t>
      </w:r>
      <w:r>
        <w:rPr>
          <w:lang w:val="en-US"/>
        </w:rPr>
        <w:t xml:space="preserve">ed by </w:t>
      </w:r>
      <w:r w:rsidR="005E4501">
        <w:rPr>
          <w:lang w:val="en-US"/>
        </w:rPr>
        <w:t>SG 5</w:t>
      </w:r>
      <w:r>
        <w:rPr>
          <w:lang w:val="en-US"/>
        </w:rPr>
        <w:t xml:space="preserve"> in November 2010.</w:t>
      </w:r>
    </w:p>
    <w:p w:rsidR="00F91BE1" w:rsidRDefault="00F91BE1" w:rsidP="00F365C6">
      <w:pPr>
        <w:numPr>
          <w:ilvl w:val="1"/>
          <w:numId w:val="2"/>
        </w:numPr>
        <w:jc w:val="both"/>
        <w:rPr>
          <w:lang w:val="en-US"/>
        </w:rPr>
      </w:pPr>
      <w:r>
        <w:rPr>
          <w:lang w:val="en-US"/>
        </w:rPr>
        <w:t>The 11</w:t>
      </w:r>
      <w:r w:rsidRPr="005540CD">
        <w:rPr>
          <w:vertAlign w:val="superscript"/>
          <w:lang w:val="en-US"/>
        </w:rPr>
        <w:t>th</w:t>
      </w:r>
      <w:r>
        <w:rPr>
          <w:lang w:val="en-US"/>
        </w:rPr>
        <w:t xml:space="preserve"> revision cycle of that Recomm</w:t>
      </w:r>
      <w:r w:rsidR="005F0B91">
        <w:rPr>
          <w:lang w:val="en-US"/>
        </w:rPr>
        <w:t>endation started in July 2011 (i</w:t>
      </w:r>
      <w:r>
        <w:rPr>
          <w:lang w:val="en-US"/>
        </w:rPr>
        <w:t xml:space="preserve">t was decided that it was meeting X). This revision will be completed in </w:t>
      </w:r>
      <w:r w:rsidR="00FC5DD7">
        <w:rPr>
          <w:lang w:val="en-US"/>
        </w:rPr>
        <w:t xml:space="preserve">May </w:t>
      </w:r>
      <w:r>
        <w:rPr>
          <w:lang w:val="en-US"/>
        </w:rPr>
        <w:t xml:space="preserve">2012 and submitted to </w:t>
      </w:r>
      <w:r w:rsidR="005E4501">
        <w:rPr>
          <w:lang w:val="en-US"/>
        </w:rPr>
        <w:t>SG 5</w:t>
      </w:r>
      <w:r>
        <w:rPr>
          <w:lang w:val="en-US"/>
        </w:rPr>
        <w:t xml:space="preserve"> in November 2012.</w:t>
      </w:r>
    </w:p>
    <w:p w:rsidR="00FC5DD7" w:rsidRDefault="00FC5DD7" w:rsidP="005F0B91">
      <w:pPr>
        <w:ind w:left="1014"/>
        <w:jc w:val="both"/>
        <w:rPr>
          <w:lang w:val="en-US"/>
        </w:rPr>
      </w:pPr>
      <w:r>
        <w:rPr>
          <w:lang w:val="en-US"/>
        </w:rPr>
        <w:t xml:space="preserve">The </w:t>
      </w:r>
      <w:r w:rsidRPr="00FC5DD7">
        <w:rPr>
          <w:lang w:val="en-US"/>
        </w:rPr>
        <w:t>Roadmap for c</w:t>
      </w:r>
      <w:r w:rsidR="005F0B91">
        <w:rPr>
          <w:lang w:val="en-US"/>
        </w:rPr>
        <w:t xml:space="preserve">urrent work relevant to future </w:t>
      </w:r>
      <w:r w:rsidRPr="00FC5DD7">
        <w:rPr>
          <w:lang w:val="en-US"/>
        </w:rPr>
        <w:t>updates of Recommendation ITU-R M.1457</w:t>
      </w:r>
      <w:r w:rsidR="005F0B91">
        <w:rPr>
          <w:lang w:val="en-US"/>
        </w:rPr>
        <w:t xml:space="preserve"> was updated and is available at: </w:t>
      </w:r>
      <w:hyperlink r:id="rId12" w:history="1">
        <w:r w:rsidR="005F0B91" w:rsidRPr="00BD5D31">
          <w:rPr>
            <w:rStyle w:val="Lienhypertexte"/>
            <w:lang w:val="en-GB"/>
          </w:rPr>
          <w:t>http://www.itu.int/md/R07-WP5D-C-1163/en</w:t>
        </w:r>
      </w:hyperlink>
      <w:r w:rsidR="005F0B91">
        <w:rPr>
          <w:lang w:val="en-GB"/>
        </w:rPr>
        <w:t xml:space="preserve"> - chapter 5 - Attachment 5.2)</w:t>
      </w:r>
    </w:p>
    <w:p w:rsidR="00FC5DD7" w:rsidRDefault="005F0B91" w:rsidP="00FC5DD7">
      <w:pPr>
        <w:numPr>
          <w:ilvl w:val="1"/>
          <w:numId w:val="2"/>
        </w:numPr>
        <w:jc w:val="both"/>
        <w:rPr>
          <w:lang w:val="en-US"/>
        </w:rPr>
      </w:pPr>
      <w:r>
        <w:rPr>
          <w:lang w:val="en-US"/>
        </w:rPr>
        <w:t xml:space="preserve">Draft </w:t>
      </w:r>
      <w:r w:rsidR="00F91BE1">
        <w:rPr>
          <w:lang w:val="en-US"/>
        </w:rPr>
        <w:t>Revisions 4 of Recommenda</w:t>
      </w:r>
      <w:r w:rsidR="00FC5DD7">
        <w:rPr>
          <w:lang w:val="en-US"/>
        </w:rPr>
        <w:t>tions ITU-R M.1580 and 1581 had</w:t>
      </w:r>
      <w:r w:rsidR="00F91BE1">
        <w:rPr>
          <w:lang w:val="en-US"/>
        </w:rPr>
        <w:t xml:space="preserve"> been completed</w:t>
      </w:r>
      <w:r w:rsidR="00FC5DD7">
        <w:rPr>
          <w:lang w:val="en-US"/>
        </w:rPr>
        <w:t xml:space="preserve"> in July. No activity occurred in October and both documents were sent to </w:t>
      </w:r>
      <w:r w:rsidR="005E4501">
        <w:rPr>
          <w:lang w:val="en-US"/>
        </w:rPr>
        <w:t>SG 5</w:t>
      </w:r>
      <w:r w:rsidR="00FC5DD7">
        <w:rPr>
          <w:lang w:val="en-US"/>
        </w:rPr>
        <w:t xml:space="preserve"> (see </w:t>
      </w:r>
      <w:hyperlink r:id="rId13" w:history="1">
        <w:r w:rsidR="00FC5DD7" w:rsidRPr="00BD5D31">
          <w:rPr>
            <w:rStyle w:val="Lienhypertexte"/>
            <w:lang w:val="en-US"/>
          </w:rPr>
          <w:t>http://www.itu.int/md/R07-SG05-C-0270/en</w:t>
        </w:r>
      </w:hyperlink>
      <w:r w:rsidR="00FC5DD7">
        <w:rPr>
          <w:lang w:val="en-US"/>
        </w:rPr>
        <w:t xml:space="preserve"> and </w:t>
      </w:r>
      <w:hyperlink r:id="rId14" w:history="1">
        <w:r w:rsidR="00FC5DD7" w:rsidRPr="00BD5D31">
          <w:rPr>
            <w:rStyle w:val="Lienhypertexte"/>
            <w:lang w:val="en-US"/>
          </w:rPr>
          <w:t>http://www.itu.int/md/R07-SG05-C-0271/en</w:t>
        </w:r>
      </w:hyperlink>
      <w:r w:rsidR="00FC5DD7">
        <w:rPr>
          <w:lang w:val="en-US"/>
        </w:rPr>
        <w:t>)</w:t>
      </w:r>
    </w:p>
    <w:p w:rsidR="00F91BE1" w:rsidRDefault="00F91BE1" w:rsidP="00236BD1">
      <w:pPr>
        <w:numPr>
          <w:ilvl w:val="1"/>
          <w:numId w:val="2"/>
        </w:numPr>
        <w:jc w:val="both"/>
        <w:rPr>
          <w:lang w:val="en-US"/>
        </w:rPr>
      </w:pPr>
      <w:r>
        <w:rPr>
          <w:lang w:val="en-US"/>
        </w:rPr>
        <w:t>New Recommendations will be developed to address the unwanted emissions of IMT-Advanced interfaces.</w:t>
      </w:r>
    </w:p>
    <w:p w:rsidR="00F91BE1" w:rsidRDefault="00F91BE1" w:rsidP="004A56DD">
      <w:pPr>
        <w:overflowPunct/>
        <w:autoSpaceDE/>
        <w:autoSpaceDN/>
        <w:adjustRightInd/>
        <w:ind w:left="360"/>
        <w:jc w:val="both"/>
        <w:textAlignment w:val="auto"/>
        <w:rPr>
          <w:lang w:val="en-GB"/>
        </w:rPr>
      </w:pPr>
    </w:p>
    <w:p w:rsidR="00F91BE1" w:rsidRDefault="00F91BE1" w:rsidP="00FF7F85">
      <w:pPr>
        <w:numPr>
          <w:ilvl w:val="0"/>
          <w:numId w:val="1"/>
        </w:numPr>
        <w:overflowPunct/>
        <w:autoSpaceDE/>
        <w:autoSpaceDN/>
        <w:adjustRightInd/>
        <w:jc w:val="both"/>
        <w:textAlignment w:val="auto"/>
        <w:rPr>
          <w:lang w:val="en-GB"/>
        </w:rPr>
      </w:pPr>
      <w:r w:rsidRPr="008B6269">
        <w:rPr>
          <w:b/>
          <w:i/>
          <w:lang w:val="en-GB"/>
        </w:rPr>
        <w:t>Cognitive radio for IMT</w:t>
      </w:r>
      <w:r>
        <w:rPr>
          <w:lang w:val="en-GB"/>
        </w:rPr>
        <w:t>: the</w:t>
      </w:r>
      <w:r w:rsidRPr="00C53CDA">
        <w:rPr>
          <w:lang w:val="en-GB"/>
        </w:rPr>
        <w:t xml:space="preserve"> </w:t>
      </w:r>
      <w:r w:rsidR="005509C0">
        <w:rPr>
          <w:lang w:val="en-GB"/>
        </w:rPr>
        <w:t>Draft N</w:t>
      </w:r>
      <w:r w:rsidR="002A39C1" w:rsidRPr="002A39C1">
        <w:rPr>
          <w:lang w:val="en-GB"/>
        </w:rPr>
        <w:t>ew Report ITU-R M.[IMT.CRS]</w:t>
      </w:r>
      <w:r w:rsidR="002A39C1">
        <w:rPr>
          <w:lang w:val="en-GB"/>
        </w:rPr>
        <w:t xml:space="preserve"> has been completed and submitted to </w:t>
      </w:r>
      <w:r w:rsidR="005E4501">
        <w:rPr>
          <w:lang w:val="en-GB"/>
        </w:rPr>
        <w:t>SG 5</w:t>
      </w:r>
      <w:r w:rsidR="002A39C1">
        <w:rPr>
          <w:lang w:val="en-GB"/>
        </w:rPr>
        <w:t>:</w:t>
      </w:r>
    </w:p>
    <w:p w:rsidR="00B119FE" w:rsidRDefault="0048705F" w:rsidP="00175400">
      <w:pPr>
        <w:overflowPunct/>
        <w:autoSpaceDE/>
        <w:autoSpaceDN/>
        <w:adjustRightInd/>
        <w:ind w:left="360"/>
        <w:jc w:val="both"/>
        <w:textAlignment w:val="auto"/>
      </w:pPr>
      <w:hyperlink r:id="rId15" w:history="1">
        <w:r w:rsidR="002A39C1" w:rsidRPr="00BD5D31">
          <w:rPr>
            <w:rStyle w:val="Lienhypertexte"/>
          </w:rPr>
          <w:t>http://www.itu.int/md/R07-SG05-C-0287/en</w:t>
        </w:r>
      </w:hyperlink>
    </w:p>
    <w:p w:rsidR="00F91BE1" w:rsidRPr="00B91DC8" w:rsidRDefault="002A39C1" w:rsidP="00175400">
      <w:pPr>
        <w:overflowPunct/>
        <w:autoSpaceDE/>
        <w:autoSpaceDN/>
        <w:adjustRightInd/>
        <w:ind w:left="360"/>
        <w:jc w:val="both"/>
        <w:textAlignment w:val="auto"/>
        <w:rPr>
          <w:lang w:val="en-GB"/>
        </w:rPr>
      </w:pPr>
      <w:r>
        <w:t xml:space="preserve"> </w:t>
      </w:r>
    </w:p>
    <w:p w:rsidR="002A39C1" w:rsidRDefault="00F91BE1" w:rsidP="002A39C1">
      <w:pPr>
        <w:numPr>
          <w:ilvl w:val="0"/>
          <w:numId w:val="1"/>
        </w:numPr>
        <w:overflowPunct/>
        <w:autoSpaceDE/>
        <w:autoSpaceDN/>
        <w:adjustRightInd/>
        <w:jc w:val="both"/>
        <w:textAlignment w:val="auto"/>
        <w:rPr>
          <w:lang w:val="en-GB"/>
        </w:rPr>
      </w:pPr>
      <w:r w:rsidRPr="002A39C1">
        <w:rPr>
          <w:b/>
          <w:i/>
          <w:lang w:val="en-GB"/>
        </w:rPr>
        <w:t>Revision of Recommendation ITU-R M.1579</w:t>
      </w:r>
      <w:r w:rsidRPr="002A39C1">
        <w:rPr>
          <w:lang w:val="en-GB"/>
        </w:rPr>
        <w:t xml:space="preserve">: the revision of this Recommendation on global circulation of IMT-2000 terminal has been </w:t>
      </w:r>
      <w:r w:rsidR="002A39C1" w:rsidRPr="002A39C1">
        <w:rPr>
          <w:lang w:val="en-GB"/>
        </w:rPr>
        <w:t>completed</w:t>
      </w:r>
      <w:r w:rsidRPr="002A39C1">
        <w:rPr>
          <w:lang w:val="en-GB"/>
        </w:rPr>
        <w:t xml:space="preserve">. This revision relates to the removal of the satellite component of IMT-2000. It had been previously decided not to include IMT-Advanced features in this revision. </w:t>
      </w:r>
      <w:r w:rsidR="002A39C1" w:rsidRPr="002A39C1">
        <w:rPr>
          <w:lang w:val="en-GB"/>
        </w:rPr>
        <w:t xml:space="preserve">The document was submitted to </w:t>
      </w:r>
      <w:r w:rsidR="005E4501">
        <w:rPr>
          <w:lang w:val="en-GB"/>
        </w:rPr>
        <w:t>SG 5</w:t>
      </w:r>
      <w:r w:rsidR="002A39C1" w:rsidRPr="002A39C1">
        <w:rPr>
          <w:lang w:val="en-GB"/>
        </w:rPr>
        <w:t>:</w:t>
      </w:r>
    </w:p>
    <w:p w:rsidR="00F91BE1" w:rsidRDefault="0048705F" w:rsidP="002A39C1">
      <w:pPr>
        <w:overflowPunct/>
        <w:autoSpaceDE/>
        <w:autoSpaceDN/>
        <w:adjustRightInd/>
        <w:ind w:left="360"/>
        <w:jc w:val="both"/>
        <w:textAlignment w:val="auto"/>
        <w:rPr>
          <w:lang w:val="en-GB"/>
        </w:rPr>
      </w:pPr>
      <w:hyperlink r:id="rId16" w:history="1">
        <w:r w:rsidR="002A39C1" w:rsidRPr="00BD5D31">
          <w:rPr>
            <w:rStyle w:val="Lienhypertexte"/>
            <w:lang w:val="en-GB"/>
          </w:rPr>
          <w:t>http://www.itu.int/md/R07-SG05-C-0277/en</w:t>
        </w:r>
      </w:hyperlink>
      <w:r w:rsidR="002A39C1">
        <w:rPr>
          <w:lang w:val="en-GB"/>
        </w:rPr>
        <w:t xml:space="preserve"> </w:t>
      </w:r>
    </w:p>
    <w:p w:rsidR="004350D3" w:rsidRDefault="004350D3" w:rsidP="002A39C1">
      <w:pPr>
        <w:overflowPunct/>
        <w:autoSpaceDE/>
        <w:autoSpaceDN/>
        <w:adjustRightInd/>
        <w:ind w:left="360"/>
        <w:jc w:val="both"/>
        <w:textAlignment w:val="auto"/>
        <w:rPr>
          <w:lang w:val="en-GB"/>
        </w:rPr>
      </w:pPr>
    </w:p>
    <w:p w:rsidR="004350D3" w:rsidRPr="004350D3" w:rsidRDefault="004350D3" w:rsidP="004350D3">
      <w:pPr>
        <w:numPr>
          <w:ilvl w:val="0"/>
          <w:numId w:val="1"/>
        </w:numPr>
        <w:overflowPunct/>
        <w:autoSpaceDE/>
        <w:autoSpaceDN/>
        <w:adjustRightInd/>
        <w:jc w:val="both"/>
        <w:textAlignment w:val="auto"/>
        <w:rPr>
          <w:b/>
          <w:i/>
          <w:lang w:val="en-GB"/>
        </w:rPr>
      </w:pPr>
      <w:r>
        <w:rPr>
          <w:b/>
          <w:i/>
          <w:lang w:val="en-GB"/>
        </w:rPr>
        <w:t xml:space="preserve">Use of IMT for PPDR applications: </w:t>
      </w:r>
      <w:r w:rsidRPr="004350D3">
        <w:rPr>
          <w:lang w:val="en-GB"/>
        </w:rPr>
        <w:t>f</w:t>
      </w:r>
      <w:r>
        <w:rPr>
          <w:lang w:val="en-GB"/>
        </w:rPr>
        <w:t>ollowing a pr</w:t>
      </w:r>
      <w:r w:rsidR="00683F14">
        <w:rPr>
          <w:lang w:val="en-GB"/>
        </w:rPr>
        <w:t>oposal from India, a new ITU-R R</w:t>
      </w:r>
      <w:r>
        <w:rPr>
          <w:lang w:val="en-GB"/>
        </w:rPr>
        <w:t>eport will be developed on that matter.</w:t>
      </w:r>
    </w:p>
    <w:p w:rsidR="00F91BE1" w:rsidRPr="00573344" w:rsidRDefault="00F91BE1" w:rsidP="00570F4A">
      <w:pPr>
        <w:ind w:left="294"/>
        <w:rPr>
          <w:lang w:val="en-GB"/>
        </w:rPr>
      </w:pPr>
    </w:p>
    <w:p w:rsidR="00F91BE1" w:rsidRPr="00A23996" w:rsidRDefault="00F91BE1" w:rsidP="00570F4A">
      <w:pPr>
        <w:ind w:left="-426"/>
        <w:rPr>
          <w:u w:val="single"/>
          <w:lang w:val="en-US"/>
        </w:rPr>
      </w:pPr>
      <w:r>
        <w:rPr>
          <w:u w:val="single"/>
          <w:lang w:val="en-US"/>
        </w:rPr>
        <w:t>2- WP 5D: Spectrum aspects</w:t>
      </w:r>
    </w:p>
    <w:p w:rsidR="00F91BE1" w:rsidRDefault="00F91BE1" w:rsidP="00570F4A">
      <w:pPr>
        <w:ind w:left="294"/>
        <w:rPr>
          <w:lang w:val="en-US"/>
        </w:rPr>
      </w:pPr>
    </w:p>
    <w:p w:rsidR="00F91BE1" w:rsidRPr="00927C10" w:rsidRDefault="000C1BF2" w:rsidP="00AB23EA">
      <w:pPr>
        <w:numPr>
          <w:ilvl w:val="0"/>
          <w:numId w:val="1"/>
        </w:numPr>
        <w:overflowPunct/>
        <w:autoSpaceDE/>
        <w:autoSpaceDN/>
        <w:adjustRightInd/>
        <w:jc w:val="both"/>
        <w:textAlignment w:val="auto"/>
        <w:rPr>
          <w:lang w:val="en-GB"/>
        </w:rPr>
      </w:pPr>
      <w:r>
        <w:rPr>
          <w:b/>
          <w:i/>
          <w:lang w:val="en-GB"/>
        </w:rPr>
        <w:lastRenderedPageBreak/>
        <w:t>Draft revision of  Recommendation ITU-R M.1036-3</w:t>
      </w:r>
      <w:r w:rsidR="00F91BE1" w:rsidRPr="00927C10">
        <w:rPr>
          <w:lang w:val="en-GB"/>
        </w:rPr>
        <w:t xml:space="preserve"> </w:t>
      </w:r>
    </w:p>
    <w:p w:rsidR="00F91BE1" w:rsidRDefault="00F91BE1" w:rsidP="00E27A36">
      <w:pPr>
        <w:overflowPunct/>
        <w:autoSpaceDE/>
        <w:autoSpaceDN/>
        <w:adjustRightInd/>
        <w:ind w:firstLine="360"/>
        <w:jc w:val="both"/>
        <w:textAlignment w:val="auto"/>
        <w:rPr>
          <w:lang w:val="en-GB"/>
        </w:rPr>
      </w:pPr>
      <w:r w:rsidRPr="00D4310E">
        <w:rPr>
          <w:lang w:val="en-GB"/>
        </w:rPr>
        <w:t>The discussions were mainly related to the 450 MHz</w:t>
      </w:r>
      <w:r>
        <w:rPr>
          <w:lang w:val="en-GB"/>
        </w:rPr>
        <w:t xml:space="preserve"> and to the </w:t>
      </w:r>
      <w:r w:rsidR="00587EFA">
        <w:t>698-806 MHz bands</w:t>
      </w:r>
      <w:r>
        <w:rPr>
          <w:lang w:val="en-GB"/>
        </w:rPr>
        <w:t>.</w:t>
      </w:r>
    </w:p>
    <w:p w:rsidR="00587EFA" w:rsidRDefault="00F91BE1" w:rsidP="00E27A36">
      <w:pPr>
        <w:overflowPunct/>
        <w:autoSpaceDE/>
        <w:autoSpaceDN/>
        <w:adjustRightInd/>
        <w:ind w:left="360"/>
        <w:jc w:val="both"/>
        <w:textAlignment w:val="auto"/>
      </w:pPr>
      <w:r>
        <w:rPr>
          <w:lang w:val="en-GB"/>
        </w:rPr>
        <w:t>On the 450 MHz band,</w:t>
      </w:r>
      <w:r w:rsidR="00587EFA">
        <w:rPr>
          <w:lang w:val="en-GB"/>
        </w:rPr>
        <w:t xml:space="preserve"> 10 frequency arrangements were contained in the draft revision of Recommendation ITU-R M.1036-3, several of them having in common a duplex separation of 10 MHz. A proposal to simplify the frequency arrangements on that basis had been expressed but there was an opposition from the industry.</w:t>
      </w:r>
      <w:r w:rsidR="00587EFA" w:rsidRPr="00587EFA">
        <w:t xml:space="preserve"> </w:t>
      </w:r>
      <w:r w:rsidR="00587EFA">
        <w:t>A compromise has been reached with the addition of a note highlighting the commonalities between certain frequency arrangements and the fact that such a list of various frequency arrangements is due to the necessary circumstances met on a national basis.</w:t>
      </w:r>
    </w:p>
    <w:p w:rsidR="00587EFA" w:rsidRDefault="00F91BE1" w:rsidP="00587EFA">
      <w:pPr>
        <w:ind w:left="360"/>
        <w:jc w:val="both"/>
      </w:pPr>
      <w:r w:rsidRPr="00587EFA">
        <w:t xml:space="preserve">On the </w:t>
      </w:r>
      <w:r w:rsidR="00587EFA">
        <w:t>698-806 MHz</w:t>
      </w:r>
      <w:r w:rsidRPr="00587EFA">
        <w:t xml:space="preserve"> band, </w:t>
      </w:r>
      <w:r w:rsidR="00587EFA">
        <w:t>the frequency arrangement “A7“ (mixing FDD and TDD) was finally withdrawn.</w:t>
      </w:r>
    </w:p>
    <w:p w:rsidR="00587EFA" w:rsidRPr="00587EFA" w:rsidRDefault="00587EFA" w:rsidP="00E27A36">
      <w:pPr>
        <w:ind w:left="360"/>
        <w:jc w:val="both"/>
      </w:pPr>
      <w:r>
        <w:t>No discussion occured on the 3,5 GHz band.</w:t>
      </w:r>
    </w:p>
    <w:p w:rsidR="00F91BE1" w:rsidRPr="00E27A36" w:rsidRDefault="00F91BE1" w:rsidP="00D4310E">
      <w:pPr>
        <w:jc w:val="both"/>
        <w:rPr>
          <w:lang w:val="en-GB"/>
        </w:rPr>
      </w:pPr>
    </w:p>
    <w:p w:rsidR="00F91BE1" w:rsidRDefault="00F91BE1" w:rsidP="00587EFA">
      <w:pPr>
        <w:overflowPunct/>
        <w:autoSpaceDE/>
        <w:autoSpaceDN/>
        <w:adjustRightInd/>
        <w:ind w:left="360"/>
        <w:jc w:val="both"/>
        <w:textAlignment w:val="auto"/>
        <w:rPr>
          <w:lang w:val="en-GB"/>
        </w:rPr>
      </w:pPr>
      <w:r w:rsidRPr="00CB602A">
        <w:rPr>
          <w:lang w:val="en-GB"/>
        </w:rPr>
        <w:t>T</w:t>
      </w:r>
      <w:r>
        <w:rPr>
          <w:lang w:val="en-GB"/>
        </w:rPr>
        <w:t xml:space="preserve">he </w:t>
      </w:r>
      <w:r w:rsidR="00587EFA">
        <w:rPr>
          <w:lang w:val="en-GB"/>
        </w:rPr>
        <w:t>draft revision</w:t>
      </w:r>
      <w:r>
        <w:rPr>
          <w:lang w:val="en-GB"/>
        </w:rPr>
        <w:t xml:space="preserve"> </w:t>
      </w:r>
      <w:r w:rsidR="00587EFA">
        <w:rPr>
          <w:lang w:val="en-GB"/>
        </w:rPr>
        <w:t xml:space="preserve">was submitted to </w:t>
      </w:r>
      <w:r w:rsidR="005E4501">
        <w:rPr>
          <w:lang w:val="en-GB"/>
        </w:rPr>
        <w:t>SG 5</w:t>
      </w:r>
      <w:r w:rsidR="00587EFA">
        <w:rPr>
          <w:lang w:val="en-GB"/>
        </w:rPr>
        <w:t xml:space="preserve">: </w:t>
      </w:r>
      <w:hyperlink r:id="rId17" w:history="1">
        <w:r w:rsidR="00681E2E" w:rsidRPr="00BD5D31">
          <w:rPr>
            <w:rStyle w:val="Lienhypertexte"/>
            <w:lang w:val="en-GB"/>
          </w:rPr>
          <w:t>http://www.itu.int/md/R07-SG05-C-0274/en</w:t>
        </w:r>
      </w:hyperlink>
      <w:r w:rsidR="00681E2E">
        <w:rPr>
          <w:lang w:val="en-GB"/>
        </w:rPr>
        <w:t xml:space="preserve"> </w:t>
      </w:r>
    </w:p>
    <w:p w:rsidR="00F91BE1" w:rsidRPr="00FF7F85" w:rsidRDefault="00F91BE1" w:rsidP="00D037B2">
      <w:pPr>
        <w:overflowPunct/>
        <w:autoSpaceDE/>
        <w:autoSpaceDN/>
        <w:adjustRightInd/>
        <w:jc w:val="both"/>
        <w:textAlignment w:val="auto"/>
        <w:rPr>
          <w:lang w:val="en-GB"/>
        </w:rPr>
      </w:pPr>
    </w:p>
    <w:p w:rsidR="00F91BE1" w:rsidRDefault="00F91BE1" w:rsidP="00A36782">
      <w:pPr>
        <w:numPr>
          <w:ilvl w:val="0"/>
          <w:numId w:val="1"/>
        </w:numPr>
        <w:overflowPunct/>
        <w:autoSpaceDE/>
        <w:autoSpaceDN/>
        <w:adjustRightInd/>
        <w:jc w:val="both"/>
        <w:textAlignment w:val="auto"/>
        <w:rPr>
          <w:lang w:val="en-GB"/>
        </w:rPr>
      </w:pPr>
      <w:r w:rsidRPr="00FF2B8A">
        <w:rPr>
          <w:b/>
          <w:i/>
          <w:szCs w:val="22"/>
          <w:lang w:val="en-US" w:eastAsia="ko-KR"/>
        </w:rPr>
        <w:t>DNR ITU-R M. [IMT.MITIGATION]</w:t>
      </w:r>
      <w:r w:rsidR="00681E2E">
        <w:rPr>
          <w:szCs w:val="22"/>
          <w:lang w:val="en-US" w:eastAsia="ko-KR"/>
        </w:rPr>
        <w:t>: The</w:t>
      </w:r>
      <w:r>
        <w:rPr>
          <w:szCs w:val="22"/>
          <w:lang w:val="en-US" w:eastAsia="ko-KR"/>
        </w:rPr>
        <w:t xml:space="preserve"> document</w:t>
      </w:r>
      <w:r w:rsidRPr="00943494">
        <w:rPr>
          <w:szCs w:val="22"/>
          <w:lang w:val="en-US" w:eastAsia="ko-KR"/>
        </w:rPr>
        <w:t xml:space="preserve"> </w:t>
      </w:r>
      <w:r>
        <w:rPr>
          <w:szCs w:val="22"/>
          <w:lang w:val="en-US" w:eastAsia="ko-KR"/>
        </w:rPr>
        <w:t xml:space="preserve">has been </w:t>
      </w:r>
      <w:r w:rsidR="00681E2E">
        <w:rPr>
          <w:szCs w:val="22"/>
          <w:lang w:val="en-US" w:eastAsia="ko-KR"/>
        </w:rPr>
        <w:t>completed by WP 5D, which took into account a number of comments expressed by the satellite community</w:t>
      </w:r>
      <w:r w:rsidR="005509C0">
        <w:rPr>
          <w:szCs w:val="22"/>
          <w:lang w:val="en-US" w:eastAsia="ko-KR"/>
        </w:rPr>
        <w:t>. WP 5D</w:t>
      </w:r>
      <w:r w:rsidR="00681E2E">
        <w:rPr>
          <w:szCs w:val="22"/>
          <w:lang w:val="en-US" w:eastAsia="ko-KR"/>
        </w:rPr>
        <w:t xml:space="preserve"> amended the text accordingly</w:t>
      </w:r>
      <w:r w:rsidR="00A36782">
        <w:rPr>
          <w:szCs w:val="22"/>
          <w:lang w:val="en-US" w:eastAsia="ko-KR"/>
        </w:rPr>
        <w:t xml:space="preserve">. The draft new recommendation was submitted to </w:t>
      </w:r>
      <w:r w:rsidR="005E4501">
        <w:rPr>
          <w:szCs w:val="22"/>
          <w:lang w:val="en-US" w:eastAsia="ko-KR"/>
        </w:rPr>
        <w:t>SG 5</w:t>
      </w:r>
      <w:r w:rsidR="00A36782">
        <w:rPr>
          <w:szCs w:val="22"/>
          <w:lang w:val="en-US" w:eastAsia="ko-KR"/>
        </w:rPr>
        <w:t>:</w:t>
      </w:r>
    </w:p>
    <w:p w:rsidR="00A36782" w:rsidRDefault="0048705F" w:rsidP="00A36782">
      <w:pPr>
        <w:overflowPunct/>
        <w:autoSpaceDE/>
        <w:autoSpaceDN/>
        <w:adjustRightInd/>
        <w:ind w:left="360"/>
        <w:jc w:val="both"/>
        <w:textAlignment w:val="auto"/>
        <w:rPr>
          <w:lang w:val="en-GB"/>
        </w:rPr>
      </w:pPr>
      <w:hyperlink r:id="rId18" w:history="1">
        <w:r w:rsidR="00A36782" w:rsidRPr="00BD5D31">
          <w:rPr>
            <w:rStyle w:val="Lienhypertexte"/>
            <w:lang w:val="en-GB"/>
          </w:rPr>
          <w:t>http://www.itu.int/md/R07-SG05-C-0273/en</w:t>
        </w:r>
      </w:hyperlink>
    </w:p>
    <w:p w:rsidR="00A36782" w:rsidRPr="00A36782" w:rsidRDefault="00A36782" w:rsidP="00A36782">
      <w:pPr>
        <w:overflowPunct/>
        <w:autoSpaceDE/>
        <w:autoSpaceDN/>
        <w:adjustRightInd/>
        <w:ind w:left="360"/>
        <w:jc w:val="both"/>
        <w:textAlignment w:val="auto"/>
        <w:rPr>
          <w:lang w:val="en-GB"/>
        </w:rPr>
      </w:pPr>
    </w:p>
    <w:p w:rsidR="00A36782" w:rsidRPr="005509C0" w:rsidRDefault="00F91BE1" w:rsidP="00A36782">
      <w:pPr>
        <w:numPr>
          <w:ilvl w:val="0"/>
          <w:numId w:val="1"/>
        </w:numPr>
        <w:overflowPunct/>
        <w:autoSpaceDE/>
        <w:autoSpaceDN/>
        <w:adjustRightInd/>
        <w:jc w:val="both"/>
        <w:textAlignment w:val="auto"/>
        <w:rPr>
          <w:u w:val="single"/>
          <w:lang w:val="en-GB"/>
        </w:rPr>
      </w:pPr>
      <w:r w:rsidRPr="00FF2B8A">
        <w:rPr>
          <w:b/>
          <w:i/>
          <w:szCs w:val="22"/>
          <w:lang w:val="en-US" w:eastAsia="ko-KR"/>
        </w:rPr>
        <w:t>DNR ITU-R M. [</w:t>
      </w:r>
      <w:r w:rsidRPr="00FF2B8A">
        <w:rPr>
          <w:b/>
          <w:i/>
          <w:szCs w:val="22"/>
          <w:lang w:val="en-US"/>
        </w:rPr>
        <w:t>IMT.SHARING.UHF</w:t>
      </w:r>
      <w:r w:rsidRPr="00FF2B8A">
        <w:rPr>
          <w:b/>
          <w:i/>
          <w:szCs w:val="22"/>
          <w:lang w:val="en-US" w:eastAsia="ko-KR"/>
        </w:rPr>
        <w:t>]</w:t>
      </w:r>
      <w:r>
        <w:rPr>
          <w:lang w:val="en-GB"/>
        </w:rPr>
        <w:t xml:space="preserve">: </w:t>
      </w:r>
      <w:r w:rsidR="00A36782">
        <w:rPr>
          <w:szCs w:val="22"/>
          <w:lang w:val="en-US" w:eastAsia="ko-KR"/>
        </w:rPr>
        <w:t>The draft new report</w:t>
      </w:r>
      <w:r w:rsidR="00A36782" w:rsidRPr="00943494">
        <w:rPr>
          <w:szCs w:val="22"/>
          <w:lang w:val="en-US" w:eastAsia="ko-KR"/>
        </w:rPr>
        <w:t xml:space="preserve"> </w:t>
      </w:r>
      <w:r w:rsidR="00A36782">
        <w:rPr>
          <w:szCs w:val="22"/>
          <w:lang w:val="en-US" w:eastAsia="ko-KR"/>
        </w:rPr>
        <w:t xml:space="preserve">has been completed by WP 5D and was submitted to </w:t>
      </w:r>
      <w:r w:rsidR="005E4501">
        <w:rPr>
          <w:szCs w:val="22"/>
          <w:lang w:val="en-US" w:eastAsia="ko-KR"/>
        </w:rPr>
        <w:t>SG 5</w:t>
      </w:r>
      <w:r w:rsidR="00A36782">
        <w:rPr>
          <w:szCs w:val="22"/>
          <w:lang w:val="en-US" w:eastAsia="ko-KR"/>
        </w:rPr>
        <w:t xml:space="preserve"> (</w:t>
      </w:r>
      <w:hyperlink r:id="rId19" w:history="1">
        <w:r w:rsidR="00A36782" w:rsidRPr="00BD5D31">
          <w:rPr>
            <w:rStyle w:val="Lienhypertexte"/>
            <w:szCs w:val="22"/>
            <w:lang w:val="en-US" w:eastAsia="ko-KR"/>
          </w:rPr>
          <w:t>http://www.itu.int/md/R07-SG05-C-0288/en</w:t>
        </w:r>
      </w:hyperlink>
      <w:r w:rsidR="00A36782">
        <w:rPr>
          <w:szCs w:val="22"/>
          <w:lang w:val="en-US" w:eastAsia="ko-KR"/>
        </w:rPr>
        <w:t xml:space="preserve"> ). The scope of this Report is restricted to the protection of IMT from other systems: ARNS, </w:t>
      </w:r>
      <w:proofErr w:type="gramStart"/>
      <w:r w:rsidR="00A36782">
        <w:rPr>
          <w:szCs w:val="22"/>
          <w:lang w:val="en-US" w:eastAsia="ko-KR"/>
        </w:rPr>
        <w:t>Broadcasting  DTMB</w:t>
      </w:r>
      <w:proofErr w:type="gramEnd"/>
      <w:r w:rsidR="00A36782">
        <w:rPr>
          <w:szCs w:val="22"/>
          <w:lang w:val="en-US" w:eastAsia="ko-KR"/>
        </w:rPr>
        <w:t xml:space="preserve"> and ISDB-T and PPDR (the impact of LTE to PPDR was also assessed). The studies involving DVB-T were withdrawn from the Report</w:t>
      </w:r>
      <w:r w:rsidR="009F595E">
        <w:rPr>
          <w:szCs w:val="22"/>
          <w:lang w:val="en-US" w:eastAsia="ko-KR"/>
        </w:rPr>
        <w:t xml:space="preserve">, given the number of comments provided by WP 6A. Those studies will be further developed during the </w:t>
      </w:r>
      <w:r w:rsidR="005509C0">
        <w:rPr>
          <w:szCs w:val="22"/>
          <w:lang w:val="en-US" w:eastAsia="ko-KR"/>
        </w:rPr>
        <w:t xml:space="preserve">study </w:t>
      </w:r>
      <w:r w:rsidR="009F595E">
        <w:rPr>
          <w:szCs w:val="22"/>
          <w:lang w:val="en-US" w:eastAsia="ko-KR"/>
        </w:rPr>
        <w:t>cycle 2012-2015.</w:t>
      </w:r>
    </w:p>
    <w:p w:rsidR="005509C0" w:rsidRPr="002D173E" w:rsidRDefault="005509C0" w:rsidP="005509C0">
      <w:pPr>
        <w:overflowPunct/>
        <w:autoSpaceDE/>
        <w:autoSpaceDN/>
        <w:adjustRightInd/>
        <w:ind w:left="360"/>
        <w:jc w:val="both"/>
        <w:textAlignment w:val="auto"/>
        <w:rPr>
          <w:u w:val="single"/>
          <w:lang w:val="en-GB"/>
        </w:rPr>
      </w:pPr>
    </w:p>
    <w:p w:rsidR="002D173E" w:rsidRDefault="002D173E" w:rsidP="00A36782">
      <w:pPr>
        <w:numPr>
          <w:ilvl w:val="0"/>
          <w:numId w:val="1"/>
        </w:numPr>
        <w:overflowPunct/>
        <w:autoSpaceDE/>
        <w:autoSpaceDN/>
        <w:adjustRightInd/>
        <w:jc w:val="both"/>
        <w:textAlignment w:val="auto"/>
        <w:rPr>
          <w:u w:val="single"/>
          <w:lang w:val="en-GB"/>
        </w:rPr>
      </w:pPr>
      <w:r>
        <w:rPr>
          <w:b/>
          <w:i/>
          <w:szCs w:val="22"/>
          <w:lang w:val="en-US" w:eastAsia="ko-KR"/>
        </w:rPr>
        <w:t>Proposal</w:t>
      </w:r>
      <w:r w:rsidR="0074723F">
        <w:rPr>
          <w:b/>
          <w:i/>
          <w:szCs w:val="22"/>
          <w:lang w:val="en-US" w:eastAsia="ko-KR"/>
        </w:rPr>
        <w:t>s</w:t>
      </w:r>
      <w:r>
        <w:rPr>
          <w:b/>
          <w:i/>
          <w:szCs w:val="22"/>
          <w:lang w:val="en-US" w:eastAsia="ko-KR"/>
        </w:rPr>
        <w:t xml:space="preserve"> for new sharing studies</w:t>
      </w:r>
      <w:r w:rsidR="0074723F">
        <w:rPr>
          <w:b/>
          <w:i/>
          <w:szCs w:val="22"/>
          <w:lang w:val="en-US" w:eastAsia="ko-KR"/>
        </w:rPr>
        <w:t>:</w:t>
      </w:r>
    </w:p>
    <w:p w:rsidR="002D173E" w:rsidRDefault="002D173E" w:rsidP="002D173E">
      <w:pPr>
        <w:ind w:left="360"/>
        <w:jc w:val="both"/>
        <w:rPr>
          <w:lang w:val="en-US"/>
        </w:rPr>
      </w:pPr>
      <w:r w:rsidRPr="002D173E">
        <w:rPr>
          <w:lang w:val="en-US"/>
        </w:rPr>
        <w:t>WP 5D received a proposal to develop a new ITU-R Report to address</w:t>
      </w:r>
      <w:r>
        <w:rPr>
          <w:lang w:val="en-US"/>
        </w:rPr>
        <w:t xml:space="preserve"> scenarios involving low power IMT systems in the band 3400-3600 MHz.</w:t>
      </w:r>
    </w:p>
    <w:p w:rsidR="005509C0" w:rsidRDefault="002D173E" w:rsidP="002D173E">
      <w:pPr>
        <w:ind w:left="360"/>
        <w:jc w:val="both"/>
        <w:rPr>
          <w:lang w:val="en-US"/>
        </w:rPr>
      </w:pPr>
      <w:r>
        <w:rPr>
          <w:lang w:val="en-US"/>
        </w:rPr>
        <w:t>A second proposal was received relating to a study to address the issue of the guard b</w:t>
      </w:r>
      <w:r w:rsidR="005509C0">
        <w:rPr>
          <w:lang w:val="en-US"/>
        </w:rPr>
        <w:t>ands in the band 2300-2400 MHz.</w:t>
      </w:r>
    </w:p>
    <w:p w:rsidR="002D173E" w:rsidRPr="002D173E" w:rsidRDefault="002D173E" w:rsidP="002D173E">
      <w:pPr>
        <w:ind w:left="360"/>
        <w:jc w:val="both"/>
        <w:rPr>
          <w:lang w:val="en-US"/>
        </w:rPr>
      </w:pPr>
      <w:r>
        <w:rPr>
          <w:lang w:val="en-US"/>
        </w:rPr>
        <w:t>These two proposals will reconsidered in May 2012; the corresponding workplans will need to be developed</w:t>
      </w:r>
      <w:r w:rsidR="005509C0">
        <w:rPr>
          <w:lang w:val="en-US"/>
        </w:rPr>
        <w:t>.</w:t>
      </w:r>
    </w:p>
    <w:p w:rsidR="002D173E" w:rsidRDefault="002D173E" w:rsidP="002D173E">
      <w:pPr>
        <w:ind w:left="360"/>
        <w:jc w:val="both"/>
        <w:rPr>
          <w:lang w:val="en-US"/>
        </w:rPr>
      </w:pPr>
    </w:p>
    <w:p w:rsidR="00F91BE1" w:rsidRPr="005509C0" w:rsidRDefault="00F91BE1" w:rsidP="00441ADC">
      <w:pPr>
        <w:jc w:val="both"/>
        <w:rPr>
          <w:lang w:val="en-US"/>
        </w:rPr>
      </w:pPr>
    </w:p>
    <w:p w:rsidR="00F91BE1" w:rsidRPr="00A23996" w:rsidRDefault="00F91BE1" w:rsidP="005E2735">
      <w:pPr>
        <w:ind w:left="-426"/>
        <w:rPr>
          <w:u w:val="single"/>
          <w:lang w:val="en-US"/>
        </w:rPr>
      </w:pPr>
      <w:r>
        <w:rPr>
          <w:u w:val="single"/>
          <w:lang w:val="en-US"/>
        </w:rPr>
        <w:t>3- WP 5D: General aspects</w:t>
      </w:r>
    </w:p>
    <w:p w:rsidR="00F91BE1" w:rsidRDefault="00F91BE1" w:rsidP="005E2735">
      <w:pPr>
        <w:ind w:left="294"/>
        <w:rPr>
          <w:lang w:val="en-US"/>
        </w:rPr>
      </w:pPr>
    </w:p>
    <w:p w:rsidR="00B121CE" w:rsidRPr="00EB0B96" w:rsidRDefault="00B121CE" w:rsidP="00B121CE">
      <w:pPr>
        <w:numPr>
          <w:ilvl w:val="0"/>
          <w:numId w:val="1"/>
        </w:numPr>
        <w:overflowPunct/>
        <w:autoSpaceDE/>
        <w:autoSpaceDN/>
        <w:adjustRightInd/>
        <w:jc w:val="both"/>
        <w:textAlignment w:val="auto"/>
        <w:rPr>
          <w:lang w:val="en-GB"/>
        </w:rPr>
      </w:pPr>
      <w:r>
        <w:rPr>
          <w:b/>
          <w:i/>
          <w:lang w:val="en-GB"/>
        </w:rPr>
        <w:t>Draft New Report ITU-R M</w:t>
      </w:r>
      <w:proofErr w:type="gramStart"/>
      <w:r>
        <w:rPr>
          <w:b/>
          <w:i/>
          <w:lang w:val="en-GB"/>
        </w:rPr>
        <w:t>.[</w:t>
      </w:r>
      <w:proofErr w:type="gramEnd"/>
      <w:r w:rsidR="00F91BE1" w:rsidRPr="00FF2B8A">
        <w:rPr>
          <w:b/>
          <w:i/>
          <w:lang w:val="en-GB"/>
        </w:rPr>
        <w:t>IMT.UPDATE</w:t>
      </w:r>
      <w:r>
        <w:rPr>
          <w:b/>
          <w:i/>
          <w:lang w:val="en-GB"/>
        </w:rPr>
        <w:t>]</w:t>
      </w:r>
      <w:r w:rsidR="00F91BE1">
        <w:rPr>
          <w:lang w:val="en-GB"/>
        </w:rPr>
        <w:t xml:space="preserve">: </w:t>
      </w:r>
      <w:r>
        <w:rPr>
          <w:lang w:val="en-GB"/>
        </w:rPr>
        <w:t>a correspondence group held during the summer 2011 had well advanced the work prior to the October 2011 meeting of WP5D. Despite long discussions on annex 5 (</w:t>
      </w:r>
      <w:r w:rsidRPr="00276031">
        <w:rPr>
          <w:rFonts w:eastAsia="SimSun"/>
          <w:bCs/>
          <w:szCs w:val="24"/>
          <w:lang w:eastAsia="zh-CN"/>
        </w:rPr>
        <w:t xml:space="preserve">Various Measures to respond to increased </w:t>
      </w:r>
      <w:r>
        <w:rPr>
          <w:rFonts w:eastAsia="SimSun"/>
          <w:bCs/>
          <w:szCs w:val="24"/>
          <w:lang w:eastAsia="zh-CN"/>
        </w:rPr>
        <w:t>m</w:t>
      </w:r>
      <w:r w:rsidRPr="00276031">
        <w:rPr>
          <w:rFonts w:eastAsia="SimSun"/>
          <w:bCs/>
          <w:szCs w:val="24"/>
          <w:lang w:eastAsia="zh-CN"/>
        </w:rPr>
        <w:t xml:space="preserve">obile </w:t>
      </w:r>
      <w:r>
        <w:rPr>
          <w:rFonts w:eastAsia="SimSun"/>
          <w:bCs/>
          <w:szCs w:val="24"/>
          <w:lang w:eastAsia="zh-CN"/>
        </w:rPr>
        <w:t>b</w:t>
      </w:r>
      <w:r w:rsidRPr="00276031">
        <w:rPr>
          <w:rFonts w:eastAsia="SimSun"/>
          <w:bCs/>
          <w:szCs w:val="24"/>
          <w:lang w:eastAsia="zh-CN"/>
        </w:rPr>
        <w:t xml:space="preserve">roadband </w:t>
      </w:r>
      <w:r>
        <w:rPr>
          <w:rFonts w:eastAsia="SimSun"/>
          <w:bCs/>
          <w:szCs w:val="24"/>
          <w:lang w:eastAsia="zh-CN"/>
        </w:rPr>
        <w:t>t</w:t>
      </w:r>
      <w:r w:rsidRPr="00276031">
        <w:rPr>
          <w:rFonts w:eastAsia="SimSun"/>
          <w:bCs/>
          <w:szCs w:val="24"/>
          <w:lang w:eastAsia="zh-CN"/>
        </w:rPr>
        <w:t>raffic</w:t>
      </w:r>
      <w:r>
        <w:rPr>
          <w:rFonts w:eastAsia="SimSun"/>
          <w:bCs/>
          <w:szCs w:val="24"/>
          <w:lang w:eastAsia="zh-CN"/>
        </w:rPr>
        <w:t xml:space="preserve">), the document was completed in due time and approved by WP 5D. The document was submitted to </w:t>
      </w:r>
      <w:r w:rsidR="005E4501">
        <w:rPr>
          <w:rFonts w:eastAsia="SimSun"/>
          <w:bCs/>
          <w:szCs w:val="24"/>
          <w:lang w:eastAsia="zh-CN"/>
        </w:rPr>
        <w:t>SG 5</w:t>
      </w:r>
      <w:r>
        <w:rPr>
          <w:rFonts w:eastAsia="SimSun"/>
          <w:bCs/>
          <w:szCs w:val="24"/>
          <w:lang w:eastAsia="zh-CN"/>
        </w:rPr>
        <w:t xml:space="preserve"> (</w:t>
      </w:r>
      <w:hyperlink r:id="rId20" w:history="1">
        <w:r w:rsidRPr="00BD5D31">
          <w:rPr>
            <w:rStyle w:val="Lienhypertexte"/>
            <w:rFonts w:eastAsia="SimSun"/>
            <w:bCs/>
            <w:szCs w:val="24"/>
            <w:lang w:eastAsia="zh-CN"/>
          </w:rPr>
          <w:t>http://www.itu.int/md/R07-SG05-C-0286/en</w:t>
        </w:r>
      </w:hyperlink>
      <w:r>
        <w:rPr>
          <w:rFonts w:eastAsia="SimSun"/>
          <w:bCs/>
          <w:szCs w:val="24"/>
          <w:lang w:eastAsia="zh-CN"/>
        </w:rPr>
        <w:t>)</w:t>
      </w:r>
    </w:p>
    <w:p w:rsidR="00EB0B96" w:rsidRDefault="00EB0B96" w:rsidP="00EB0B96">
      <w:pPr>
        <w:overflowPunct/>
        <w:autoSpaceDE/>
        <w:autoSpaceDN/>
        <w:adjustRightInd/>
        <w:ind w:left="360"/>
        <w:jc w:val="both"/>
        <w:textAlignment w:val="auto"/>
        <w:rPr>
          <w:lang w:val="en-GB"/>
        </w:rPr>
      </w:pPr>
    </w:p>
    <w:p w:rsidR="00B121CE" w:rsidRPr="0059424A" w:rsidRDefault="0059424A" w:rsidP="00441ADC">
      <w:pPr>
        <w:numPr>
          <w:ilvl w:val="0"/>
          <w:numId w:val="1"/>
        </w:numPr>
        <w:overflowPunct/>
        <w:autoSpaceDE/>
        <w:autoSpaceDN/>
        <w:adjustRightInd/>
        <w:jc w:val="both"/>
        <w:textAlignment w:val="auto"/>
        <w:rPr>
          <w:lang w:val="en-GB"/>
        </w:rPr>
      </w:pPr>
      <w:r w:rsidRPr="0059424A">
        <w:rPr>
          <w:b/>
          <w:i/>
          <w:lang w:val="en-GB"/>
        </w:rPr>
        <w:t>Revision of ITU-R Resolutions, Questions and Opinions</w:t>
      </w:r>
      <w:r w:rsidRPr="0059424A">
        <w:rPr>
          <w:lang w:val="en-GB"/>
        </w:rPr>
        <w:t xml:space="preserve">: a number of documents have been revised by WP 5D, all submitted to </w:t>
      </w:r>
      <w:r w:rsidR="005E4501">
        <w:rPr>
          <w:lang w:val="en-GB"/>
        </w:rPr>
        <w:t>SG 5</w:t>
      </w:r>
      <w:r w:rsidRPr="0059424A">
        <w:rPr>
          <w:lang w:val="en-GB"/>
        </w:rPr>
        <w:t xml:space="preserve"> for approval. The list is provided further down in the document.</w:t>
      </w:r>
    </w:p>
    <w:p w:rsidR="00F91BE1" w:rsidRDefault="00F91BE1" w:rsidP="00DB12C7">
      <w:pPr>
        <w:overflowPunct/>
        <w:autoSpaceDE/>
        <w:autoSpaceDN/>
        <w:adjustRightInd/>
        <w:ind w:left="330"/>
        <w:jc w:val="both"/>
        <w:textAlignment w:val="auto"/>
        <w:rPr>
          <w:lang w:val="en-GB" w:eastAsia="zh-CN"/>
        </w:rPr>
      </w:pPr>
    </w:p>
    <w:p w:rsidR="00AD4109" w:rsidRDefault="00AD4109" w:rsidP="002E781B">
      <w:pPr>
        <w:jc w:val="both"/>
        <w:rPr>
          <w:lang w:val="en-GB" w:eastAsia="zh-CN"/>
        </w:rPr>
      </w:pPr>
    </w:p>
    <w:p w:rsidR="00EE1315" w:rsidRDefault="0059424A" w:rsidP="0059424A">
      <w:pPr>
        <w:jc w:val="center"/>
        <w:rPr>
          <w:b/>
          <w:u w:val="single"/>
          <w:lang w:val="en-US"/>
        </w:rPr>
      </w:pPr>
      <w:r>
        <w:rPr>
          <w:lang w:val="en-GB" w:eastAsia="zh-CN"/>
        </w:rPr>
        <w:br w:type="page"/>
      </w:r>
      <w:r w:rsidR="00EE1315">
        <w:rPr>
          <w:b/>
          <w:u w:val="single"/>
          <w:lang w:val="en-US"/>
        </w:rPr>
        <w:lastRenderedPageBreak/>
        <w:t>Study Group 5</w:t>
      </w:r>
    </w:p>
    <w:p w:rsidR="00EB0B96" w:rsidRDefault="00EB0B96" w:rsidP="0059424A">
      <w:pPr>
        <w:jc w:val="center"/>
        <w:rPr>
          <w:b/>
          <w:u w:val="single"/>
          <w:lang w:val="en-US"/>
        </w:rPr>
      </w:pPr>
    </w:p>
    <w:p w:rsidR="00EB0B96" w:rsidRDefault="00EB0B96" w:rsidP="00EB0B96">
      <w:pPr>
        <w:rPr>
          <w:b/>
          <w:u w:val="single"/>
          <w:lang w:val="en-US"/>
        </w:rPr>
      </w:pPr>
    </w:p>
    <w:p w:rsidR="00EB0B96" w:rsidRDefault="00EB0B96" w:rsidP="00EB0B96">
      <w:pPr>
        <w:ind w:left="-426"/>
        <w:jc w:val="both"/>
        <w:rPr>
          <w:lang w:val="en-US"/>
        </w:rPr>
      </w:pPr>
      <w:r>
        <w:rPr>
          <w:lang w:val="en-US"/>
        </w:rPr>
        <w:t xml:space="preserve">Study Group 5 held </w:t>
      </w:r>
      <w:r w:rsidRPr="006A4D05">
        <w:rPr>
          <w:lang w:val="en-US"/>
        </w:rPr>
        <w:t xml:space="preserve">its last meeting on 21-23 November 2011. A number of documents (Recommendations, Reports, Resolutions, Questions, </w:t>
      </w:r>
      <w:proofErr w:type="gramStart"/>
      <w:r w:rsidRPr="006A4D05">
        <w:rPr>
          <w:lang w:val="en-US"/>
        </w:rPr>
        <w:t>Opinions</w:t>
      </w:r>
      <w:proofErr w:type="gramEnd"/>
      <w:r w:rsidRPr="006A4D05">
        <w:rPr>
          <w:lang w:val="en-US"/>
        </w:rPr>
        <w:t xml:space="preserve">) were submitted </w:t>
      </w:r>
      <w:r w:rsidR="005E4501" w:rsidRPr="006A4D05">
        <w:rPr>
          <w:lang w:val="en-US"/>
        </w:rPr>
        <w:t xml:space="preserve">to SG 5 </w:t>
      </w:r>
      <w:r w:rsidRPr="006A4D05">
        <w:rPr>
          <w:lang w:val="en-US"/>
        </w:rPr>
        <w:t xml:space="preserve">for adoption </w:t>
      </w:r>
      <w:r w:rsidR="005E4501" w:rsidRPr="006A4D05">
        <w:rPr>
          <w:lang w:val="en-US"/>
        </w:rPr>
        <w:t>(</w:t>
      </w:r>
      <w:r w:rsidRPr="006A4D05">
        <w:rPr>
          <w:lang w:val="en-US"/>
        </w:rPr>
        <w:t xml:space="preserve">by </w:t>
      </w:r>
      <w:r w:rsidR="005E4501" w:rsidRPr="006A4D05">
        <w:rPr>
          <w:lang w:val="en-US"/>
        </w:rPr>
        <w:t>SG 5)</w:t>
      </w:r>
      <w:r w:rsidRPr="006A4D05">
        <w:rPr>
          <w:lang w:val="en-US"/>
        </w:rPr>
        <w:t>. This section provides the outcome for each of them</w:t>
      </w:r>
      <w:r w:rsidR="00BC733C" w:rsidRPr="006A4D05">
        <w:rPr>
          <w:lang w:val="en-US"/>
        </w:rPr>
        <w:t>. It only contains the WP 5D part of the SG5 activities</w:t>
      </w:r>
      <w:r w:rsidRPr="006A4D05">
        <w:rPr>
          <w:lang w:val="en-US"/>
        </w:rPr>
        <w:t>.</w:t>
      </w:r>
    </w:p>
    <w:p w:rsidR="00EB0B96" w:rsidRDefault="00EB0B96" w:rsidP="0059424A">
      <w:pPr>
        <w:jc w:val="center"/>
        <w:rPr>
          <w:b/>
          <w:u w:val="single"/>
          <w:lang w:val="en-US"/>
        </w:rPr>
      </w:pPr>
    </w:p>
    <w:p w:rsidR="00EB0B96" w:rsidRPr="00EE1315" w:rsidRDefault="00EB0B96" w:rsidP="0059424A">
      <w:pPr>
        <w:jc w:val="center"/>
        <w:rPr>
          <w:b/>
          <w:u w:val="single"/>
          <w:lang w:val="en-US"/>
        </w:rPr>
      </w:pPr>
    </w:p>
    <w:p w:rsidR="00EE1315" w:rsidRDefault="00AE4883" w:rsidP="00AE4883">
      <w:pPr>
        <w:numPr>
          <w:ilvl w:val="0"/>
          <w:numId w:val="13"/>
        </w:numPr>
        <w:rPr>
          <w:u w:val="single"/>
          <w:lang w:val="en-US"/>
        </w:rPr>
      </w:pPr>
      <w:r>
        <w:rPr>
          <w:u w:val="single"/>
          <w:lang w:val="en-US"/>
        </w:rPr>
        <w:t>D</w:t>
      </w:r>
      <w:r w:rsidR="00653588">
        <w:rPr>
          <w:u w:val="single"/>
          <w:lang w:val="en-US"/>
        </w:rPr>
        <w:t>raft New Recommendations</w:t>
      </w:r>
    </w:p>
    <w:p w:rsidR="00591AFF" w:rsidRDefault="00591AFF" w:rsidP="00591AFF">
      <w:pPr>
        <w:ind w:left="-66"/>
        <w:rPr>
          <w:u w:val="single"/>
          <w:lang w:val="en-US"/>
        </w:rPr>
      </w:pPr>
    </w:p>
    <w:tbl>
      <w:tblPr>
        <w:tblW w:w="9589" w:type="dxa"/>
        <w:jc w:val="center"/>
        <w:tblInd w:w="15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2"/>
        <w:gridCol w:w="3569"/>
        <w:gridCol w:w="5078"/>
      </w:tblGrid>
      <w:tr w:rsidR="00653588" w:rsidRPr="00D662E2" w:rsidTr="00535F62">
        <w:trPr>
          <w:cantSplit/>
          <w:trHeight w:val="900"/>
          <w:tblHeader/>
          <w:jc w:val="center"/>
        </w:trPr>
        <w:tc>
          <w:tcPr>
            <w:tcW w:w="942" w:type="dxa"/>
            <w:shd w:val="clear" w:color="auto" w:fill="FFFFFF"/>
            <w:vAlign w:val="center"/>
          </w:tcPr>
          <w:p w:rsidR="00653588" w:rsidRDefault="00653588" w:rsidP="00535F62">
            <w:pPr>
              <w:tabs>
                <w:tab w:val="left" w:pos="720"/>
              </w:tabs>
              <w:overflowPunct/>
              <w:autoSpaceDE/>
              <w:adjustRightInd/>
              <w:spacing w:before="40" w:after="40" w:line="276" w:lineRule="auto"/>
              <w:jc w:val="center"/>
              <w:rPr>
                <w:rFonts w:ascii="Times New Roman" w:hAnsi="Times New Roman"/>
                <w:b/>
                <w:color w:val="000000"/>
                <w:sz w:val="20"/>
                <w:lang w:val="en-US"/>
              </w:rPr>
            </w:pPr>
            <w:r>
              <w:rPr>
                <w:rFonts w:ascii="Times New Roman" w:hAnsi="Times New Roman"/>
                <w:b/>
                <w:color w:val="000000"/>
                <w:sz w:val="20"/>
                <w:lang w:val="en-US"/>
              </w:rPr>
              <w:t>SG</w:t>
            </w:r>
            <w:r w:rsidR="005E4501">
              <w:rPr>
                <w:rFonts w:ascii="Times New Roman" w:hAnsi="Times New Roman"/>
                <w:b/>
                <w:color w:val="000000"/>
                <w:sz w:val="20"/>
                <w:lang w:val="en-US"/>
              </w:rPr>
              <w:t xml:space="preserve"> </w:t>
            </w:r>
            <w:r>
              <w:rPr>
                <w:rFonts w:ascii="Times New Roman" w:hAnsi="Times New Roman"/>
                <w:b/>
                <w:color w:val="000000"/>
                <w:sz w:val="20"/>
                <w:lang w:val="en-US"/>
              </w:rPr>
              <w:t>5</w:t>
            </w:r>
          </w:p>
          <w:p w:rsidR="00653588" w:rsidRPr="00653588" w:rsidRDefault="00653588" w:rsidP="00535F62">
            <w:pPr>
              <w:tabs>
                <w:tab w:val="left" w:pos="720"/>
              </w:tabs>
              <w:overflowPunct/>
              <w:autoSpaceDE/>
              <w:adjustRightInd/>
              <w:spacing w:before="40" w:after="40" w:line="276" w:lineRule="auto"/>
              <w:jc w:val="center"/>
              <w:rPr>
                <w:rFonts w:ascii="Times New Roman" w:hAnsi="Times New Roman"/>
                <w:b/>
                <w:color w:val="000000"/>
                <w:sz w:val="20"/>
                <w:lang w:val="en-US"/>
              </w:rPr>
            </w:pPr>
            <w:r>
              <w:rPr>
                <w:rFonts w:ascii="Times New Roman" w:hAnsi="Times New Roman"/>
                <w:b/>
                <w:color w:val="000000"/>
                <w:sz w:val="20"/>
                <w:lang w:val="en-US"/>
              </w:rPr>
              <w:t>Ref</w:t>
            </w:r>
          </w:p>
        </w:tc>
        <w:tc>
          <w:tcPr>
            <w:tcW w:w="3569" w:type="dxa"/>
            <w:shd w:val="clear" w:color="auto" w:fill="FFFFFF"/>
            <w:vAlign w:val="center"/>
            <w:hideMark/>
          </w:tcPr>
          <w:p w:rsidR="00653588" w:rsidRPr="00653588" w:rsidRDefault="00653588" w:rsidP="00535F62">
            <w:pPr>
              <w:tabs>
                <w:tab w:val="left" w:pos="720"/>
              </w:tabs>
              <w:overflowPunct/>
              <w:autoSpaceDE/>
              <w:adjustRightInd/>
              <w:spacing w:before="40" w:after="40" w:line="276" w:lineRule="auto"/>
              <w:jc w:val="center"/>
              <w:rPr>
                <w:b/>
                <w:color w:val="000000"/>
                <w:sz w:val="20"/>
                <w:lang w:val="en-US"/>
              </w:rPr>
            </w:pPr>
            <w:r>
              <w:rPr>
                <w:b/>
                <w:color w:val="000000"/>
                <w:sz w:val="20"/>
                <w:lang w:val="en-US"/>
              </w:rPr>
              <w:t>Title</w:t>
            </w:r>
          </w:p>
        </w:tc>
        <w:tc>
          <w:tcPr>
            <w:tcW w:w="5078" w:type="dxa"/>
            <w:shd w:val="clear" w:color="auto" w:fill="FFFFFF"/>
            <w:vAlign w:val="center"/>
            <w:hideMark/>
          </w:tcPr>
          <w:p w:rsidR="00653588" w:rsidRPr="00653588" w:rsidRDefault="00653588" w:rsidP="00535F62">
            <w:pPr>
              <w:tabs>
                <w:tab w:val="left" w:pos="720"/>
              </w:tabs>
              <w:overflowPunct/>
              <w:autoSpaceDE/>
              <w:adjustRightInd/>
              <w:spacing w:before="40" w:after="40" w:line="276" w:lineRule="auto"/>
              <w:jc w:val="center"/>
              <w:rPr>
                <w:rFonts w:ascii="Times New Roman" w:hAnsi="Times New Roman"/>
                <w:b/>
                <w:color w:val="000000"/>
                <w:sz w:val="20"/>
                <w:lang w:val="en-US"/>
              </w:rPr>
            </w:pPr>
            <w:r w:rsidRPr="00653588">
              <w:rPr>
                <w:b/>
                <w:color w:val="000000"/>
                <w:sz w:val="20"/>
                <w:lang w:val="en-US"/>
              </w:rPr>
              <w:t>Observations</w:t>
            </w:r>
          </w:p>
        </w:tc>
      </w:tr>
      <w:tr w:rsidR="00653588" w:rsidRPr="00605992" w:rsidTr="00535F62">
        <w:trPr>
          <w:trHeight w:val="900"/>
          <w:jc w:val="center"/>
        </w:trPr>
        <w:tc>
          <w:tcPr>
            <w:tcW w:w="942" w:type="dxa"/>
            <w:shd w:val="clear" w:color="auto" w:fill="FFFFFF"/>
            <w:vAlign w:val="center"/>
          </w:tcPr>
          <w:p w:rsidR="00653588" w:rsidRPr="00653588" w:rsidRDefault="0048705F" w:rsidP="00535F62">
            <w:pPr>
              <w:tabs>
                <w:tab w:val="left" w:pos="720"/>
              </w:tabs>
              <w:overflowPunct/>
              <w:autoSpaceDE/>
              <w:adjustRightInd/>
              <w:spacing w:before="40" w:after="40" w:line="276" w:lineRule="auto"/>
              <w:jc w:val="center"/>
              <w:rPr>
                <w:rFonts w:ascii="Times New Roman" w:hAnsi="Times New Roman"/>
                <w:b/>
                <w:color w:val="000000"/>
                <w:sz w:val="20"/>
                <w:lang w:val="en-US"/>
              </w:rPr>
            </w:pPr>
            <w:hyperlink r:id="rId21" w:history="1">
              <w:r w:rsidR="00653588" w:rsidRPr="00653588">
                <w:rPr>
                  <w:rStyle w:val="Lienhypertexte"/>
                  <w:rFonts w:ascii="Times New Roman" w:hAnsi="Times New Roman"/>
                  <w:sz w:val="20"/>
                  <w:lang w:val="en-US"/>
                </w:rPr>
                <w:t>5/276</w:t>
              </w:r>
            </w:hyperlink>
          </w:p>
        </w:tc>
        <w:tc>
          <w:tcPr>
            <w:tcW w:w="3569" w:type="dxa"/>
            <w:shd w:val="clear" w:color="auto" w:fill="FFFFFF"/>
            <w:hideMark/>
          </w:tcPr>
          <w:p w:rsidR="00653588" w:rsidRPr="00C24E3D" w:rsidRDefault="00653588" w:rsidP="00535F62">
            <w:pPr>
              <w:spacing w:before="40" w:after="40" w:line="276" w:lineRule="auto"/>
              <w:rPr>
                <w:color w:val="000000"/>
                <w:sz w:val="20"/>
                <w:lang w:val="en-US"/>
              </w:rPr>
            </w:pPr>
            <w:r w:rsidRPr="00C24E3D">
              <w:rPr>
                <w:color w:val="000000"/>
                <w:sz w:val="20"/>
                <w:lang w:val="en-US"/>
              </w:rPr>
              <w:t>Draft revision of Recommendation ITU-R M.1224 - Vocabulary of terms for International Mobile Telecommunications (IMT)</w:t>
            </w:r>
          </w:p>
        </w:tc>
        <w:tc>
          <w:tcPr>
            <w:tcW w:w="5078" w:type="dxa"/>
            <w:shd w:val="clear" w:color="auto" w:fill="FFFFFF"/>
            <w:vAlign w:val="center"/>
            <w:hideMark/>
          </w:tcPr>
          <w:p w:rsidR="00653588" w:rsidRPr="00C24E3D" w:rsidRDefault="00653588" w:rsidP="00535F62">
            <w:pPr>
              <w:tabs>
                <w:tab w:val="left" w:pos="720"/>
              </w:tabs>
              <w:overflowPunct/>
              <w:autoSpaceDE/>
              <w:adjustRightInd/>
              <w:spacing w:before="40" w:after="40" w:line="276" w:lineRule="auto"/>
              <w:rPr>
                <w:color w:val="000000"/>
                <w:sz w:val="20"/>
                <w:lang w:val="en-US"/>
              </w:rPr>
            </w:pPr>
            <w:r w:rsidRPr="00C24E3D">
              <w:rPr>
                <w:color w:val="000000"/>
                <w:sz w:val="20"/>
                <w:lang w:val="en-US"/>
              </w:rPr>
              <w:t xml:space="preserve">The draft </w:t>
            </w:r>
            <w:proofErr w:type="gramStart"/>
            <w:r w:rsidRPr="00C24E3D">
              <w:rPr>
                <w:color w:val="000000"/>
                <w:sz w:val="20"/>
                <w:lang w:val="en-US"/>
              </w:rPr>
              <w:t>revision complements the initial version and extend</w:t>
            </w:r>
            <w:proofErr w:type="gramEnd"/>
            <w:r w:rsidRPr="00C24E3D">
              <w:rPr>
                <w:color w:val="000000"/>
                <w:sz w:val="20"/>
                <w:lang w:val="en-US"/>
              </w:rPr>
              <w:t xml:space="preserve"> the scope to IMT-Advanced.</w:t>
            </w:r>
          </w:p>
          <w:p w:rsidR="00653588" w:rsidRPr="00C24E3D" w:rsidRDefault="00A15928" w:rsidP="00A15928">
            <w:pPr>
              <w:tabs>
                <w:tab w:val="left" w:pos="720"/>
              </w:tabs>
              <w:overflowPunct/>
              <w:autoSpaceDE/>
              <w:adjustRightInd/>
              <w:spacing w:before="40" w:after="40" w:line="276" w:lineRule="auto"/>
              <w:rPr>
                <w:color w:val="000000"/>
                <w:sz w:val="20"/>
                <w:lang w:val="en-US"/>
              </w:rPr>
            </w:pPr>
            <w:r w:rsidRPr="00C24E3D">
              <w:rPr>
                <w:color w:val="000000"/>
                <w:sz w:val="20"/>
                <w:lang w:val="en-US"/>
              </w:rPr>
              <w:t>The document was adopted by SG</w:t>
            </w:r>
            <w:r w:rsidR="005E4501">
              <w:rPr>
                <w:color w:val="000000"/>
                <w:sz w:val="20"/>
                <w:lang w:val="en-US"/>
              </w:rPr>
              <w:t xml:space="preserve"> </w:t>
            </w:r>
            <w:r w:rsidRPr="00C24E3D">
              <w:rPr>
                <w:color w:val="000000"/>
                <w:sz w:val="20"/>
                <w:lang w:val="en-US"/>
              </w:rPr>
              <w:t>5 and submitted to Administrations for approval</w:t>
            </w:r>
            <w:r w:rsidR="00653588" w:rsidRPr="00C24E3D">
              <w:rPr>
                <w:color w:val="000000"/>
                <w:sz w:val="20"/>
                <w:lang w:val="en-US"/>
              </w:rPr>
              <w:t xml:space="preserve"> </w:t>
            </w:r>
            <w:r w:rsidRPr="00C24E3D">
              <w:rPr>
                <w:color w:val="000000"/>
                <w:sz w:val="20"/>
                <w:lang w:val="en-US"/>
              </w:rPr>
              <w:t>according to Resolution ITU-R 1-5 (10.4.5</w:t>
            </w:r>
            <w:r w:rsidR="00653588" w:rsidRPr="00C24E3D">
              <w:rPr>
                <w:color w:val="000000"/>
                <w:sz w:val="20"/>
                <w:lang w:val="en-US"/>
              </w:rPr>
              <w:t xml:space="preserve">). </w:t>
            </w:r>
          </w:p>
        </w:tc>
      </w:tr>
      <w:tr w:rsidR="00653588" w:rsidRPr="00A15928" w:rsidTr="00535F62">
        <w:trPr>
          <w:trHeight w:val="900"/>
          <w:jc w:val="center"/>
        </w:trPr>
        <w:tc>
          <w:tcPr>
            <w:tcW w:w="942" w:type="dxa"/>
            <w:shd w:val="clear" w:color="auto" w:fill="FFFFFF"/>
            <w:vAlign w:val="center"/>
          </w:tcPr>
          <w:p w:rsidR="00653588" w:rsidRPr="00653588" w:rsidRDefault="0048705F" w:rsidP="00535F62">
            <w:pPr>
              <w:tabs>
                <w:tab w:val="left" w:pos="720"/>
              </w:tabs>
              <w:overflowPunct/>
              <w:autoSpaceDE/>
              <w:adjustRightInd/>
              <w:spacing w:before="40" w:after="40" w:line="276" w:lineRule="auto"/>
              <w:jc w:val="center"/>
              <w:rPr>
                <w:rFonts w:ascii="Times New Roman" w:hAnsi="Times New Roman"/>
                <w:b/>
                <w:color w:val="000000"/>
                <w:sz w:val="20"/>
                <w:highlight w:val="yellow"/>
                <w:lang w:val="en-US"/>
              </w:rPr>
            </w:pPr>
            <w:hyperlink r:id="rId22" w:history="1">
              <w:r w:rsidR="00653588" w:rsidRPr="00A15928">
                <w:rPr>
                  <w:rStyle w:val="Lienhypertexte"/>
                  <w:rFonts w:ascii="Times New Roman" w:hAnsi="Times New Roman"/>
                  <w:sz w:val="20"/>
                  <w:lang w:val="en-US"/>
                </w:rPr>
                <w:t>5/275</w:t>
              </w:r>
            </w:hyperlink>
          </w:p>
        </w:tc>
        <w:tc>
          <w:tcPr>
            <w:tcW w:w="3569" w:type="dxa"/>
            <w:shd w:val="clear" w:color="auto" w:fill="FFFFFF"/>
            <w:hideMark/>
          </w:tcPr>
          <w:p w:rsidR="00653588" w:rsidRPr="00C24E3D" w:rsidRDefault="00A15928" w:rsidP="00535F62">
            <w:pPr>
              <w:spacing w:before="40" w:after="40" w:line="276" w:lineRule="auto"/>
              <w:rPr>
                <w:color w:val="000000"/>
                <w:sz w:val="20"/>
                <w:lang w:val="en-US"/>
              </w:rPr>
            </w:pPr>
            <w:r w:rsidRPr="00C24E3D">
              <w:rPr>
                <w:color w:val="000000"/>
                <w:sz w:val="20"/>
                <w:lang w:val="en-US"/>
              </w:rPr>
              <w:t>Draft new Recommendation ITU-R M.[IMT.RSPEC] - Detailed specifications of the terrestrial radio interfaces of International Mobile Telecommunications-Advanced (IMT-Advanced)</w:t>
            </w:r>
          </w:p>
        </w:tc>
        <w:tc>
          <w:tcPr>
            <w:tcW w:w="5078" w:type="dxa"/>
            <w:shd w:val="clear" w:color="auto" w:fill="FFFFFF"/>
            <w:vAlign w:val="center"/>
            <w:hideMark/>
          </w:tcPr>
          <w:p w:rsidR="00A15928" w:rsidRPr="00C24E3D" w:rsidRDefault="00A15928" w:rsidP="00535F62">
            <w:pPr>
              <w:tabs>
                <w:tab w:val="left" w:pos="720"/>
              </w:tabs>
              <w:overflowPunct/>
              <w:autoSpaceDE/>
              <w:adjustRightInd/>
              <w:spacing w:before="40" w:after="40" w:line="276" w:lineRule="auto"/>
              <w:rPr>
                <w:color w:val="000000"/>
                <w:sz w:val="20"/>
                <w:lang w:val="en-US"/>
              </w:rPr>
            </w:pPr>
            <w:r w:rsidRPr="00C24E3D">
              <w:rPr>
                <w:color w:val="000000"/>
                <w:sz w:val="20"/>
                <w:lang w:val="en-US"/>
              </w:rPr>
              <w:t>The document was adopted by SG</w:t>
            </w:r>
            <w:r w:rsidR="005E4501">
              <w:rPr>
                <w:color w:val="000000"/>
                <w:sz w:val="20"/>
                <w:lang w:val="en-US"/>
              </w:rPr>
              <w:t xml:space="preserve"> </w:t>
            </w:r>
            <w:r w:rsidRPr="00C24E3D">
              <w:rPr>
                <w:color w:val="000000"/>
                <w:sz w:val="20"/>
                <w:lang w:val="en-US"/>
              </w:rPr>
              <w:t>5 and was submitted to RA-12 for approval, given the importance of this document.</w:t>
            </w:r>
          </w:p>
          <w:p w:rsidR="00653588" w:rsidRPr="00C24E3D" w:rsidRDefault="00653588" w:rsidP="00535F62">
            <w:pPr>
              <w:tabs>
                <w:tab w:val="left" w:pos="720"/>
              </w:tabs>
              <w:overflowPunct/>
              <w:autoSpaceDE/>
              <w:adjustRightInd/>
              <w:spacing w:before="40" w:after="40" w:line="276" w:lineRule="auto"/>
              <w:rPr>
                <w:color w:val="000000"/>
                <w:sz w:val="20"/>
                <w:lang w:val="en-US"/>
              </w:rPr>
            </w:pPr>
            <w:r w:rsidRPr="00C24E3D">
              <w:rPr>
                <w:color w:val="000000"/>
                <w:sz w:val="20"/>
                <w:lang w:val="en-US"/>
              </w:rPr>
              <w:t xml:space="preserve"> </w:t>
            </w:r>
          </w:p>
        </w:tc>
      </w:tr>
      <w:tr w:rsidR="00653588" w:rsidRPr="00A15928" w:rsidTr="00535F62">
        <w:trPr>
          <w:trHeight w:val="900"/>
          <w:jc w:val="center"/>
        </w:trPr>
        <w:tc>
          <w:tcPr>
            <w:tcW w:w="942" w:type="dxa"/>
            <w:shd w:val="clear" w:color="auto" w:fill="FFFFFF"/>
            <w:vAlign w:val="center"/>
          </w:tcPr>
          <w:p w:rsidR="00653588" w:rsidRPr="00A75F2A" w:rsidRDefault="0048705F" w:rsidP="00535F62">
            <w:pPr>
              <w:spacing w:before="40" w:after="40" w:line="240" w:lineRule="atLeast"/>
              <w:jc w:val="center"/>
              <w:rPr>
                <w:b/>
                <w:sz w:val="20"/>
              </w:rPr>
            </w:pPr>
            <w:hyperlink r:id="rId23" w:history="1">
              <w:r w:rsidR="00653588" w:rsidRPr="00630D58">
                <w:rPr>
                  <w:rStyle w:val="Lienhypertexte"/>
                  <w:sz w:val="20"/>
                </w:rPr>
                <w:t>5/270</w:t>
              </w:r>
            </w:hyperlink>
          </w:p>
        </w:tc>
        <w:tc>
          <w:tcPr>
            <w:tcW w:w="3569" w:type="dxa"/>
            <w:shd w:val="clear" w:color="auto" w:fill="FFFFFF"/>
            <w:hideMark/>
          </w:tcPr>
          <w:p w:rsidR="00653588" w:rsidRPr="00C24E3D" w:rsidRDefault="00A15928" w:rsidP="00535F62">
            <w:pPr>
              <w:spacing w:before="40" w:after="40" w:line="240" w:lineRule="atLeast"/>
              <w:rPr>
                <w:color w:val="000000"/>
                <w:sz w:val="20"/>
                <w:lang w:val="en-US"/>
              </w:rPr>
            </w:pPr>
            <w:r w:rsidRPr="00C24E3D">
              <w:rPr>
                <w:color w:val="000000"/>
                <w:sz w:val="20"/>
                <w:lang w:val="en-US"/>
              </w:rPr>
              <w:t>Draft revision of Recommendation ITU-R M.1580-3 - Generic unwanted emission characteristics of base stations using the terrestrial radio interfaces of IMT-2000</w:t>
            </w:r>
          </w:p>
        </w:tc>
        <w:tc>
          <w:tcPr>
            <w:tcW w:w="5078" w:type="dxa"/>
            <w:shd w:val="clear" w:color="auto" w:fill="FFFFFF"/>
            <w:vAlign w:val="center"/>
            <w:hideMark/>
          </w:tcPr>
          <w:p w:rsidR="00653588" w:rsidRPr="00C24E3D" w:rsidRDefault="00A15928" w:rsidP="00535F62">
            <w:pPr>
              <w:spacing w:before="40" w:after="40" w:line="240" w:lineRule="atLeast"/>
              <w:rPr>
                <w:color w:val="000000"/>
                <w:sz w:val="20"/>
                <w:lang w:val="en-US"/>
              </w:rPr>
            </w:pPr>
            <w:r w:rsidRPr="00C24E3D">
              <w:rPr>
                <w:color w:val="000000"/>
                <w:sz w:val="20"/>
                <w:lang w:val="en-US"/>
              </w:rPr>
              <w:t>The document was adopted by SG</w:t>
            </w:r>
            <w:r w:rsidR="005E4501">
              <w:rPr>
                <w:color w:val="000000"/>
                <w:sz w:val="20"/>
                <w:lang w:val="en-US"/>
              </w:rPr>
              <w:t xml:space="preserve"> </w:t>
            </w:r>
            <w:r w:rsidRPr="00C24E3D">
              <w:rPr>
                <w:color w:val="000000"/>
                <w:sz w:val="20"/>
                <w:lang w:val="en-US"/>
              </w:rPr>
              <w:t>5 (with a modification in the scope) and submitted to Administrations for approval according to Resolution ITU-R 1-5 (10.4.5).</w:t>
            </w:r>
          </w:p>
        </w:tc>
      </w:tr>
      <w:tr w:rsidR="00653588" w:rsidRPr="00A15928" w:rsidTr="00535F62">
        <w:trPr>
          <w:trHeight w:val="900"/>
          <w:jc w:val="center"/>
        </w:trPr>
        <w:tc>
          <w:tcPr>
            <w:tcW w:w="942" w:type="dxa"/>
            <w:shd w:val="clear" w:color="auto" w:fill="FFFFFF"/>
            <w:vAlign w:val="center"/>
          </w:tcPr>
          <w:p w:rsidR="00653588" w:rsidRPr="00A75F2A" w:rsidRDefault="0048705F" w:rsidP="00535F62">
            <w:pPr>
              <w:spacing w:before="40" w:after="40" w:line="240" w:lineRule="atLeast"/>
              <w:jc w:val="center"/>
              <w:rPr>
                <w:b/>
                <w:color w:val="000000"/>
                <w:sz w:val="20"/>
              </w:rPr>
            </w:pPr>
            <w:hyperlink r:id="rId24" w:history="1">
              <w:r w:rsidR="00653588" w:rsidRPr="00630D58">
                <w:rPr>
                  <w:rStyle w:val="Lienhypertexte"/>
                  <w:sz w:val="20"/>
                </w:rPr>
                <w:t>5/271</w:t>
              </w:r>
            </w:hyperlink>
          </w:p>
        </w:tc>
        <w:tc>
          <w:tcPr>
            <w:tcW w:w="3569" w:type="dxa"/>
            <w:shd w:val="clear" w:color="auto" w:fill="FFFFFF"/>
            <w:hideMark/>
          </w:tcPr>
          <w:p w:rsidR="00653588" w:rsidRPr="00A15928" w:rsidRDefault="00A15928" w:rsidP="00535F62">
            <w:pPr>
              <w:spacing w:before="40" w:after="40" w:line="240" w:lineRule="atLeast"/>
              <w:rPr>
                <w:color w:val="000000"/>
                <w:sz w:val="20"/>
                <w:lang w:val="en-US"/>
              </w:rPr>
            </w:pPr>
            <w:r w:rsidRPr="00C24E3D">
              <w:rPr>
                <w:color w:val="000000"/>
                <w:sz w:val="20"/>
                <w:lang w:val="en-US"/>
              </w:rPr>
              <w:t>Draft revision of Recommendation ITU-R M.1581-3 - Generic unwanted emission characteristics of mobile stations using the terrestrial radio interfaces of IMT-2000</w:t>
            </w:r>
          </w:p>
        </w:tc>
        <w:tc>
          <w:tcPr>
            <w:tcW w:w="5078" w:type="dxa"/>
            <w:shd w:val="clear" w:color="auto" w:fill="FFFFFF"/>
            <w:vAlign w:val="center"/>
            <w:hideMark/>
          </w:tcPr>
          <w:p w:rsidR="00653588" w:rsidRPr="00C24E3D" w:rsidRDefault="00A15928" w:rsidP="00535F62">
            <w:pPr>
              <w:spacing w:before="40" w:after="40" w:line="240" w:lineRule="atLeast"/>
              <w:rPr>
                <w:color w:val="000000"/>
                <w:sz w:val="20"/>
                <w:lang w:val="en-US"/>
              </w:rPr>
            </w:pPr>
            <w:r w:rsidRPr="00C24E3D">
              <w:rPr>
                <w:color w:val="000000"/>
                <w:sz w:val="20"/>
                <w:lang w:val="en-US"/>
              </w:rPr>
              <w:t>The document was adopted by SG</w:t>
            </w:r>
            <w:r w:rsidR="005E4501">
              <w:rPr>
                <w:color w:val="000000"/>
                <w:sz w:val="20"/>
                <w:lang w:val="en-US"/>
              </w:rPr>
              <w:t xml:space="preserve"> </w:t>
            </w:r>
            <w:r w:rsidRPr="00C24E3D">
              <w:rPr>
                <w:color w:val="000000"/>
                <w:sz w:val="20"/>
                <w:lang w:val="en-US"/>
              </w:rPr>
              <w:t>5 (with a modification in the scope) and submitted to Administrations for approval according to Resolution ITU-R 1-5 (10.4.5).</w:t>
            </w:r>
          </w:p>
        </w:tc>
      </w:tr>
      <w:tr w:rsidR="00653588" w:rsidRPr="00A15928" w:rsidTr="00535F62">
        <w:trPr>
          <w:trHeight w:val="900"/>
          <w:jc w:val="center"/>
        </w:trPr>
        <w:tc>
          <w:tcPr>
            <w:tcW w:w="942" w:type="dxa"/>
            <w:shd w:val="clear" w:color="auto" w:fill="FFFFFF"/>
            <w:vAlign w:val="center"/>
          </w:tcPr>
          <w:p w:rsidR="00653588" w:rsidRPr="00653588" w:rsidRDefault="0048705F" w:rsidP="00535F62">
            <w:pPr>
              <w:tabs>
                <w:tab w:val="left" w:pos="720"/>
              </w:tabs>
              <w:overflowPunct/>
              <w:autoSpaceDE/>
              <w:adjustRightInd/>
              <w:spacing w:before="40" w:after="40" w:line="276" w:lineRule="auto"/>
              <w:jc w:val="center"/>
              <w:rPr>
                <w:rFonts w:ascii="Times New Roman" w:hAnsi="Times New Roman"/>
                <w:b/>
                <w:color w:val="000000"/>
                <w:sz w:val="20"/>
                <w:lang w:val="en-US"/>
              </w:rPr>
            </w:pPr>
            <w:hyperlink r:id="rId25" w:history="1">
              <w:r w:rsidR="00653588" w:rsidRPr="00653588">
                <w:rPr>
                  <w:rStyle w:val="Lienhypertexte"/>
                  <w:rFonts w:ascii="Times New Roman" w:hAnsi="Times New Roman"/>
                  <w:sz w:val="20"/>
                  <w:lang w:val="en-US"/>
                </w:rPr>
                <w:t>5/277</w:t>
              </w:r>
            </w:hyperlink>
          </w:p>
        </w:tc>
        <w:tc>
          <w:tcPr>
            <w:tcW w:w="3569" w:type="dxa"/>
            <w:shd w:val="clear" w:color="auto" w:fill="FFFFFF"/>
            <w:hideMark/>
          </w:tcPr>
          <w:p w:rsidR="00653588" w:rsidRPr="00A15928" w:rsidRDefault="00A15928" w:rsidP="00535F62">
            <w:pPr>
              <w:tabs>
                <w:tab w:val="left" w:pos="720"/>
              </w:tabs>
              <w:overflowPunct/>
              <w:autoSpaceDE/>
              <w:adjustRightInd/>
              <w:spacing w:before="40" w:after="40" w:line="276" w:lineRule="auto"/>
              <w:rPr>
                <w:color w:val="000000"/>
                <w:sz w:val="20"/>
                <w:lang w:val="en-US"/>
              </w:rPr>
            </w:pPr>
            <w:r w:rsidRPr="00C24E3D">
              <w:rPr>
                <w:color w:val="000000"/>
                <w:sz w:val="20"/>
                <w:lang w:val="en-US"/>
              </w:rPr>
              <w:t>Draft revision of Recommendation ITU-R M.1579 - Global circulation of IMT-2000 terrestrial terminals</w:t>
            </w:r>
          </w:p>
        </w:tc>
        <w:tc>
          <w:tcPr>
            <w:tcW w:w="5078" w:type="dxa"/>
            <w:shd w:val="clear" w:color="auto" w:fill="FFFFFF"/>
            <w:vAlign w:val="center"/>
            <w:hideMark/>
          </w:tcPr>
          <w:p w:rsidR="00653588" w:rsidRPr="00C24E3D" w:rsidRDefault="00A15928" w:rsidP="00A15928">
            <w:pPr>
              <w:tabs>
                <w:tab w:val="left" w:pos="720"/>
              </w:tabs>
              <w:overflowPunct/>
              <w:autoSpaceDE/>
              <w:adjustRightInd/>
              <w:spacing w:before="40" w:after="40" w:line="276" w:lineRule="auto"/>
              <w:rPr>
                <w:color w:val="000000"/>
                <w:sz w:val="20"/>
                <w:lang w:val="en-US"/>
              </w:rPr>
            </w:pPr>
            <w:r w:rsidRPr="00C24E3D">
              <w:rPr>
                <w:color w:val="000000"/>
                <w:sz w:val="20"/>
                <w:lang w:val="en-US"/>
              </w:rPr>
              <w:t xml:space="preserve">The document was adopted by </w:t>
            </w:r>
            <w:r w:rsidR="005E4501">
              <w:rPr>
                <w:color w:val="000000"/>
                <w:sz w:val="20"/>
                <w:lang w:val="en-US"/>
              </w:rPr>
              <w:t>SG 5</w:t>
            </w:r>
            <w:r w:rsidRPr="00C24E3D">
              <w:rPr>
                <w:color w:val="000000"/>
                <w:sz w:val="20"/>
                <w:lang w:val="en-US"/>
              </w:rPr>
              <w:t xml:space="preserve"> and submitted to Administrations for approval according to Resolution ITU-R 1-5 (10.4.5).</w:t>
            </w:r>
          </w:p>
        </w:tc>
      </w:tr>
      <w:tr w:rsidR="00653588" w:rsidRPr="001925FC" w:rsidTr="00535F62">
        <w:trPr>
          <w:trHeight w:val="900"/>
          <w:jc w:val="center"/>
        </w:trPr>
        <w:tc>
          <w:tcPr>
            <w:tcW w:w="942" w:type="dxa"/>
            <w:shd w:val="clear" w:color="auto" w:fill="FFFFFF"/>
            <w:vAlign w:val="center"/>
          </w:tcPr>
          <w:p w:rsidR="00653588" w:rsidRPr="00653588" w:rsidRDefault="0048705F" w:rsidP="00535F62">
            <w:pPr>
              <w:tabs>
                <w:tab w:val="left" w:pos="720"/>
              </w:tabs>
              <w:overflowPunct/>
              <w:autoSpaceDE/>
              <w:adjustRightInd/>
              <w:spacing w:before="40" w:after="40" w:line="276" w:lineRule="auto"/>
              <w:jc w:val="center"/>
              <w:rPr>
                <w:rFonts w:ascii="Times New Roman" w:hAnsi="Times New Roman"/>
                <w:b/>
                <w:color w:val="000000"/>
                <w:sz w:val="20"/>
                <w:lang w:val="en-US"/>
              </w:rPr>
            </w:pPr>
            <w:hyperlink r:id="rId26" w:history="1">
              <w:r w:rsidR="00653588" w:rsidRPr="00653588">
                <w:rPr>
                  <w:rStyle w:val="Lienhypertexte"/>
                  <w:rFonts w:ascii="Times New Roman" w:hAnsi="Times New Roman"/>
                  <w:sz w:val="20"/>
                  <w:lang w:val="en-US"/>
                </w:rPr>
                <w:t>5/274</w:t>
              </w:r>
            </w:hyperlink>
            <w:r w:rsidR="00653588" w:rsidRPr="0019239B">
              <w:rPr>
                <w:sz w:val="20"/>
              </w:rPr>
              <w:t xml:space="preserve"> </w:t>
            </w:r>
            <w:r w:rsidR="00653588">
              <w:rPr>
                <w:sz w:val="20"/>
              </w:rPr>
              <w:br/>
            </w:r>
            <w:r w:rsidR="00653588" w:rsidRPr="00141336">
              <w:rPr>
                <w:b/>
                <w:bCs/>
                <w:color w:val="0033CC"/>
                <w:sz w:val="20"/>
                <w:u w:val="single"/>
              </w:rPr>
              <w:t>Rev</w:t>
            </w:r>
            <w:r w:rsidR="00653588">
              <w:rPr>
                <w:b/>
                <w:bCs/>
                <w:color w:val="0033CC"/>
                <w:sz w:val="20"/>
                <w:u w:val="single"/>
              </w:rPr>
              <w:t>.</w:t>
            </w:r>
            <w:r w:rsidR="00653588" w:rsidRPr="00141336">
              <w:rPr>
                <w:b/>
                <w:bCs/>
                <w:color w:val="0033CC"/>
                <w:sz w:val="20"/>
                <w:u w:val="single"/>
              </w:rPr>
              <w:t>1</w:t>
            </w:r>
          </w:p>
        </w:tc>
        <w:tc>
          <w:tcPr>
            <w:tcW w:w="3569" w:type="dxa"/>
            <w:shd w:val="clear" w:color="auto" w:fill="FFFFFF"/>
            <w:hideMark/>
          </w:tcPr>
          <w:p w:rsidR="00653588" w:rsidRPr="00C24E3D" w:rsidRDefault="00591E28" w:rsidP="00535F62">
            <w:pPr>
              <w:spacing w:before="40" w:after="40" w:line="276" w:lineRule="auto"/>
              <w:rPr>
                <w:color w:val="000000"/>
                <w:sz w:val="20"/>
                <w:lang w:val="en-US"/>
              </w:rPr>
            </w:pPr>
            <w:r w:rsidRPr="00C24E3D">
              <w:rPr>
                <w:color w:val="000000"/>
                <w:sz w:val="20"/>
                <w:lang w:val="en-US"/>
              </w:rPr>
              <w:t>Draft revision of Recommendation ITU-R M.1036-3 - Frequency arrangements for implementation of the terrestrial component of International Mobile Telecommunications (IMT) in the bands identified for IMT in the Radio Regulations (RR)</w:t>
            </w:r>
          </w:p>
        </w:tc>
        <w:tc>
          <w:tcPr>
            <w:tcW w:w="5078" w:type="dxa"/>
            <w:shd w:val="clear" w:color="auto" w:fill="FFFFFF"/>
            <w:vAlign w:val="center"/>
            <w:hideMark/>
          </w:tcPr>
          <w:p w:rsidR="00591E28" w:rsidRPr="00C24E3D" w:rsidRDefault="00591E28" w:rsidP="00535F62">
            <w:pPr>
              <w:tabs>
                <w:tab w:val="left" w:pos="720"/>
              </w:tabs>
              <w:overflowPunct/>
              <w:autoSpaceDE/>
              <w:adjustRightInd/>
              <w:spacing w:before="40" w:after="40" w:line="276" w:lineRule="auto"/>
              <w:rPr>
                <w:color w:val="000000"/>
                <w:sz w:val="20"/>
                <w:lang w:val="en-US"/>
              </w:rPr>
            </w:pPr>
            <w:r w:rsidRPr="00C24E3D">
              <w:rPr>
                <w:color w:val="000000"/>
                <w:sz w:val="20"/>
                <w:lang w:val="en-US"/>
              </w:rPr>
              <w:t>On the basis of a proposal from Iran, the</w:t>
            </w:r>
            <w:r w:rsidR="00653588" w:rsidRPr="00C24E3D">
              <w:rPr>
                <w:color w:val="000000"/>
                <w:sz w:val="20"/>
                <w:lang w:val="en-US"/>
              </w:rPr>
              <w:t xml:space="preserve"> Recommandation </w:t>
            </w:r>
            <w:r w:rsidRPr="00C24E3D">
              <w:rPr>
                <w:color w:val="000000"/>
                <w:sz w:val="20"/>
                <w:lang w:val="en-US"/>
              </w:rPr>
              <w:t>is rearranged by the WP 5D chairman to align the structure with the other ITU-R Recommendations</w:t>
            </w:r>
          </w:p>
          <w:p w:rsidR="00591E28" w:rsidRPr="00C24E3D" w:rsidRDefault="00591E28" w:rsidP="00535F62">
            <w:pPr>
              <w:tabs>
                <w:tab w:val="left" w:pos="720"/>
              </w:tabs>
              <w:overflowPunct/>
              <w:autoSpaceDE/>
              <w:adjustRightInd/>
              <w:spacing w:before="40" w:after="40" w:line="276" w:lineRule="auto"/>
              <w:rPr>
                <w:color w:val="000000"/>
                <w:sz w:val="20"/>
                <w:lang w:val="en-US"/>
              </w:rPr>
            </w:pPr>
            <w:r w:rsidRPr="00C24E3D">
              <w:rPr>
                <w:color w:val="000000"/>
                <w:sz w:val="20"/>
                <w:lang w:val="en-US"/>
              </w:rPr>
              <w:t>This revised version is provisionally adopted by SG</w:t>
            </w:r>
            <w:r w:rsidR="005E4501">
              <w:rPr>
                <w:color w:val="000000"/>
                <w:sz w:val="20"/>
                <w:lang w:val="en-US"/>
              </w:rPr>
              <w:t xml:space="preserve"> </w:t>
            </w:r>
            <w:r w:rsidRPr="00C24E3D">
              <w:rPr>
                <w:color w:val="000000"/>
                <w:sz w:val="20"/>
                <w:lang w:val="en-US"/>
              </w:rPr>
              <w:t>5 and submitted to administrations according the PSAA procedure.</w:t>
            </w:r>
          </w:p>
          <w:p w:rsidR="00653588" w:rsidRPr="00C24E3D" w:rsidRDefault="00653588" w:rsidP="00535F62">
            <w:pPr>
              <w:tabs>
                <w:tab w:val="left" w:pos="720"/>
              </w:tabs>
              <w:overflowPunct/>
              <w:autoSpaceDE/>
              <w:adjustRightInd/>
              <w:spacing w:before="40" w:after="40" w:line="276" w:lineRule="auto"/>
              <w:rPr>
                <w:color w:val="000000"/>
                <w:sz w:val="20"/>
                <w:lang w:val="en-US"/>
              </w:rPr>
            </w:pPr>
            <w:r w:rsidRPr="00C24E3D">
              <w:rPr>
                <w:color w:val="000000"/>
                <w:sz w:val="20"/>
                <w:lang w:val="en-US"/>
              </w:rPr>
              <w:t xml:space="preserve"> </w:t>
            </w:r>
          </w:p>
        </w:tc>
      </w:tr>
      <w:tr w:rsidR="00653588" w:rsidRPr="00591E28" w:rsidTr="00535F62">
        <w:trPr>
          <w:trHeight w:val="900"/>
          <w:jc w:val="center"/>
        </w:trPr>
        <w:tc>
          <w:tcPr>
            <w:tcW w:w="942" w:type="dxa"/>
            <w:shd w:val="clear" w:color="auto" w:fill="FFFFFF"/>
            <w:vAlign w:val="center"/>
          </w:tcPr>
          <w:p w:rsidR="00653588" w:rsidRPr="00653588" w:rsidRDefault="0048705F" w:rsidP="00535F62">
            <w:pPr>
              <w:tabs>
                <w:tab w:val="left" w:pos="720"/>
              </w:tabs>
              <w:overflowPunct/>
              <w:autoSpaceDE/>
              <w:adjustRightInd/>
              <w:spacing w:before="40" w:after="40" w:line="276" w:lineRule="auto"/>
              <w:jc w:val="center"/>
              <w:rPr>
                <w:rFonts w:ascii="Times New Roman" w:hAnsi="Times New Roman"/>
                <w:b/>
                <w:color w:val="000000"/>
                <w:sz w:val="20"/>
                <w:lang w:val="en-US"/>
              </w:rPr>
            </w:pPr>
            <w:hyperlink r:id="rId27" w:history="1">
              <w:r w:rsidR="00653588" w:rsidRPr="00653588">
                <w:rPr>
                  <w:rStyle w:val="Lienhypertexte"/>
                  <w:rFonts w:ascii="Times New Roman" w:hAnsi="Times New Roman"/>
                  <w:sz w:val="20"/>
                  <w:lang w:val="en-US"/>
                </w:rPr>
                <w:t>5/273</w:t>
              </w:r>
            </w:hyperlink>
          </w:p>
        </w:tc>
        <w:tc>
          <w:tcPr>
            <w:tcW w:w="3569" w:type="dxa"/>
            <w:shd w:val="clear" w:color="auto" w:fill="FFFFFF"/>
            <w:hideMark/>
          </w:tcPr>
          <w:p w:rsidR="00653588" w:rsidRPr="00C24E3D" w:rsidRDefault="00591E28" w:rsidP="00535F62">
            <w:pPr>
              <w:spacing w:before="40" w:after="40" w:line="276" w:lineRule="auto"/>
              <w:rPr>
                <w:color w:val="000000"/>
                <w:sz w:val="20"/>
                <w:lang w:val="en-US"/>
              </w:rPr>
            </w:pPr>
            <w:r w:rsidRPr="00C24E3D">
              <w:rPr>
                <w:color w:val="000000"/>
                <w:sz w:val="20"/>
                <w:lang w:val="en-US"/>
              </w:rPr>
              <w:t>Draft new Recommendation ITU-R M.[IMT.MITIGATION] - Techniques designed to increase the potential for sharing between IMT systems and FSS networks in the 3 400-3 600 MHz band</w:t>
            </w:r>
          </w:p>
        </w:tc>
        <w:tc>
          <w:tcPr>
            <w:tcW w:w="5078" w:type="dxa"/>
            <w:shd w:val="clear" w:color="auto" w:fill="FFFFFF"/>
            <w:vAlign w:val="center"/>
            <w:hideMark/>
          </w:tcPr>
          <w:p w:rsidR="00653588" w:rsidRPr="00C24E3D" w:rsidRDefault="00591E28" w:rsidP="005E4501">
            <w:pPr>
              <w:tabs>
                <w:tab w:val="left" w:pos="720"/>
              </w:tabs>
              <w:overflowPunct/>
              <w:autoSpaceDE/>
              <w:adjustRightInd/>
              <w:spacing w:before="40" w:after="40" w:line="276" w:lineRule="auto"/>
              <w:rPr>
                <w:color w:val="000000"/>
                <w:sz w:val="20"/>
                <w:lang w:val="en-US"/>
              </w:rPr>
            </w:pPr>
            <w:r w:rsidRPr="00C24E3D">
              <w:rPr>
                <w:color w:val="000000"/>
                <w:sz w:val="20"/>
                <w:lang w:val="en-US"/>
              </w:rPr>
              <w:t xml:space="preserve">Following objections from Iran, Russia and </w:t>
            </w:r>
            <w:r w:rsidR="00653588" w:rsidRPr="00C24E3D">
              <w:rPr>
                <w:color w:val="000000"/>
                <w:sz w:val="20"/>
                <w:lang w:val="en-US"/>
              </w:rPr>
              <w:t>Luxembourg</w:t>
            </w:r>
            <w:r w:rsidRPr="00C24E3D">
              <w:rPr>
                <w:color w:val="000000"/>
                <w:sz w:val="20"/>
                <w:lang w:val="en-US"/>
              </w:rPr>
              <w:t>, the document is not adopted by SG 5 and sent back to WP 5D</w:t>
            </w:r>
            <w:r w:rsidR="00653588" w:rsidRPr="00C24E3D">
              <w:rPr>
                <w:color w:val="000000"/>
                <w:sz w:val="20"/>
                <w:lang w:val="en-US"/>
              </w:rPr>
              <w:t xml:space="preserve">. </w:t>
            </w:r>
          </w:p>
        </w:tc>
      </w:tr>
    </w:tbl>
    <w:p w:rsidR="00AE4883" w:rsidRPr="00591E28" w:rsidRDefault="00AE4883" w:rsidP="00AE4883">
      <w:pPr>
        <w:rPr>
          <w:u w:val="single"/>
          <w:lang w:val="en-US"/>
        </w:rPr>
      </w:pPr>
    </w:p>
    <w:p w:rsidR="00653588" w:rsidRPr="00591E28" w:rsidRDefault="00653588" w:rsidP="00AE4883">
      <w:pPr>
        <w:rPr>
          <w:u w:val="single"/>
          <w:lang w:val="en-US"/>
        </w:rPr>
      </w:pPr>
    </w:p>
    <w:p w:rsidR="00653588" w:rsidRPr="00591E28" w:rsidRDefault="00653588" w:rsidP="00AE4883">
      <w:pPr>
        <w:rPr>
          <w:u w:val="single"/>
          <w:lang w:val="en-US"/>
        </w:rPr>
      </w:pPr>
    </w:p>
    <w:p w:rsidR="00F91BE1" w:rsidRPr="00591E28" w:rsidRDefault="00F91BE1" w:rsidP="002E781B">
      <w:pPr>
        <w:jc w:val="both"/>
        <w:rPr>
          <w:lang w:val="en-US"/>
        </w:rPr>
      </w:pPr>
    </w:p>
    <w:p w:rsidR="00591E28" w:rsidRDefault="00591E28" w:rsidP="00591E28">
      <w:pPr>
        <w:numPr>
          <w:ilvl w:val="0"/>
          <w:numId w:val="13"/>
        </w:numPr>
        <w:rPr>
          <w:u w:val="single"/>
          <w:lang w:val="en-US"/>
        </w:rPr>
      </w:pPr>
      <w:r>
        <w:rPr>
          <w:u w:val="single"/>
          <w:lang w:val="en-US"/>
        </w:rPr>
        <w:t>Draft New Reports</w:t>
      </w:r>
    </w:p>
    <w:p w:rsidR="00C24E3D" w:rsidRDefault="00C24E3D" w:rsidP="00C24E3D">
      <w:pPr>
        <w:ind w:left="-66"/>
        <w:rPr>
          <w:u w:val="single"/>
          <w:lang w:val="en-US"/>
        </w:rPr>
      </w:pPr>
    </w:p>
    <w:tbl>
      <w:tblPr>
        <w:tblW w:w="9586" w:type="dxa"/>
        <w:jc w:val="center"/>
        <w:tblInd w:w="-12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66"/>
        <w:gridCol w:w="3765"/>
        <w:gridCol w:w="4855"/>
      </w:tblGrid>
      <w:tr w:rsidR="008E7E18" w:rsidRPr="00DB4A4E" w:rsidTr="00C24E3D">
        <w:trPr>
          <w:cantSplit/>
          <w:trHeight w:val="900"/>
          <w:tblHeader/>
          <w:jc w:val="center"/>
        </w:trPr>
        <w:tc>
          <w:tcPr>
            <w:tcW w:w="966" w:type="dxa"/>
            <w:shd w:val="clear" w:color="auto" w:fill="FFFFFF"/>
            <w:vAlign w:val="center"/>
          </w:tcPr>
          <w:p w:rsidR="00505053" w:rsidRPr="00505053" w:rsidRDefault="005E4501" w:rsidP="00535F62">
            <w:pPr>
              <w:tabs>
                <w:tab w:val="left" w:pos="720"/>
              </w:tabs>
              <w:overflowPunct/>
              <w:autoSpaceDE/>
              <w:adjustRightInd/>
              <w:spacing w:before="40" w:after="40" w:line="276" w:lineRule="auto"/>
              <w:jc w:val="center"/>
              <w:rPr>
                <w:b/>
                <w:color w:val="000000"/>
                <w:sz w:val="20"/>
                <w:lang w:val="fr-FR"/>
              </w:rPr>
            </w:pPr>
            <w:r>
              <w:rPr>
                <w:b/>
                <w:color w:val="000000"/>
                <w:sz w:val="20"/>
                <w:lang w:val="fr-FR"/>
              </w:rPr>
              <w:t>SG 5</w:t>
            </w:r>
          </w:p>
          <w:p w:rsidR="008E7E18" w:rsidRPr="00505053" w:rsidRDefault="00505053" w:rsidP="00505053">
            <w:pPr>
              <w:tabs>
                <w:tab w:val="left" w:pos="720"/>
              </w:tabs>
              <w:overflowPunct/>
              <w:autoSpaceDE/>
              <w:adjustRightInd/>
              <w:spacing w:before="40" w:after="40" w:line="276" w:lineRule="auto"/>
              <w:jc w:val="center"/>
              <w:rPr>
                <w:b/>
                <w:color w:val="000000"/>
                <w:sz w:val="20"/>
                <w:lang w:val="fr-FR"/>
              </w:rPr>
            </w:pPr>
            <w:r w:rsidRPr="00505053">
              <w:rPr>
                <w:b/>
                <w:color w:val="000000"/>
                <w:sz w:val="20"/>
                <w:lang w:val="fr-FR"/>
              </w:rPr>
              <w:t>Ref</w:t>
            </w:r>
          </w:p>
        </w:tc>
        <w:tc>
          <w:tcPr>
            <w:tcW w:w="3765" w:type="dxa"/>
            <w:shd w:val="clear" w:color="auto" w:fill="FFFFFF"/>
            <w:vAlign w:val="center"/>
            <w:hideMark/>
          </w:tcPr>
          <w:p w:rsidR="008E7E18" w:rsidRPr="008E7E18" w:rsidRDefault="002764E0" w:rsidP="00535F62">
            <w:pPr>
              <w:tabs>
                <w:tab w:val="left" w:pos="720"/>
              </w:tabs>
              <w:overflowPunct/>
              <w:autoSpaceDE/>
              <w:adjustRightInd/>
              <w:spacing w:before="40" w:after="40" w:line="276" w:lineRule="auto"/>
              <w:jc w:val="center"/>
              <w:rPr>
                <w:b/>
                <w:color w:val="000000"/>
                <w:sz w:val="20"/>
                <w:lang w:val="fr-FR"/>
              </w:rPr>
            </w:pPr>
            <w:r>
              <w:rPr>
                <w:b/>
                <w:color w:val="000000"/>
                <w:sz w:val="20"/>
                <w:lang w:val="fr-FR"/>
              </w:rPr>
              <w:t>Titl</w:t>
            </w:r>
            <w:r w:rsidR="008E7E18" w:rsidRPr="008E7E18">
              <w:rPr>
                <w:b/>
                <w:color w:val="000000"/>
                <w:sz w:val="20"/>
                <w:lang w:val="fr-FR"/>
              </w:rPr>
              <w:t>e</w:t>
            </w:r>
          </w:p>
        </w:tc>
        <w:tc>
          <w:tcPr>
            <w:tcW w:w="4855" w:type="dxa"/>
            <w:shd w:val="clear" w:color="auto" w:fill="FFFFFF"/>
            <w:vAlign w:val="center"/>
            <w:hideMark/>
          </w:tcPr>
          <w:p w:rsidR="008E7E18" w:rsidRPr="00505053" w:rsidRDefault="00505053" w:rsidP="00535F62">
            <w:pPr>
              <w:tabs>
                <w:tab w:val="left" w:pos="720"/>
              </w:tabs>
              <w:overflowPunct/>
              <w:autoSpaceDE/>
              <w:adjustRightInd/>
              <w:spacing w:before="40" w:after="40" w:line="276" w:lineRule="auto"/>
              <w:jc w:val="center"/>
              <w:rPr>
                <w:b/>
                <w:color w:val="000000"/>
                <w:sz w:val="20"/>
                <w:lang w:val="fr-FR"/>
              </w:rPr>
            </w:pPr>
            <w:r w:rsidRPr="00505053">
              <w:rPr>
                <w:b/>
                <w:color w:val="000000"/>
                <w:sz w:val="20"/>
                <w:lang w:val="fr-FR"/>
              </w:rPr>
              <w:t>Observations</w:t>
            </w:r>
          </w:p>
        </w:tc>
      </w:tr>
      <w:tr w:rsidR="008E7E18" w:rsidRPr="008E7E18" w:rsidTr="00C24E3D">
        <w:trPr>
          <w:trHeight w:val="900"/>
          <w:jc w:val="center"/>
        </w:trPr>
        <w:tc>
          <w:tcPr>
            <w:tcW w:w="966" w:type="dxa"/>
            <w:shd w:val="clear" w:color="auto" w:fill="FFFFFF"/>
            <w:vAlign w:val="center"/>
          </w:tcPr>
          <w:p w:rsidR="008E7E18" w:rsidRPr="008E7E18" w:rsidRDefault="0048705F" w:rsidP="00535F62">
            <w:pPr>
              <w:tabs>
                <w:tab w:val="left" w:pos="720"/>
              </w:tabs>
              <w:overflowPunct/>
              <w:autoSpaceDE/>
              <w:adjustRightInd/>
              <w:spacing w:before="40" w:after="40" w:line="276" w:lineRule="auto"/>
              <w:jc w:val="center"/>
              <w:rPr>
                <w:rFonts w:ascii="Times New Roman" w:hAnsi="Times New Roman"/>
                <w:b/>
                <w:color w:val="000000"/>
                <w:sz w:val="20"/>
                <w:lang w:val="fr-FR"/>
              </w:rPr>
            </w:pPr>
            <w:hyperlink r:id="rId28" w:history="1">
              <w:r w:rsidR="008E7E18" w:rsidRPr="008E7E18">
                <w:rPr>
                  <w:rStyle w:val="Lienhypertexte"/>
                  <w:rFonts w:ascii="Times New Roman" w:hAnsi="Times New Roman"/>
                  <w:sz w:val="20"/>
                  <w:lang w:val="fr-FR"/>
                </w:rPr>
                <w:t>5/286</w:t>
              </w:r>
            </w:hyperlink>
          </w:p>
        </w:tc>
        <w:tc>
          <w:tcPr>
            <w:tcW w:w="3765" w:type="dxa"/>
            <w:shd w:val="clear" w:color="auto" w:fill="FFFFFF"/>
            <w:hideMark/>
          </w:tcPr>
          <w:p w:rsidR="008E7E18" w:rsidRPr="005509C0" w:rsidRDefault="008E7E18" w:rsidP="00535F62">
            <w:pPr>
              <w:tabs>
                <w:tab w:val="left" w:pos="720"/>
              </w:tabs>
              <w:overflowPunct/>
              <w:autoSpaceDE/>
              <w:adjustRightInd/>
              <w:spacing w:before="40" w:after="40" w:line="276" w:lineRule="auto"/>
              <w:rPr>
                <w:color w:val="000000"/>
                <w:sz w:val="20"/>
                <w:lang w:val="en-US"/>
              </w:rPr>
            </w:pPr>
            <w:r w:rsidRPr="005509C0">
              <w:rPr>
                <w:color w:val="000000"/>
                <w:sz w:val="20"/>
                <w:lang w:val="en-US"/>
              </w:rPr>
              <w:t>Draft new Report ITU-R M.[IMT.UPDATE] - Assessment of the global mobile broadband deployments and forecasts for IMT</w:t>
            </w:r>
          </w:p>
        </w:tc>
        <w:tc>
          <w:tcPr>
            <w:tcW w:w="4855" w:type="dxa"/>
            <w:shd w:val="clear" w:color="auto" w:fill="FFFFFF"/>
            <w:vAlign w:val="center"/>
            <w:hideMark/>
          </w:tcPr>
          <w:p w:rsidR="008E7E18" w:rsidRPr="008E7E18" w:rsidRDefault="008E7E18" w:rsidP="00535F62">
            <w:pPr>
              <w:tabs>
                <w:tab w:val="left" w:pos="720"/>
              </w:tabs>
              <w:overflowPunct/>
              <w:autoSpaceDE/>
              <w:adjustRightInd/>
              <w:spacing w:before="40" w:after="40" w:line="276" w:lineRule="auto"/>
              <w:rPr>
                <w:color w:val="000000"/>
                <w:sz w:val="20"/>
                <w:lang w:val="en-US"/>
              </w:rPr>
            </w:pPr>
            <w:r w:rsidRPr="008E7E18">
              <w:rPr>
                <w:color w:val="000000"/>
                <w:sz w:val="20"/>
                <w:lang w:val="en-US"/>
              </w:rPr>
              <w:t>Following comments received from EBU, NDR, ZDF (doc 5/309) and general oral comments from Iran, a drafting group was establish to solve these difficulties.</w:t>
            </w:r>
          </w:p>
          <w:p w:rsidR="008E7E18" w:rsidRPr="008E7E18" w:rsidRDefault="008E7E18" w:rsidP="00535F62">
            <w:pPr>
              <w:tabs>
                <w:tab w:val="left" w:pos="720"/>
              </w:tabs>
              <w:overflowPunct/>
              <w:autoSpaceDE/>
              <w:adjustRightInd/>
              <w:spacing w:before="40" w:after="40" w:line="276" w:lineRule="auto"/>
              <w:rPr>
                <w:color w:val="000000"/>
                <w:sz w:val="20"/>
                <w:lang w:val="en-US"/>
              </w:rPr>
            </w:pPr>
            <w:r w:rsidRPr="008E7E18">
              <w:rPr>
                <w:color w:val="000000"/>
                <w:sz w:val="20"/>
                <w:lang w:val="en-US"/>
              </w:rPr>
              <w:t xml:space="preserve">On that basis, the document was approved by </w:t>
            </w:r>
            <w:r w:rsidR="005E4501">
              <w:rPr>
                <w:color w:val="000000"/>
                <w:sz w:val="20"/>
                <w:lang w:val="en-US"/>
              </w:rPr>
              <w:t>SG 5</w:t>
            </w:r>
            <w:r w:rsidRPr="008E7E18">
              <w:rPr>
                <w:color w:val="000000"/>
                <w:sz w:val="20"/>
                <w:lang w:val="en-US"/>
              </w:rPr>
              <w:t>.</w:t>
            </w:r>
          </w:p>
          <w:p w:rsidR="008E7E18" w:rsidRPr="008E7E18" w:rsidRDefault="008E7E18" w:rsidP="008E7E18">
            <w:pPr>
              <w:tabs>
                <w:tab w:val="left" w:pos="720"/>
              </w:tabs>
              <w:overflowPunct/>
              <w:autoSpaceDE/>
              <w:adjustRightInd/>
              <w:spacing w:before="40" w:after="40" w:line="276" w:lineRule="auto"/>
              <w:rPr>
                <w:color w:val="000000"/>
                <w:sz w:val="20"/>
                <w:lang w:val="en-US"/>
              </w:rPr>
            </w:pPr>
          </w:p>
        </w:tc>
      </w:tr>
      <w:tr w:rsidR="008E7E18" w:rsidRPr="004410CC" w:rsidTr="00C24E3D">
        <w:trPr>
          <w:trHeight w:val="900"/>
          <w:jc w:val="center"/>
        </w:trPr>
        <w:tc>
          <w:tcPr>
            <w:tcW w:w="966" w:type="dxa"/>
            <w:shd w:val="clear" w:color="auto" w:fill="FFFFFF"/>
            <w:vAlign w:val="center"/>
          </w:tcPr>
          <w:p w:rsidR="008E7E18" w:rsidRPr="003A4BEE" w:rsidRDefault="0048705F" w:rsidP="00535F62">
            <w:pPr>
              <w:spacing w:before="40" w:after="40" w:line="240" w:lineRule="atLeast"/>
              <w:jc w:val="center"/>
              <w:rPr>
                <w:b/>
                <w:color w:val="000000"/>
                <w:sz w:val="20"/>
                <w:lang w:val="fr-FR"/>
              </w:rPr>
            </w:pPr>
            <w:hyperlink r:id="rId29" w:history="1">
              <w:r w:rsidR="008E7E18" w:rsidRPr="003A4BEE">
                <w:rPr>
                  <w:rStyle w:val="Lienhypertexte"/>
                  <w:sz w:val="20"/>
                  <w:lang w:val="fr-FR"/>
                </w:rPr>
                <w:t>5/252</w:t>
              </w:r>
            </w:hyperlink>
          </w:p>
        </w:tc>
        <w:tc>
          <w:tcPr>
            <w:tcW w:w="3765" w:type="dxa"/>
            <w:shd w:val="clear" w:color="auto" w:fill="FFFFFF"/>
            <w:hideMark/>
          </w:tcPr>
          <w:p w:rsidR="008E7E18" w:rsidRPr="004410CC" w:rsidRDefault="004410CC" w:rsidP="004410CC">
            <w:pPr>
              <w:spacing w:before="40" w:after="40" w:line="240" w:lineRule="atLeast"/>
              <w:rPr>
                <w:color w:val="000000"/>
                <w:sz w:val="20"/>
                <w:lang w:val="en-US"/>
              </w:rPr>
            </w:pPr>
            <w:r w:rsidRPr="004410CC">
              <w:rPr>
                <w:color w:val="000000"/>
                <w:sz w:val="20"/>
                <w:lang w:val="en-US"/>
              </w:rPr>
              <w:t>Report ITU-R M.2244 - Isolation between antennas of IMT base stations in the land mobile service</w:t>
            </w:r>
          </w:p>
        </w:tc>
        <w:tc>
          <w:tcPr>
            <w:tcW w:w="4855" w:type="dxa"/>
            <w:shd w:val="clear" w:color="auto" w:fill="FFFFFF"/>
            <w:vAlign w:val="center"/>
            <w:hideMark/>
          </w:tcPr>
          <w:p w:rsidR="004410CC" w:rsidRPr="004410CC" w:rsidRDefault="004410CC" w:rsidP="004410CC">
            <w:pPr>
              <w:spacing w:before="40" w:after="40" w:line="240" w:lineRule="atLeast"/>
              <w:rPr>
                <w:color w:val="000000"/>
                <w:sz w:val="20"/>
                <w:lang w:val="en-US"/>
              </w:rPr>
            </w:pPr>
            <w:r w:rsidRPr="004410CC">
              <w:rPr>
                <w:color w:val="000000"/>
                <w:sz w:val="20"/>
                <w:lang w:val="en-US"/>
              </w:rPr>
              <w:t xml:space="preserve">Approved by </w:t>
            </w:r>
            <w:r w:rsidR="005E4501">
              <w:rPr>
                <w:color w:val="000000"/>
                <w:sz w:val="20"/>
                <w:lang w:val="en-US"/>
              </w:rPr>
              <w:t>SG 5</w:t>
            </w:r>
            <w:r w:rsidRPr="004410CC">
              <w:rPr>
                <w:color w:val="000000"/>
                <w:sz w:val="20"/>
                <w:lang w:val="en-US"/>
              </w:rPr>
              <w:t xml:space="preserve"> with an editorial modification to clarify the relationship with the Report ITU-R M.2141 developed by WP 5A</w:t>
            </w:r>
            <w:r>
              <w:rPr>
                <w:color w:val="000000"/>
                <w:sz w:val="20"/>
                <w:lang w:val="en-US"/>
              </w:rPr>
              <w:t xml:space="preserve"> (</w:t>
            </w:r>
            <w:r w:rsidRPr="004410CC">
              <w:rPr>
                <w:color w:val="000000"/>
                <w:sz w:val="20"/>
                <w:lang w:val="en-US"/>
              </w:rPr>
              <w:t>Study of the isolation between VHF land mobile radio antennas in close proximity)</w:t>
            </w:r>
          </w:p>
          <w:p w:rsidR="008E7E18" w:rsidRPr="004410CC" w:rsidRDefault="008E7E18" w:rsidP="004410CC">
            <w:pPr>
              <w:spacing w:before="40" w:after="40" w:line="240" w:lineRule="atLeast"/>
              <w:rPr>
                <w:color w:val="000000"/>
                <w:sz w:val="20"/>
                <w:lang w:val="en-US"/>
              </w:rPr>
            </w:pPr>
            <w:r w:rsidRPr="004410CC">
              <w:rPr>
                <w:color w:val="000000"/>
                <w:sz w:val="20"/>
                <w:lang w:val="en-US"/>
              </w:rPr>
              <w:t xml:space="preserve"> </w:t>
            </w:r>
          </w:p>
        </w:tc>
      </w:tr>
      <w:tr w:rsidR="008E7E18" w:rsidRPr="004410CC" w:rsidTr="00C24E3D">
        <w:trPr>
          <w:trHeight w:val="900"/>
          <w:jc w:val="center"/>
        </w:trPr>
        <w:tc>
          <w:tcPr>
            <w:tcW w:w="966" w:type="dxa"/>
            <w:shd w:val="clear" w:color="auto" w:fill="FFFFFF"/>
            <w:vAlign w:val="center"/>
          </w:tcPr>
          <w:p w:rsidR="008E7E18" w:rsidRPr="008E7E18" w:rsidRDefault="0048705F" w:rsidP="00535F62">
            <w:pPr>
              <w:tabs>
                <w:tab w:val="left" w:pos="720"/>
              </w:tabs>
              <w:overflowPunct/>
              <w:autoSpaceDE/>
              <w:adjustRightInd/>
              <w:spacing w:before="40" w:after="40" w:line="276" w:lineRule="auto"/>
              <w:jc w:val="center"/>
              <w:rPr>
                <w:rFonts w:ascii="Times New Roman" w:hAnsi="Times New Roman"/>
                <w:b/>
                <w:color w:val="000000"/>
                <w:sz w:val="20"/>
                <w:lang w:val="fr-FR"/>
              </w:rPr>
            </w:pPr>
            <w:hyperlink r:id="rId30" w:history="1">
              <w:r w:rsidR="008E7E18" w:rsidRPr="008E7E18">
                <w:rPr>
                  <w:rStyle w:val="Lienhypertexte"/>
                  <w:rFonts w:ascii="Times New Roman" w:hAnsi="Times New Roman"/>
                  <w:sz w:val="20"/>
                  <w:lang w:val="fr-FR"/>
                </w:rPr>
                <w:t>5/288</w:t>
              </w:r>
            </w:hyperlink>
          </w:p>
        </w:tc>
        <w:tc>
          <w:tcPr>
            <w:tcW w:w="3765" w:type="dxa"/>
            <w:shd w:val="clear" w:color="auto" w:fill="FFFFFF"/>
            <w:hideMark/>
          </w:tcPr>
          <w:p w:rsidR="008E7E18" w:rsidRPr="004410CC" w:rsidRDefault="004410CC" w:rsidP="00535F62">
            <w:pPr>
              <w:spacing w:before="40" w:after="40" w:line="276" w:lineRule="auto"/>
              <w:rPr>
                <w:color w:val="000000"/>
                <w:sz w:val="20"/>
                <w:lang w:val="en-US"/>
              </w:rPr>
            </w:pPr>
            <w:r w:rsidRPr="004410CC">
              <w:rPr>
                <w:color w:val="000000"/>
                <w:sz w:val="20"/>
                <w:lang w:val="en-US"/>
              </w:rPr>
              <w:t>Report ITU-R M.2241 - Compatibility studies in relation to Resolution 224 in the bands 698-806 MHz and 790-862 MHz</w:t>
            </w:r>
          </w:p>
        </w:tc>
        <w:tc>
          <w:tcPr>
            <w:tcW w:w="4855" w:type="dxa"/>
            <w:shd w:val="clear" w:color="auto" w:fill="FFFFFF"/>
            <w:vAlign w:val="center"/>
            <w:hideMark/>
          </w:tcPr>
          <w:p w:rsidR="008E7E18" w:rsidRPr="004410CC" w:rsidRDefault="004410CC" w:rsidP="004410CC">
            <w:pPr>
              <w:tabs>
                <w:tab w:val="left" w:pos="720"/>
              </w:tabs>
              <w:overflowPunct/>
              <w:autoSpaceDE/>
              <w:adjustRightInd/>
              <w:spacing w:before="40" w:after="40" w:line="276" w:lineRule="auto"/>
              <w:rPr>
                <w:rFonts w:ascii="Times New Roman" w:hAnsi="Times New Roman"/>
                <w:color w:val="000000"/>
                <w:sz w:val="20"/>
                <w:lang w:val="en-US"/>
              </w:rPr>
            </w:pPr>
            <w:r w:rsidRPr="004410CC">
              <w:rPr>
                <w:color w:val="000000"/>
                <w:sz w:val="20"/>
                <w:lang w:val="en-US"/>
              </w:rPr>
              <w:t>Following diff</w:t>
            </w:r>
            <w:r>
              <w:rPr>
                <w:color w:val="000000"/>
                <w:sz w:val="20"/>
                <w:lang w:val="en-US"/>
              </w:rPr>
              <w:t>iculties expressed by the Russia</w:t>
            </w:r>
            <w:r w:rsidRPr="004410CC">
              <w:rPr>
                <w:color w:val="000000"/>
                <w:sz w:val="20"/>
                <w:lang w:val="en-US"/>
              </w:rPr>
              <w:t>n Federation at WP 5B (ARNS parameters not aligned with Recommendation ITU-R M.1830), the WP 5D chairman proposed to withdraw the ARNS chapter from the Report, which was accepted. The Report was approved by SG 5 on that basis.</w:t>
            </w:r>
          </w:p>
        </w:tc>
      </w:tr>
      <w:tr w:rsidR="008E7E18" w:rsidRPr="00654CC6" w:rsidTr="00C24E3D">
        <w:trPr>
          <w:trHeight w:val="900"/>
          <w:jc w:val="center"/>
        </w:trPr>
        <w:tc>
          <w:tcPr>
            <w:tcW w:w="966" w:type="dxa"/>
            <w:shd w:val="clear" w:color="auto" w:fill="FFFFFF"/>
            <w:vAlign w:val="center"/>
          </w:tcPr>
          <w:p w:rsidR="008E7E18" w:rsidRPr="008E7E18" w:rsidRDefault="0048705F" w:rsidP="00535F62">
            <w:pPr>
              <w:tabs>
                <w:tab w:val="left" w:pos="720"/>
              </w:tabs>
              <w:overflowPunct/>
              <w:autoSpaceDE/>
              <w:adjustRightInd/>
              <w:spacing w:before="40" w:after="40" w:line="276" w:lineRule="auto"/>
              <w:jc w:val="center"/>
              <w:rPr>
                <w:rFonts w:ascii="Times New Roman" w:hAnsi="Times New Roman"/>
                <w:b/>
                <w:color w:val="000000"/>
                <w:sz w:val="20"/>
                <w:lang w:val="fr-FR"/>
              </w:rPr>
            </w:pPr>
            <w:hyperlink r:id="rId31" w:history="1">
              <w:r w:rsidR="008E7E18" w:rsidRPr="008E7E18">
                <w:rPr>
                  <w:rStyle w:val="Lienhypertexte"/>
                  <w:rFonts w:ascii="Times New Roman" w:hAnsi="Times New Roman"/>
                  <w:sz w:val="20"/>
                  <w:lang w:val="fr-FR"/>
                </w:rPr>
                <w:t>5/287</w:t>
              </w:r>
            </w:hyperlink>
            <w:r w:rsidR="008E7E18" w:rsidRPr="008E7E18">
              <w:rPr>
                <w:rStyle w:val="Lienhypertexte"/>
                <w:rFonts w:ascii="Times New Roman" w:hAnsi="Times New Roman"/>
                <w:b/>
                <w:sz w:val="20"/>
                <w:lang w:val="fr-FR"/>
              </w:rPr>
              <w:t>R1</w:t>
            </w:r>
          </w:p>
        </w:tc>
        <w:tc>
          <w:tcPr>
            <w:tcW w:w="3765" w:type="dxa"/>
            <w:shd w:val="clear" w:color="auto" w:fill="FFFFFF"/>
            <w:hideMark/>
          </w:tcPr>
          <w:p w:rsidR="008E7E18" w:rsidRPr="004410CC" w:rsidRDefault="004410CC" w:rsidP="00535F62">
            <w:pPr>
              <w:tabs>
                <w:tab w:val="left" w:pos="720"/>
              </w:tabs>
              <w:overflowPunct/>
              <w:autoSpaceDE/>
              <w:adjustRightInd/>
              <w:spacing w:before="40" w:after="40" w:line="276" w:lineRule="auto"/>
              <w:rPr>
                <w:color w:val="000000"/>
                <w:sz w:val="20"/>
                <w:lang w:val="en-US"/>
              </w:rPr>
            </w:pPr>
            <w:r w:rsidRPr="004410CC">
              <w:rPr>
                <w:color w:val="000000"/>
                <w:sz w:val="20"/>
                <w:lang w:val="en-US"/>
              </w:rPr>
              <w:t>Draft new Report ITU-R M.[IMT.CRS] - Cognitive Radio Systems specific for IMT systems</w:t>
            </w:r>
          </w:p>
        </w:tc>
        <w:tc>
          <w:tcPr>
            <w:tcW w:w="4855" w:type="dxa"/>
            <w:shd w:val="clear" w:color="auto" w:fill="FFFFFF"/>
            <w:vAlign w:val="center"/>
            <w:hideMark/>
          </w:tcPr>
          <w:p w:rsidR="008E7E18" w:rsidRPr="00654CC6" w:rsidRDefault="00654CC6" w:rsidP="00654CC6">
            <w:pPr>
              <w:tabs>
                <w:tab w:val="left" w:pos="720"/>
              </w:tabs>
              <w:overflowPunct/>
              <w:autoSpaceDE/>
              <w:adjustRightInd/>
              <w:spacing w:before="40" w:after="40" w:line="276" w:lineRule="auto"/>
              <w:rPr>
                <w:rFonts w:ascii="Times New Roman" w:hAnsi="Times New Roman"/>
                <w:color w:val="000000"/>
                <w:sz w:val="20"/>
                <w:lang w:val="en-US"/>
              </w:rPr>
            </w:pPr>
            <w:r w:rsidRPr="00654CC6">
              <w:rPr>
                <w:color w:val="000000"/>
                <w:sz w:val="20"/>
                <w:lang w:val="en-US"/>
              </w:rPr>
              <w:t>The Report was approved with a few editorial modifications</w:t>
            </w:r>
          </w:p>
        </w:tc>
      </w:tr>
    </w:tbl>
    <w:p w:rsidR="00AE4883" w:rsidRPr="00654CC6" w:rsidRDefault="00AE4883" w:rsidP="00AE4883">
      <w:pPr>
        <w:rPr>
          <w:u w:val="single"/>
          <w:lang w:val="en-US"/>
        </w:rPr>
      </w:pPr>
    </w:p>
    <w:p w:rsidR="00505053" w:rsidRDefault="00505053" w:rsidP="00505053">
      <w:pPr>
        <w:numPr>
          <w:ilvl w:val="0"/>
          <w:numId w:val="13"/>
        </w:numPr>
        <w:rPr>
          <w:u w:val="single"/>
          <w:lang w:val="en-US"/>
        </w:rPr>
      </w:pPr>
      <w:r>
        <w:rPr>
          <w:u w:val="single"/>
          <w:lang w:val="en-US"/>
        </w:rPr>
        <w:t>ITU-R Questions</w:t>
      </w:r>
    </w:p>
    <w:p w:rsidR="00EE1315" w:rsidRDefault="00EE1315" w:rsidP="002E781B">
      <w:pPr>
        <w:jc w:val="both"/>
        <w:rPr>
          <w:lang w:val="en-US"/>
        </w:rPr>
      </w:pPr>
    </w:p>
    <w:tbl>
      <w:tblPr>
        <w:tblW w:w="9545" w:type="dxa"/>
        <w:jc w:val="center"/>
        <w:tblInd w:w="-21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6"/>
        <w:gridCol w:w="5692"/>
        <w:gridCol w:w="2907"/>
      </w:tblGrid>
      <w:tr w:rsidR="002764E0" w:rsidRPr="00DB4A4E" w:rsidTr="00C24E3D">
        <w:trPr>
          <w:cantSplit/>
          <w:trHeight w:val="900"/>
          <w:tblHeader/>
          <w:jc w:val="center"/>
        </w:trPr>
        <w:tc>
          <w:tcPr>
            <w:tcW w:w="946" w:type="dxa"/>
            <w:shd w:val="clear" w:color="auto" w:fill="FFFFFF"/>
            <w:vAlign w:val="center"/>
          </w:tcPr>
          <w:p w:rsidR="002764E0" w:rsidRPr="00505053" w:rsidRDefault="005E4501" w:rsidP="00535F62">
            <w:pPr>
              <w:tabs>
                <w:tab w:val="left" w:pos="720"/>
              </w:tabs>
              <w:overflowPunct/>
              <w:autoSpaceDE/>
              <w:adjustRightInd/>
              <w:spacing w:before="40" w:after="40" w:line="276" w:lineRule="auto"/>
              <w:jc w:val="center"/>
              <w:rPr>
                <w:b/>
                <w:color w:val="000000"/>
                <w:sz w:val="20"/>
                <w:lang w:val="fr-FR"/>
              </w:rPr>
            </w:pPr>
            <w:r>
              <w:rPr>
                <w:b/>
                <w:color w:val="000000"/>
                <w:sz w:val="20"/>
                <w:lang w:val="fr-FR"/>
              </w:rPr>
              <w:t>SG 5</w:t>
            </w:r>
          </w:p>
          <w:p w:rsidR="002764E0" w:rsidRPr="00505053" w:rsidRDefault="002764E0" w:rsidP="00535F62">
            <w:pPr>
              <w:tabs>
                <w:tab w:val="left" w:pos="720"/>
              </w:tabs>
              <w:overflowPunct/>
              <w:autoSpaceDE/>
              <w:adjustRightInd/>
              <w:spacing w:before="40" w:after="40" w:line="276" w:lineRule="auto"/>
              <w:jc w:val="center"/>
              <w:rPr>
                <w:b/>
                <w:color w:val="000000"/>
                <w:sz w:val="20"/>
                <w:lang w:val="fr-FR"/>
              </w:rPr>
            </w:pPr>
            <w:r w:rsidRPr="00505053">
              <w:rPr>
                <w:b/>
                <w:color w:val="000000"/>
                <w:sz w:val="20"/>
                <w:lang w:val="fr-FR"/>
              </w:rPr>
              <w:t>Ref</w:t>
            </w:r>
          </w:p>
        </w:tc>
        <w:tc>
          <w:tcPr>
            <w:tcW w:w="5692" w:type="dxa"/>
            <w:shd w:val="clear" w:color="auto" w:fill="FFFFFF"/>
            <w:vAlign w:val="center"/>
            <w:hideMark/>
          </w:tcPr>
          <w:p w:rsidR="002764E0" w:rsidRPr="008E7E18" w:rsidRDefault="002764E0" w:rsidP="00535F62">
            <w:pPr>
              <w:tabs>
                <w:tab w:val="left" w:pos="720"/>
              </w:tabs>
              <w:overflowPunct/>
              <w:autoSpaceDE/>
              <w:adjustRightInd/>
              <w:spacing w:before="40" w:after="40" w:line="276" w:lineRule="auto"/>
              <w:jc w:val="center"/>
              <w:rPr>
                <w:b/>
                <w:color w:val="000000"/>
                <w:sz w:val="20"/>
                <w:lang w:val="fr-FR"/>
              </w:rPr>
            </w:pPr>
            <w:r>
              <w:rPr>
                <w:b/>
                <w:color w:val="000000"/>
                <w:sz w:val="20"/>
                <w:lang w:val="fr-FR"/>
              </w:rPr>
              <w:t>Titl</w:t>
            </w:r>
            <w:r w:rsidRPr="008E7E18">
              <w:rPr>
                <w:b/>
                <w:color w:val="000000"/>
                <w:sz w:val="20"/>
                <w:lang w:val="fr-FR"/>
              </w:rPr>
              <w:t>e</w:t>
            </w:r>
          </w:p>
        </w:tc>
        <w:tc>
          <w:tcPr>
            <w:tcW w:w="2907" w:type="dxa"/>
            <w:shd w:val="clear" w:color="auto" w:fill="FFFFFF"/>
            <w:vAlign w:val="center"/>
            <w:hideMark/>
          </w:tcPr>
          <w:p w:rsidR="002764E0" w:rsidRPr="00505053" w:rsidRDefault="002764E0" w:rsidP="00535F62">
            <w:pPr>
              <w:tabs>
                <w:tab w:val="left" w:pos="720"/>
              </w:tabs>
              <w:overflowPunct/>
              <w:autoSpaceDE/>
              <w:adjustRightInd/>
              <w:spacing w:before="40" w:after="40" w:line="276" w:lineRule="auto"/>
              <w:jc w:val="center"/>
              <w:rPr>
                <w:b/>
                <w:color w:val="000000"/>
                <w:sz w:val="20"/>
                <w:lang w:val="fr-FR"/>
              </w:rPr>
            </w:pPr>
            <w:r w:rsidRPr="00505053">
              <w:rPr>
                <w:b/>
                <w:color w:val="000000"/>
                <w:sz w:val="20"/>
                <w:lang w:val="fr-FR"/>
              </w:rPr>
              <w:t>Observations</w:t>
            </w:r>
          </w:p>
        </w:tc>
      </w:tr>
      <w:tr w:rsidR="00505053" w:rsidRPr="001925FC" w:rsidTr="00C24E3D">
        <w:trPr>
          <w:trHeight w:val="900"/>
          <w:jc w:val="center"/>
        </w:trPr>
        <w:tc>
          <w:tcPr>
            <w:tcW w:w="946" w:type="dxa"/>
            <w:shd w:val="clear" w:color="auto" w:fill="FFFFFF"/>
            <w:vAlign w:val="center"/>
          </w:tcPr>
          <w:p w:rsidR="00505053" w:rsidRPr="00505053" w:rsidRDefault="0048705F" w:rsidP="00535F62">
            <w:pPr>
              <w:spacing w:before="40" w:after="40" w:line="276" w:lineRule="auto"/>
              <w:jc w:val="center"/>
              <w:rPr>
                <w:rFonts w:ascii="Times New Roman" w:hAnsi="Times New Roman"/>
                <w:b/>
                <w:color w:val="000000"/>
                <w:sz w:val="20"/>
                <w:lang w:val="fr-FR"/>
              </w:rPr>
            </w:pPr>
            <w:hyperlink r:id="rId32" w:history="1">
              <w:r w:rsidR="00505053" w:rsidRPr="00505053">
                <w:rPr>
                  <w:rStyle w:val="Lienhypertexte"/>
                  <w:rFonts w:ascii="Times New Roman" w:hAnsi="Times New Roman"/>
                  <w:sz w:val="20"/>
                  <w:lang w:val="fr-FR"/>
                </w:rPr>
                <w:t>5/283</w:t>
              </w:r>
            </w:hyperlink>
          </w:p>
        </w:tc>
        <w:tc>
          <w:tcPr>
            <w:tcW w:w="5692" w:type="dxa"/>
            <w:shd w:val="clear" w:color="auto" w:fill="FFFFFF"/>
            <w:hideMark/>
          </w:tcPr>
          <w:p w:rsidR="00505053" w:rsidRPr="00505053" w:rsidRDefault="00505053" w:rsidP="00535F62">
            <w:pPr>
              <w:tabs>
                <w:tab w:val="left" w:pos="720"/>
              </w:tabs>
              <w:overflowPunct/>
              <w:autoSpaceDE/>
              <w:adjustRightInd/>
              <w:spacing w:before="40" w:after="40" w:line="276" w:lineRule="auto"/>
              <w:rPr>
                <w:color w:val="000000"/>
                <w:sz w:val="20"/>
                <w:lang w:val="en-US"/>
              </w:rPr>
            </w:pPr>
            <w:r w:rsidRPr="00505053">
              <w:rPr>
                <w:color w:val="000000"/>
                <w:sz w:val="20"/>
                <w:lang w:val="en-US"/>
              </w:rPr>
              <w:t>Draft new Question on "Technical and operational aspects of passive and active base station antennas for IMT systems"</w:t>
            </w:r>
          </w:p>
        </w:tc>
        <w:tc>
          <w:tcPr>
            <w:tcW w:w="2907" w:type="dxa"/>
            <w:shd w:val="clear" w:color="auto" w:fill="FFFFFF"/>
            <w:vAlign w:val="center"/>
            <w:hideMark/>
          </w:tcPr>
          <w:p w:rsidR="00505053" w:rsidRPr="00505053" w:rsidRDefault="00505053" w:rsidP="00505053">
            <w:pPr>
              <w:spacing w:before="40" w:after="40" w:line="276" w:lineRule="auto"/>
              <w:rPr>
                <w:color w:val="000000"/>
                <w:sz w:val="20"/>
                <w:lang w:val="en-US"/>
              </w:rPr>
            </w:pPr>
            <w:r w:rsidRPr="00505053">
              <w:rPr>
                <w:color w:val="000000"/>
                <w:sz w:val="20"/>
                <w:lang w:val="en-US"/>
              </w:rPr>
              <w:t xml:space="preserve">Adopted by </w:t>
            </w:r>
            <w:r w:rsidR="005E4501">
              <w:rPr>
                <w:color w:val="000000"/>
                <w:sz w:val="20"/>
                <w:lang w:val="en-US"/>
              </w:rPr>
              <w:t>SG 5</w:t>
            </w:r>
            <w:r w:rsidRPr="00505053">
              <w:rPr>
                <w:color w:val="000000"/>
                <w:sz w:val="20"/>
                <w:lang w:val="en-US"/>
              </w:rPr>
              <w:t xml:space="preserve"> and sent </w:t>
            </w:r>
          </w:p>
          <w:p w:rsidR="00505053" w:rsidRPr="00505053" w:rsidRDefault="00505053" w:rsidP="00505053">
            <w:pPr>
              <w:spacing w:before="40" w:after="40" w:line="276" w:lineRule="auto"/>
              <w:rPr>
                <w:color w:val="000000"/>
                <w:sz w:val="20"/>
                <w:lang w:val="en-US"/>
              </w:rPr>
            </w:pPr>
            <w:r w:rsidRPr="00505053">
              <w:rPr>
                <w:color w:val="000000"/>
                <w:sz w:val="20"/>
                <w:lang w:val="en-US"/>
              </w:rPr>
              <w:t>to RA-12</w:t>
            </w:r>
          </w:p>
          <w:p w:rsidR="00505053" w:rsidRPr="00505053" w:rsidRDefault="00505053" w:rsidP="00505053">
            <w:pPr>
              <w:spacing w:before="40" w:after="40" w:line="276" w:lineRule="auto"/>
              <w:jc w:val="center"/>
              <w:rPr>
                <w:color w:val="000000"/>
                <w:sz w:val="20"/>
                <w:lang w:val="en-US"/>
              </w:rPr>
            </w:pPr>
            <w:r w:rsidRPr="00505053">
              <w:rPr>
                <w:color w:val="000000"/>
                <w:sz w:val="20"/>
                <w:lang w:val="en-US"/>
              </w:rPr>
              <w:t xml:space="preserve"> </w:t>
            </w:r>
          </w:p>
        </w:tc>
      </w:tr>
      <w:tr w:rsidR="00505053" w:rsidRPr="00505053" w:rsidTr="00C24E3D">
        <w:trPr>
          <w:trHeight w:val="900"/>
          <w:jc w:val="center"/>
        </w:trPr>
        <w:tc>
          <w:tcPr>
            <w:tcW w:w="946" w:type="dxa"/>
            <w:shd w:val="clear" w:color="auto" w:fill="FFFFFF"/>
            <w:vAlign w:val="center"/>
          </w:tcPr>
          <w:p w:rsidR="00505053" w:rsidRPr="00505053" w:rsidRDefault="0048705F" w:rsidP="00535F62">
            <w:pPr>
              <w:spacing w:before="40" w:after="40" w:line="276" w:lineRule="auto"/>
              <w:jc w:val="center"/>
              <w:rPr>
                <w:rFonts w:ascii="Times New Roman" w:hAnsi="Times New Roman"/>
                <w:b/>
                <w:color w:val="000000"/>
                <w:sz w:val="20"/>
                <w:lang w:val="en-US"/>
              </w:rPr>
            </w:pPr>
            <w:hyperlink r:id="rId33" w:history="1">
              <w:r w:rsidR="00505053" w:rsidRPr="00505053">
                <w:rPr>
                  <w:rStyle w:val="Lienhypertexte"/>
                  <w:rFonts w:ascii="Times New Roman" w:hAnsi="Times New Roman"/>
                  <w:sz w:val="20"/>
                  <w:lang w:val="en-US"/>
                </w:rPr>
                <w:t>5/284</w:t>
              </w:r>
            </w:hyperlink>
          </w:p>
        </w:tc>
        <w:tc>
          <w:tcPr>
            <w:tcW w:w="5692" w:type="dxa"/>
            <w:shd w:val="clear" w:color="auto" w:fill="FFFFFF"/>
            <w:hideMark/>
          </w:tcPr>
          <w:p w:rsidR="00505053" w:rsidRPr="00505053" w:rsidRDefault="00505053" w:rsidP="00535F62">
            <w:pPr>
              <w:tabs>
                <w:tab w:val="left" w:pos="720"/>
              </w:tabs>
              <w:overflowPunct/>
              <w:autoSpaceDE/>
              <w:adjustRightInd/>
              <w:spacing w:before="40" w:after="40" w:line="276" w:lineRule="auto"/>
              <w:rPr>
                <w:color w:val="000000"/>
                <w:sz w:val="20"/>
                <w:lang w:val="en-US"/>
              </w:rPr>
            </w:pPr>
            <w:r w:rsidRPr="00505053">
              <w:rPr>
                <w:color w:val="000000"/>
                <w:sz w:val="20"/>
                <w:lang w:val="en-US"/>
              </w:rPr>
              <w:t>Draft revision of Question ITU-R 229-2/5 - Further development of the terrestrial component of IMT</w:t>
            </w:r>
          </w:p>
        </w:tc>
        <w:tc>
          <w:tcPr>
            <w:tcW w:w="2907" w:type="dxa"/>
            <w:shd w:val="clear" w:color="auto" w:fill="FFFFFF"/>
            <w:vAlign w:val="center"/>
            <w:hideMark/>
          </w:tcPr>
          <w:p w:rsidR="00505053" w:rsidRPr="00505053" w:rsidRDefault="00505053" w:rsidP="00505053">
            <w:pPr>
              <w:spacing w:before="40" w:after="40" w:line="276" w:lineRule="auto"/>
              <w:rPr>
                <w:color w:val="000000"/>
                <w:sz w:val="20"/>
                <w:lang w:val="en-US"/>
              </w:rPr>
            </w:pPr>
            <w:r w:rsidRPr="00505053">
              <w:rPr>
                <w:color w:val="000000"/>
                <w:sz w:val="20"/>
                <w:lang w:val="en-US"/>
              </w:rPr>
              <w:t xml:space="preserve">Adopted by </w:t>
            </w:r>
            <w:r w:rsidR="005E4501">
              <w:rPr>
                <w:color w:val="000000"/>
                <w:sz w:val="20"/>
                <w:lang w:val="en-US"/>
              </w:rPr>
              <w:t>SG 5</w:t>
            </w:r>
            <w:r w:rsidRPr="00505053">
              <w:rPr>
                <w:color w:val="000000"/>
                <w:sz w:val="20"/>
                <w:lang w:val="en-US"/>
              </w:rPr>
              <w:t xml:space="preserve"> and sent </w:t>
            </w:r>
          </w:p>
          <w:p w:rsidR="00505053" w:rsidRPr="00505053" w:rsidRDefault="00505053" w:rsidP="00505053">
            <w:pPr>
              <w:spacing w:before="40" w:after="40" w:line="276" w:lineRule="auto"/>
              <w:rPr>
                <w:color w:val="000000"/>
                <w:sz w:val="20"/>
                <w:lang w:val="en-US"/>
              </w:rPr>
            </w:pPr>
            <w:r w:rsidRPr="00505053">
              <w:rPr>
                <w:color w:val="000000"/>
                <w:sz w:val="20"/>
                <w:lang w:val="en-US"/>
              </w:rPr>
              <w:t>to RA-12</w:t>
            </w:r>
          </w:p>
          <w:p w:rsidR="00505053" w:rsidRPr="00505053" w:rsidRDefault="00505053" w:rsidP="00535F62">
            <w:pPr>
              <w:spacing w:before="40" w:after="40" w:line="276" w:lineRule="auto"/>
              <w:jc w:val="center"/>
              <w:rPr>
                <w:color w:val="000000"/>
                <w:sz w:val="20"/>
                <w:lang w:val="en-US"/>
              </w:rPr>
            </w:pPr>
          </w:p>
        </w:tc>
      </w:tr>
      <w:tr w:rsidR="00505053" w:rsidRPr="00505053" w:rsidTr="00C24E3D">
        <w:trPr>
          <w:trHeight w:val="900"/>
          <w:jc w:val="center"/>
        </w:trPr>
        <w:tc>
          <w:tcPr>
            <w:tcW w:w="946" w:type="dxa"/>
            <w:shd w:val="clear" w:color="auto" w:fill="FFFFFF"/>
            <w:vAlign w:val="center"/>
          </w:tcPr>
          <w:p w:rsidR="00505053" w:rsidRPr="00505053" w:rsidRDefault="0048705F" w:rsidP="00535F62">
            <w:pPr>
              <w:spacing w:before="40" w:after="40" w:line="276" w:lineRule="auto"/>
              <w:jc w:val="center"/>
              <w:rPr>
                <w:rFonts w:ascii="Times New Roman" w:hAnsi="Times New Roman"/>
                <w:b/>
                <w:color w:val="000000"/>
                <w:sz w:val="20"/>
                <w:lang w:val="en-US"/>
              </w:rPr>
            </w:pPr>
            <w:hyperlink r:id="rId34" w:history="1">
              <w:r w:rsidR="00505053" w:rsidRPr="00505053">
                <w:rPr>
                  <w:rStyle w:val="Lienhypertexte"/>
                  <w:rFonts w:ascii="Times New Roman" w:hAnsi="Times New Roman"/>
                  <w:sz w:val="20"/>
                  <w:lang w:val="en-US"/>
                </w:rPr>
                <w:t>5/285</w:t>
              </w:r>
            </w:hyperlink>
          </w:p>
        </w:tc>
        <w:tc>
          <w:tcPr>
            <w:tcW w:w="5692" w:type="dxa"/>
            <w:shd w:val="clear" w:color="auto" w:fill="FFFFFF"/>
            <w:hideMark/>
          </w:tcPr>
          <w:p w:rsidR="00505053" w:rsidRPr="00505053" w:rsidRDefault="00505053" w:rsidP="00535F62">
            <w:pPr>
              <w:tabs>
                <w:tab w:val="left" w:pos="720"/>
              </w:tabs>
              <w:overflowPunct/>
              <w:autoSpaceDE/>
              <w:adjustRightInd/>
              <w:spacing w:before="40" w:after="40" w:line="276" w:lineRule="auto"/>
              <w:rPr>
                <w:color w:val="000000"/>
                <w:sz w:val="20"/>
                <w:lang w:val="en-US"/>
              </w:rPr>
            </w:pPr>
            <w:r w:rsidRPr="00505053">
              <w:rPr>
                <w:color w:val="000000"/>
                <w:sz w:val="20"/>
                <w:lang w:val="en-US"/>
              </w:rPr>
              <w:t>Draft revision of Question ITU-R 77-6/5 - Consideration of the needs of developing countries in the development and implementation of IMT</w:t>
            </w:r>
          </w:p>
        </w:tc>
        <w:tc>
          <w:tcPr>
            <w:tcW w:w="2907" w:type="dxa"/>
            <w:shd w:val="clear" w:color="auto" w:fill="FFFFFF"/>
            <w:vAlign w:val="center"/>
            <w:hideMark/>
          </w:tcPr>
          <w:p w:rsidR="00505053" w:rsidRPr="00505053" w:rsidRDefault="00505053" w:rsidP="00505053">
            <w:pPr>
              <w:spacing w:before="40" w:after="40" w:line="276" w:lineRule="auto"/>
              <w:rPr>
                <w:color w:val="000000"/>
                <w:sz w:val="20"/>
                <w:lang w:val="en-US"/>
              </w:rPr>
            </w:pPr>
            <w:r w:rsidRPr="00505053">
              <w:rPr>
                <w:color w:val="000000"/>
                <w:sz w:val="20"/>
                <w:lang w:val="en-US"/>
              </w:rPr>
              <w:t xml:space="preserve">Adopted by </w:t>
            </w:r>
            <w:r w:rsidR="005E4501">
              <w:rPr>
                <w:color w:val="000000"/>
                <w:sz w:val="20"/>
                <w:lang w:val="en-US"/>
              </w:rPr>
              <w:t>SG 5</w:t>
            </w:r>
            <w:r w:rsidRPr="00505053">
              <w:rPr>
                <w:color w:val="000000"/>
                <w:sz w:val="20"/>
                <w:lang w:val="en-US"/>
              </w:rPr>
              <w:t xml:space="preserve"> and sent </w:t>
            </w:r>
          </w:p>
          <w:p w:rsidR="00505053" w:rsidRPr="00505053" w:rsidRDefault="00505053" w:rsidP="00505053">
            <w:pPr>
              <w:spacing w:before="40" w:after="40" w:line="276" w:lineRule="auto"/>
              <w:rPr>
                <w:color w:val="000000"/>
                <w:sz w:val="20"/>
                <w:lang w:val="en-US"/>
              </w:rPr>
            </w:pPr>
            <w:r w:rsidRPr="00505053">
              <w:rPr>
                <w:color w:val="000000"/>
                <w:sz w:val="20"/>
                <w:lang w:val="en-US"/>
              </w:rPr>
              <w:t>to RA-12</w:t>
            </w:r>
          </w:p>
          <w:p w:rsidR="00505053" w:rsidRPr="00505053" w:rsidRDefault="00505053" w:rsidP="00535F62">
            <w:pPr>
              <w:spacing w:before="40" w:after="40" w:line="276" w:lineRule="auto"/>
              <w:jc w:val="center"/>
              <w:rPr>
                <w:color w:val="000000"/>
                <w:sz w:val="20"/>
                <w:lang w:val="en-US"/>
              </w:rPr>
            </w:pPr>
          </w:p>
        </w:tc>
      </w:tr>
    </w:tbl>
    <w:p w:rsidR="00505053" w:rsidRDefault="00505053" w:rsidP="002E781B">
      <w:pPr>
        <w:jc w:val="both"/>
        <w:rPr>
          <w:lang w:val="en-US"/>
        </w:rPr>
      </w:pPr>
    </w:p>
    <w:p w:rsidR="00505053" w:rsidRDefault="00505053" w:rsidP="00505053">
      <w:pPr>
        <w:numPr>
          <w:ilvl w:val="0"/>
          <w:numId w:val="13"/>
        </w:numPr>
        <w:rPr>
          <w:u w:val="single"/>
          <w:lang w:val="en-US"/>
        </w:rPr>
      </w:pPr>
      <w:r>
        <w:rPr>
          <w:u w:val="single"/>
          <w:lang w:val="en-US"/>
        </w:rPr>
        <w:t>ITU-R Resolutions</w:t>
      </w:r>
    </w:p>
    <w:p w:rsidR="002764E0" w:rsidRDefault="002764E0" w:rsidP="002764E0">
      <w:pPr>
        <w:ind w:left="-66"/>
        <w:rPr>
          <w:u w:val="single"/>
          <w:lang w:val="en-US"/>
        </w:rPr>
      </w:pPr>
    </w:p>
    <w:tbl>
      <w:tblPr>
        <w:tblW w:w="9641" w:type="dxa"/>
        <w:jc w:val="center"/>
        <w:tblInd w:w="-224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4"/>
        <w:gridCol w:w="5811"/>
        <w:gridCol w:w="2836"/>
      </w:tblGrid>
      <w:tr w:rsidR="002764E0" w:rsidRPr="00505053" w:rsidTr="00C24E3D">
        <w:trPr>
          <w:trHeight w:val="900"/>
          <w:jc w:val="center"/>
        </w:trPr>
        <w:tc>
          <w:tcPr>
            <w:tcW w:w="994" w:type="dxa"/>
            <w:tcBorders>
              <w:top w:val="single" w:sz="4" w:space="0" w:color="auto"/>
              <w:left w:val="single" w:sz="4" w:space="0" w:color="auto"/>
              <w:bottom w:val="single" w:sz="4" w:space="0" w:color="auto"/>
              <w:right w:val="single" w:sz="4" w:space="0" w:color="auto"/>
            </w:tcBorders>
            <w:shd w:val="clear" w:color="auto" w:fill="FFFFFF"/>
            <w:vAlign w:val="center"/>
          </w:tcPr>
          <w:p w:rsidR="002764E0" w:rsidRPr="00505053" w:rsidRDefault="005E4501" w:rsidP="00535F62">
            <w:pPr>
              <w:tabs>
                <w:tab w:val="left" w:pos="720"/>
              </w:tabs>
              <w:overflowPunct/>
              <w:autoSpaceDE/>
              <w:adjustRightInd/>
              <w:spacing w:before="40" w:after="40" w:line="276" w:lineRule="auto"/>
              <w:jc w:val="center"/>
              <w:rPr>
                <w:b/>
                <w:color w:val="000000"/>
                <w:sz w:val="20"/>
                <w:lang w:val="fr-FR"/>
              </w:rPr>
            </w:pPr>
            <w:r>
              <w:rPr>
                <w:b/>
                <w:color w:val="000000"/>
                <w:sz w:val="20"/>
                <w:lang w:val="fr-FR"/>
              </w:rPr>
              <w:lastRenderedPageBreak/>
              <w:t>SG 5</w:t>
            </w:r>
          </w:p>
          <w:p w:rsidR="002764E0" w:rsidRPr="00505053" w:rsidRDefault="002764E0" w:rsidP="00535F62">
            <w:pPr>
              <w:tabs>
                <w:tab w:val="left" w:pos="720"/>
              </w:tabs>
              <w:overflowPunct/>
              <w:autoSpaceDE/>
              <w:adjustRightInd/>
              <w:spacing w:before="40" w:after="40" w:line="276" w:lineRule="auto"/>
              <w:jc w:val="center"/>
              <w:rPr>
                <w:b/>
                <w:color w:val="000000"/>
                <w:sz w:val="20"/>
                <w:lang w:val="fr-FR"/>
              </w:rPr>
            </w:pPr>
            <w:r w:rsidRPr="00505053">
              <w:rPr>
                <w:b/>
                <w:color w:val="000000"/>
                <w:sz w:val="20"/>
                <w:lang w:val="fr-FR"/>
              </w:rPr>
              <w:t>Ref</w:t>
            </w:r>
          </w:p>
        </w:tc>
        <w:tc>
          <w:tcPr>
            <w:tcW w:w="5811"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64E0" w:rsidRPr="008E7E18" w:rsidRDefault="002764E0" w:rsidP="00535F62">
            <w:pPr>
              <w:tabs>
                <w:tab w:val="left" w:pos="720"/>
              </w:tabs>
              <w:overflowPunct/>
              <w:autoSpaceDE/>
              <w:adjustRightInd/>
              <w:spacing w:before="40" w:after="40" w:line="276" w:lineRule="auto"/>
              <w:jc w:val="center"/>
              <w:rPr>
                <w:b/>
                <w:color w:val="000000"/>
                <w:sz w:val="20"/>
                <w:lang w:val="fr-FR"/>
              </w:rPr>
            </w:pPr>
            <w:r>
              <w:rPr>
                <w:b/>
                <w:color w:val="000000"/>
                <w:sz w:val="20"/>
                <w:lang w:val="fr-FR"/>
              </w:rPr>
              <w:t>Titl</w:t>
            </w:r>
            <w:r w:rsidRPr="008E7E18">
              <w:rPr>
                <w:b/>
                <w:color w:val="000000"/>
                <w:sz w:val="20"/>
                <w:lang w:val="fr-FR"/>
              </w:rPr>
              <w:t>e</w:t>
            </w:r>
          </w:p>
        </w:tc>
        <w:tc>
          <w:tcPr>
            <w:tcW w:w="2836"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64E0" w:rsidRPr="00505053" w:rsidRDefault="002764E0" w:rsidP="00535F62">
            <w:pPr>
              <w:tabs>
                <w:tab w:val="left" w:pos="720"/>
              </w:tabs>
              <w:overflowPunct/>
              <w:autoSpaceDE/>
              <w:adjustRightInd/>
              <w:spacing w:before="40" w:after="40" w:line="276" w:lineRule="auto"/>
              <w:jc w:val="center"/>
              <w:rPr>
                <w:b/>
                <w:color w:val="000000"/>
                <w:sz w:val="20"/>
                <w:lang w:val="fr-FR"/>
              </w:rPr>
            </w:pPr>
            <w:r w:rsidRPr="00505053">
              <w:rPr>
                <w:b/>
                <w:color w:val="000000"/>
                <w:sz w:val="20"/>
                <w:lang w:val="fr-FR"/>
              </w:rPr>
              <w:t>Observations</w:t>
            </w:r>
          </w:p>
        </w:tc>
      </w:tr>
      <w:tr w:rsidR="00505053" w:rsidRPr="00505053" w:rsidTr="00C24E3D">
        <w:trPr>
          <w:trHeight w:val="900"/>
          <w:jc w:val="center"/>
        </w:trPr>
        <w:tc>
          <w:tcPr>
            <w:tcW w:w="994" w:type="dxa"/>
            <w:shd w:val="clear" w:color="auto" w:fill="FFFFFF"/>
            <w:vAlign w:val="center"/>
          </w:tcPr>
          <w:p w:rsidR="00505053" w:rsidRPr="00505053" w:rsidRDefault="0048705F" w:rsidP="00535F62">
            <w:pPr>
              <w:spacing w:before="40" w:after="40" w:line="276" w:lineRule="auto"/>
              <w:jc w:val="center"/>
              <w:rPr>
                <w:rFonts w:ascii="Times New Roman" w:hAnsi="Times New Roman"/>
                <w:b/>
                <w:color w:val="000000"/>
                <w:sz w:val="20"/>
                <w:lang w:val="en-US"/>
              </w:rPr>
            </w:pPr>
            <w:hyperlink r:id="rId35" w:history="1">
              <w:r w:rsidR="00505053" w:rsidRPr="00505053">
                <w:rPr>
                  <w:rStyle w:val="Lienhypertexte"/>
                  <w:rFonts w:ascii="Times New Roman" w:hAnsi="Times New Roman"/>
                  <w:sz w:val="20"/>
                  <w:lang w:val="en-US"/>
                </w:rPr>
                <w:t>5/278</w:t>
              </w:r>
            </w:hyperlink>
          </w:p>
        </w:tc>
        <w:tc>
          <w:tcPr>
            <w:tcW w:w="5811" w:type="dxa"/>
            <w:shd w:val="clear" w:color="auto" w:fill="FFFFFF"/>
            <w:hideMark/>
          </w:tcPr>
          <w:p w:rsidR="00505053" w:rsidRPr="003F7313" w:rsidRDefault="003F7313" w:rsidP="00535F62">
            <w:pPr>
              <w:tabs>
                <w:tab w:val="left" w:pos="720"/>
              </w:tabs>
              <w:overflowPunct/>
              <w:autoSpaceDE/>
              <w:adjustRightInd/>
              <w:spacing w:before="40" w:after="40" w:line="276" w:lineRule="auto"/>
              <w:rPr>
                <w:color w:val="000000"/>
                <w:sz w:val="20"/>
                <w:lang w:val="en-US"/>
              </w:rPr>
            </w:pPr>
            <w:r w:rsidRPr="003F7313">
              <w:rPr>
                <w:color w:val="000000"/>
                <w:sz w:val="20"/>
                <w:lang w:val="en-US"/>
              </w:rPr>
              <w:t>Draft revision of Resolution ITU-R 17-3 - Integration of International Mobile Telecommunications (IMT-2000 and IMT-Advanced) with existing networks</w:t>
            </w:r>
          </w:p>
        </w:tc>
        <w:tc>
          <w:tcPr>
            <w:tcW w:w="2836" w:type="dxa"/>
            <w:shd w:val="clear" w:color="auto" w:fill="FFFFFF"/>
            <w:vAlign w:val="center"/>
            <w:hideMark/>
          </w:tcPr>
          <w:p w:rsidR="00505053" w:rsidRPr="00505053" w:rsidRDefault="00505053" w:rsidP="00505053">
            <w:pPr>
              <w:spacing w:before="40" w:after="40" w:line="276" w:lineRule="auto"/>
              <w:rPr>
                <w:color w:val="000000"/>
                <w:sz w:val="20"/>
                <w:lang w:val="en-US"/>
              </w:rPr>
            </w:pPr>
            <w:r w:rsidRPr="00505053">
              <w:rPr>
                <w:color w:val="000000"/>
                <w:sz w:val="20"/>
                <w:lang w:val="en-US"/>
              </w:rPr>
              <w:t xml:space="preserve">Adopted by </w:t>
            </w:r>
            <w:r w:rsidR="005E4501">
              <w:rPr>
                <w:color w:val="000000"/>
                <w:sz w:val="20"/>
                <w:lang w:val="en-US"/>
              </w:rPr>
              <w:t>SG 5</w:t>
            </w:r>
            <w:r w:rsidRPr="00505053">
              <w:rPr>
                <w:color w:val="000000"/>
                <w:sz w:val="20"/>
                <w:lang w:val="en-US"/>
              </w:rPr>
              <w:t xml:space="preserve"> and sent </w:t>
            </w:r>
          </w:p>
          <w:p w:rsidR="00505053" w:rsidRPr="00505053" w:rsidRDefault="00505053" w:rsidP="00505053">
            <w:pPr>
              <w:spacing w:before="40" w:after="40" w:line="276" w:lineRule="auto"/>
              <w:rPr>
                <w:color w:val="000000"/>
                <w:sz w:val="20"/>
                <w:lang w:val="en-US"/>
              </w:rPr>
            </w:pPr>
            <w:r w:rsidRPr="00505053">
              <w:rPr>
                <w:color w:val="000000"/>
                <w:sz w:val="20"/>
                <w:lang w:val="en-US"/>
              </w:rPr>
              <w:t>to RA-12</w:t>
            </w:r>
          </w:p>
          <w:p w:rsidR="00505053" w:rsidRPr="003F7313" w:rsidRDefault="00505053" w:rsidP="00505053">
            <w:pPr>
              <w:spacing w:before="40" w:after="40" w:line="276" w:lineRule="auto"/>
              <w:rPr>
                <w:color w:val="000000"/>
                <w:sz w:val="20"/>
                <w:lang w:val="en-US"/>
              </w:rPr>
            </w:pPr>
          </w:p>
        </w:tc>
      </w:tr>
      <w:tr w:rsidR="00505053" w:rsidRPr="001925FC" w:rsidTr="00C24E3D">
        <w:trPr>
          <w:trHeight w:val="900"/>
          <w:jc w:val="center"/>
        </w:trPr>
        <w:tc>
          <w:tcPr>
            <w:tcW w:w="994" w:type="dxa"/>
            <w:shd w:val="clear" w:color="auto" w:fill="FFFFFF"/>
            <w:vAlign w:val="center"/>
          </w:tcPr>
          <w:p w:rsidR="00505053" w:rsidRPr="00505053" w:rsidRDefault="0048705F" w:rsidP="00535F62">
            <w:pPr>
              <w:spacing w:before="40" w:after="40" w:line="276" w:lineRule="auto"/>
              <w:jc w:val="center"/>
              <w:rPr>
                <w:rFonts w:ascii="Times New Roman" w:hAnsi="Times New Roman"/>
                <w:b/>
                <w:color w:val="000000"/>
                <w:sz w:val="20"/>
                <w:lang w:val="en-US"/>
              </w:rPr>
            </w:pPr>
            <w:hyperlink r:id="rId36" w:history="1">
              <w:r w:rsidR="00505053" w:rsidRPr="00505053">
                <w:rPr>
                  <w:rStyle w:val="Lienhypertexte"/>
                  <w:rFonts w:ascii="Times New Roman" w:hAnsi="Times New Roman"/>
                  <w:sz w:val="20"/>
                  <w:lang w:val="en-US"/>
                </w:rPr>
                <w:t>5/279</w:t>
              </w:r>
            </w:hyperlink>
          </w:p>
        </w:tc>
        <w:tc>
          <w:tcPr>
            <w:tcW w:w="5811" w:type="dxa"/>
            <w:shd w:val="clear" w:color="auto" w:fill="FFFFFF"/>
            <w:hideMark/>
          </w:tcPr>
          <w:p w:rsidR="00505053" w:rsidRPr="003F7313" w:rsidRDefault="003F7313" w:rsidP="00535F62">
            <w:pPr>
              <w:tabs>
                <w:tab w:val="left" w:pos="720"/>
              </w:tabs>
              <w:overflowPunct/>
              <w:autoSpaceDE/>
              <w:adjustRightInd/>
              <w:spacing w:before="40" w:after="40" w:line="276" w:lineRule="auto"/>
              <w:rPr>
                <w:color w:val="000000"/>
                <w:sz w:val="20"/>
                <w:lang w:val="en-US"/>
              </w:rPr>
            </w:pPr>
            <w:r w:rsidRPr="003F7313">
              <w:rPr>
                <w:color w:val="000000"/>
                <w:sz w:val="20"/>
                <w:lang w:val="en-US"/>
              </w:rPr>
              <w:t>Draft revision of Resolution ITU-R 56 - Naming for International Mobile Telecommunications</w:t>
            </w:r>
          </w:p>
        </w:tc>
        <w:tc>
          <w:tcPr>
            <w:tcW w:w="2836" w:type="dxa"/>
            <w:shd w:val="clear" w:color="auto" w:fill="FFFFFF"/>
            <w:vAlign w:val="center"/>
            <w:hideMark/>
          </w:tcPr>
          <w:p w:rsidR="00505053" w:rsidRPr="00505053" w:rsidRDefault="00505053" w:rsidP="00505053">
            <w:pPr>
              <w:spacing w:before="40" w:after="40" w:line="276" w:lineRule="auto"/>
              <w:rPr>
                <w:color w:val="000000"/>
                <w:sz w:val="20"/>
                <w:lang w:val="en-US"/>
              </w:rPr>
            </w:pPr>
            <w:r w:rsidRPr="00505053">
              <w:rPr>
                <w:color w:val="000000"/>
                <w:sz w:val="20"/>
                <w:lang w:val="en-US"/>
              </w:rPr>
              <w:t xml:space="preserve">Adopted by </w:t>
            </w:r>
            <w:r w:rsidR="005E4501">
              <w:rPr>
                <w:color w:val="000000"/>
                <w:sz w:val="20"/>
                <w:lang w:val="en-US"/>
              </w:rPr>
              <w:t>SG 5</w:t>
            </w:r>
            <w:r w:rsidRPr="00505053">
              <w:rPr>
                <w:color w:val="000000"/>
                <w:sz w:val="20"/>
                <w:lang w:val="en-US"/>
              </w:rPr>
              <w:t xml:space="preserve"> and sent </w:t>
            </w:r>
          </w:p>
          <w:p w:rsidR="00505053" w:rsidRPr="003F7313" w:rsidRDefault="00505053" w:rsidP="00505053">
            <w:pPr>
              <w:spacing w:before="40" w:after="40" w:line="276" w:lineRule="auto"/>
              <w:rPr>
                <w:color w:val="000000"/>
                <w:sz w:val="20"/>
                <w:lang w:val="en-US"/>
              </w:rPr>
            </w:pPr>
            <w:r w:rsidRPr="00505053">
              <w:rPr>
                <w:color w:val="000000"/>
                <w:sz w:val="20"/>
                <w:lang w:val="en-US"/>
              </w:rPr>
              <w:t>to RA-12</w:t>
            </w:r>
          </w:p>
        </w:tc>
      </w:tr>
      <w:tr w:rsidR="00505053" w:rsidRPr="00505053" w:rsidTr="00C24E3D">
        <w:trPr>
          <w:trHeight w:val="900"/>
          <w:jc w:val="center"/>
        </w:trPr>
        <w:tc>
          <w:tcPr>
            <w:tcW w:w="994" w:type="dxa"/>
            <w:shd w:val="clear" w:color="auto" w:fill="FFFFFF"/>
            <w:vAlign w:val="center"/>
          </w:tcPr>
          <w:p w:rsidR="00505053" w:rsidRPr="00505053" w:rsidRDefault="0048705F" w:rsidP="00535F62">
            <w:pPr>
              <w:spacing w:before="40" w:after="40" w:line="276" w:lineRule="auto"/>
              <w:jc w:val="center"/>
              <w:rPr>
                <w:rFonts w:ascii="Times New Roman" w:hAnsi="Times New Roman"/>
                <w:b/>
                <w:color w:val="000000"/>
                <w:sz w:val="20"/>
                <w:lang w:val="en-US"/>
              </w:rPr>
            </w:pPr>
            <w:hyperlink r:id="rId37" w:history="1">
              <w:r w:rsidR="00505053" w:rsidRPr="00505053">
                <w:rPr>
                  <w:rStyle w:val="Lienhypertexte"/>
                  <w:rFonts w:ascii="Times New Roman" w:hAnsi="Times New Roman"/>
                  <w:sz w:val="20"/>
                  <w:lang w:val="en-US"/>
                </w:rPr>
                <w:t>5/280</w:t>
              </w:r>
            </w:hyperlink>
          </w:p>
        </w:tc>
        <w:tc>
          <w:tcPr>
            <w:tcW w:w="5811" w:type="dxa"/>
            <w:shd w:val="clear" w:color="auto" w:fill="FFFFFF"/>
            <w:hideMark/>
          </w:tcPr>
          <w:p w:rsidR="00505053" w:rsidRPr="003F7313" w:rsidRDefault="003F7313" w:rsidP="00535F62">
            <w:pPr>
              <w:tabs>
                <w:tab w:val="left" w:pos="720"/>
              </w:tabs>
              <w:overflowPunct/>
              <w:autoSpaceDE/>
              <w:adjustRightInd/>
              <w:spacing w:before="40" w:after="40" w:line="276" w:lineRule="auto"/>
              <w:rPr>
                <w:color w:val="000000"/>
                <w:sz w:val="20"/>
                <w:lang w:val="en-US"/>
              </w:rPr>
            </w:pPr>
            <w:r w:rsidRPr="003F7313">
              <w:rPr>
                <w:color w:val="000000"/>
                <w:sz w:val="20"/>
                <w:lang w:val="en-US"/>
              </w:rPr>
              <w:t>Draft revision of Resolution ITU-R 50-1- Role of the Radiocommunication Sector in the on-going development of IMT</w:t>
            </w:r>
          </w:p>
        </w:tc>
        <w:tc>
          <w:tcPr>
            <w:tcW w:w="2836" w:type="dxa"/>
            <w:shd w:val="clear" w:color="auto" w:fill="FFFFFF"/>
            <w:vAlign w:val="center"/>
            <w:hideMark/>
          </w:tcPr>
          <w:p w:rsidR="00505053" w:rsidRPr="00505053" w:rsidRDefault="00505053" w:rsidP="00505053">
            <w:pPr>
              <w:spacing w:before="40" w:after="40" w:line="276" w:lineRule="auto"/>
              <w:rPr>
                <w:color w:val="000000"/>
                <w:sz w:val="20"/>
                <w:lang w:val="en-US"/>
              </w:rPr>
            </w:pPr>
            <w:r w:rsidRPr="00505053">
              <w:rPr>
                <w:color w:val="000000"/>
                <w:sz w:val="20"/>
                <w:lang w:val="en-US"/>
              </w:rPr>
              <w:t xml:space="preserve">Adopted by </w:t>
            </w:r>
            <w:r w:rsidR="005E4501">
              <w:rPr>
                <w:color w:val="000000"/>
                <w:sz w:val="20"/>
                <w:lang w:val="en-US"/>
              </w:rPr>
              <w:t>SG 5</w:t>
            </w:r>
            <w:r w:rsidRPr="00505053">
              <w:rPr>
                <w:color w:val="000000"/>
                <w:sz w:val="20"/>
                <w:lang w:val="en-US"/>
              </w:rPr>
              <w:t xml:space="preserve"> and sent </w:t>
            </w:r>
          </w:p>
          <w:p w:rsidR="00505053" w:rsidRPr="00505053" w:rsidRDefault="00505053" w:rsidP="00505053">
            <w:pPr>
              <w:spacing w:before="40" w:after="40" w:line="276" w:lineRule="auto"/>
              <w:rPr>
                <w:color w:val="000000"/>
                <w:sz w:val="20"/>
                <w:lang w:val="en-US"/>
              </w:rPr>
            </w:pPr>
            <w:r w:rsidRPr="00505053">
              <w:rPr>
                <w:color w:val="000000"/>
                <w:sz w:val="20"/>
                <w:lang w:val="en-US"/>
              </w:rPr>
              <w:t>to RA-12</w:t>
            </w:r>
          </w:p>
          <w:p w:rsidR="00505053" w:rsidRPr="003F7313" w:rsidRDefault="00505053" w:rsidP="00505053">
            <w:pPr>
              <w:spacing w:before="40" w:after="40" w:line="276" w:lineRule="auto"/>
              <w:rPr>
                <w:color w:val="000000"/>
                <w:sz w:val="20"/>
                <w:lang w:val="en-US"/>
              </w:rPr>
            </w:pPr>
          </w:p>
        </w:tc>
      </w:tr>
      <w:tr w:rsidR="00505053" w:rsidRPr="00505053" w:rsidTr="00C24E3D">
        <w:trPr>
          <w:trHeight w:val="900"/>
          <w:jc w:val="center"/>
        </w:trPr>
        <w:tc>
          <w:tcPr>
            <w:tcW w:w="994" w:type="dxa"/>
            <w:shd w:val="clear" w:color="auto" w:fill="FFFFFF"/>
            <w:vAlign w:val="center"/>
          </w:tcPr>
          <w:p w:rsidR="00505053" w:rsidRPr="00505053" w:rsidRDefault="0048705F" w:rsidP="00535F62">
            <w:pPr>
              <w:spacing w:before="40" w:after="40" w:line="276" w:lineRule="auto"/>
              <w:jc w:val="center"/>
              <w:rPr>
                <w:rFonts w:ascii="Times New Roman" w:hAnsi="Times New Roman"/>
                <w:b/>
                <w:color w:val="000000"/>
                <w:sz w:val="20"/>
                <w:lang w:val="en-US"/>
              </w:rPr>
            </w:pPr>
            <w:hyperlink r:id="rId38" w:history="1">
              <w:r w:rsidR="00505053" w:rsidRPr="00505053">
                <w:rPr>
                  <w:rStyle w:val="Lienhypertexte"/>
                  <w:rFonts w:ascii="Times New Roman" w:hAnsi="Times New Roman"/>
                  <w:sz w:val="20"/>
                  <w:lang w:val="en-US"/>
                </w:rPr>
                <w:t>5/281</w:t>
              </w:r>
            </w:hyperlink>
          </w:p>
        </w:tc>
        <w:tc>
          <w:tcPr>
            <w:tcW w:w="5811" w:type="dxa"/>
            <w:shd w:val="clear" w:color="auto" w:fill="FFFFFF"/>
            <w:hideMark/>
          </w:tcPr>
          <w:p w:rsidR="00505053" w:rsidRPr="003F7313" w:rsidRDefault="003F7313" w:rsidP="00535F62">
            <w:pPr>
              <w:tabs>
                <w:tab w:val="left" w:pos="720"/>
              </w:tabs>
              <w:overflowPunct/>
              <w:autoSpaceDE/>
              <w:adjustRightInd/>
              <w:spacing w:before="40" w:after="40" w:line="276" w:lineRule="auto"/>
              <w:rPr>
                <w:color w:val="000000"/>
                <w:sz w:val="20"/>
                <w:lang w:val="en-US"/>
              </w:rPr>
            </w:pPr>
            <w:r w:rsidRPr="003F7313">
              <w:rPr>
                <w:color w:val="000000"/>
                <w:sz w:val="20"/>
                <w:lang w:val="en-US"/>
              </w:rPr>
              <w:t>Draft revision of Resolution ITU-R 57 - Principles for the process of development of IMT-Advanced</w:t>
            </w:r>
          </w:p>
        </w:tc>
        <w:tc>
          <w:tcPr>
            <w:tcW w:w="2836" w:type="dxa"/>
            <w:shd w:val="clear" w:color="auto" w:fill="FFFFFF"/>
            <w:vAlign w:val="center"/>
            <w:hideMark/>
          </w:tcPr>
          <w:p w:rsidR="00505053" w:rsidRPr="00505053" w:rsidRDefault="00505053" w:rsidP="00505053">
            <w:pPr>
              <w:spacing w:before="40" w:after="40" w:line="276" w:lineRule="auto"/>
              <w:rPr>
                <w:color w:val="000000"/>
                <w:sz w:val="20"/>
                <w:lang w:val="en-US"/>
              </w:rPr>
            </w:pPr>
            <w:r w:rsidRPr="00505053">
              <w:rPr>
                <w:color w:val="000000"/>
                <w:sz w:val="20"/>
                <w:lang w:val="en-US"/>
              </w:rPr>
              <w:t xml:space="preserve">Adopted by </w:t>
            </w:r>
            <w:r w:rsidR="005E4501">
              <w:rPr>
                <w:color w:val="000000"/>
                <w:sz w:val="20"/>
                <w:lang w:val="en-US"/>
              </w:rPr>
              <w:t>SG 5</w:t>
            </w:r>
            <w:r w:rsidRPr="00505053">
              <w:rPr>
                <w:color w:val="000000"/>
                <w:sz w:val="20"/>
                <w:lang w:val="en-US"/>
              </w:rPr>
              <w:t xml:space="preserve"> and sent </w:t>
            </w:r>
          </w:p>
          <w:p w:rsidR="00505053" w:rsidRPr="003F7313" w:rsidRDefault="00505053" w:rsidP="00505053">
            <w:pPr>
              <w:spacing w:before="40" w:after="40" w:line="276" w:lineRule="auto"/>
              <w:rPr>
                <w:color w:val="000000"/>
                <w:sz w:val="20"/>
                <w:lang w:val="en-US"/>
              </w:rPr>
            </w:pPr>
            <w:r w:rsidRPr="00505053">
              <w:rPr>
                <w:color w:val="000000"/>
                <w:sz w:val="20"/>
                <w:lang w:val="en-US"/>
              </w:rPr>
              <w:t>to RA-12</w:t>
            </w:r>
          </w:p>
        </w:tc>
      </w:tr>
    </w:tbl>
    <w:p w:rsidR="003F7313" w:rsidRDefault="003F7313" w:rsidP="003F7313">
      <w:pPr>
        <w:numPr>
          <w:ilvl w:val="0"/>
          <w:numId w:val="13"/>
        </w:numPr>
        <w:rPr>
          <w:u w:val="single"/>
          <w:lang w:val="en-US"/>
        </w:rPr>
      </w:pPr>
      <w:r>
        <w:rPr>
          <w:u w:val="single"/>
          <w:lang w:val="en-US"/>
        </w:rPr>
        <w:t>ITU-R Opinions</w:t>
      </w:r>
    </w:p>
    <w:p w:rsidR="002764E0" w:rsidRDefault="002764E0" w:rsidP="002764E0">
      <w:pPr>
        <w:ind w:left="-66"/>
        <w:rPr>
          <w:u w:val="single"/>
          <w:lang w:val="en-US"/>
        </w:rPr>
      </w:pPr>
    </w:p>
    <w:tbl>
      <w:tblPr>
        <w:tblW w:w="9569" w:type="dxa"/>
        <w:jc w:val="center"/>
        <w:tblInd w:w="-20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58"/>
        <w:gridCol w:w="6757"/>
        <w:gridCol w:w="1854"/>
      </w:tblGrid>
      <w:tr w:rsidR="002764E0" w:rsidRPr="00505053" w:rsidTr="00C24E3D">
        <w:trPr>
          <w:trHeight w:val="900"/>
          <w:jc w:val="center"/>
        </w:trPr>
        <w:tc>
          <w:tcPr>
            <w:tcW w:w="958" w:type="dxa"/>
            <w:tcBorders>
              <w:top w:val="single" w:sz="4" w:space="0" w:color="auto"/>
              <w:left w:val="single" w:sz="4" w:space="0" w:color="auto"/>
              <w:bottom w:val="single" w:sz="4" w:space="0" w:color="auto"/>
              <w:right w:val="single" w:sz="4" w:space="0" w:color="auto"/>
            </w:tcBorders>
            <w:shd w:val="clear" w:color="auto" w:fill="FFFFFF"/>
            <w:vAlign w:val="center"/>
          </w:tcPr>
          <w:p w:rsidR="002764E0" w:rsidRPr="00061CDF" w:rsidRDefault="005E4501" w:rsidP="00061CDF">
            <w:pPr>
              <w:tabs>
                <w:tab w:val="left" w:pos="720"/>
              </w:tabs>
              <w:overflowPunct/>
              <w:autoSpaceDE/>
              <w:adjustRightInd/>
              <w:spacing w:before="40" w:after="40" w:line="276" w:lineRule="auto"/>
              <w:jc w:val="center"/>
              <w:rPr>
                <w:b/>
                <w:color w:val="000000"/>
                <w:sz w:val="20"/>
                <w:lang w:val="fr-FR"/>
              </w:rPr>
            </w:pPr>
            <w:r>
              <w:rPr>
                <w:b/>
                <w:color w:val="000000"/>
                <w:sz w:val="20"/>
                <w:lang w:val="fr-FR"/>
              </w:rPr>
              <w:t>SG 5</w:t>
            </w:r>
          </w:p>
          <w:p w:rsidR="002764E0" w:rsidRPr="00061CDF" w:rsidRDefault="002764E0" w:rsidP="00061CDF">
            <w:pPr>
              <w:tabs>
                <w:tab w:val="left" w:pos="720"/>
              </w:tabs>
              <w:overflowPunct/>
              <w:autoSpaceDE/>
              <w:adjustRightInd/>
              <w:spacing w:before="40" w:after="40" w:line="276" w:lineRule="auto"/>
              <w:jc w:val="center"/>
              <w:rPr>
                <w:b/>
                <w:color w:val="000000"/>
                <w:sz w:val="20"/>
                <w:lang w:val="fr-FR"/>
              </w:rPr>
            </w:pPr>
            <w:r w:rsidRPr="00061CDF">
              <w:rPr>
                <w:b/>
                <w:color w:val="000000"/>
                <w:sz w:val="20"/>
                <w:lang w:val="fr-FR"/>
              </w:rPr>
              <w:t>Ref</w:t>
            </w:r>
          </w:p>
        </w:tc>
        <w:tc>
          <w:tcPr>
            <w:tcW w:w="6757" w:type="dxa"/>
            <w:tcBorders>
              <w:top w:val="single" w:sz="4" w:space="0" w:color="auto"/>
              <w:left w:val="single" w:sz="4" w:space="0" w:color="auto"/>
              <w:bottom w:val="single" w:sz="4" w:space="0" w:color="auto"/>
              <w:right w:val="single" w:sz="4" w:space="0" w:color="auto"/>
            </w:tcBorders>
            <w:shd w:val="clear" w:color="auto" w:fill="FFFFFF"/>
            <w:hideMark/>
          </w:tcPr>
          <w:p w:rsidR="002764E0" w:rsidRPr="00061CDF" w:rsidRDefault="002764E0" w:rsidP="00061CDF">
            <w:pPr>
              <w:tabs>
                <w:tab w:val="left" w:pos="720"/>
              </w:tabs>
              <w:overflowPunct/>
              <w:autoSpaceDE/>
              <w:adjustRightInd/>
              <w:spacing w:before="40" w:after="40" w:line="276" w:lineRule="auto"/>
              <w:jc w:val="center"/>
              <w:rPr>
                <w:b/>
                <w:color w:val="000000"/>
                <w:sz w:val="20"/>
                <w:lang w:val="fr-FR"/>
              </w:rPr>
            </w:pPr>
            <w:r w:rsidRPr="00061CDF">
              <w:rPr>
                <w:b/>
                <w:color w:val="000000"/>
                <w:sz w:val="20"/>
                <w:lang w:val="fr-FR"/>
              </w:rPr>
              <w:t>Title</w:t>
            </w:r>
          </w:p>
        </w:tc>
        <w:tc>
          <w:tcPr>
            <w:tcW w:w="1854"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2764E0" w:rsidRPr="00061CDF" w:rsidRDefault="002764E0" w:rsidP="00061CDF">
            <w:pPr>
              <w:tabs>
                <w:tab w:val="left" w:pos="720"/>
              </w:tabs>
              <w:overflowPunct/>
              <w:autoSpaceDE/>
              <w:adjustRightInd/>
              <w:spacing w:before="40" w:after="40" w:line="276" w:lineRule="auto"/>
              <w:jc w:val="center"/>
              <w:rPr>
                <w:b/>
                <w:color w:val="000000"/>
                <w:sz w:val="20"/>
                <w:lang w:val="fr-FR"/>
              </w:rPr>
            </w:pPr>
            <w:r w:rsidRPr="00061CDF">
              <w:rPr>
                <w:b/>
                <w:color w:val="000000"/>
                <w:sz w:val="20"/>
                <w:lang w:val="fr-FR"/>
              </w:rPr>
              <w:t>Observations</w:t>
            </w:r>
          </w:p>
        </w:tc>
      </w:tr>
      <w:tr w:rsidR="003F7313" w:rsidRPr="00D662E2" w:rsidTr="00C24E3D">
        <w:trPr>
          <w:trHeight w:val="900"/>
          <w:jc w:val="center"/>
        </w:trPr>
        <w:tc>
          <w:tcPr>
            <w:tcW w:w="958" w:type="dxa"/>
            <w:shd w:val="clear" w:color="auto" w:fill="FFFFFF"/>
            <w:vAlign w:val="center"/>
          </w:tcPr>
          <w:p w:rsidR="003F7313" w:rsidRPr="003F7313" w:rsidRDefault="0048705F" w:rsidP="00535F62">
            <w:pPr>
              <w:spacing w:before="40" w:after="40" w:line="276" w:lineRule="auto"/>
              <w:jc w:val="center"/>
              <w:rPr>
                <w:rFonts w:ascii="Times New Roman" w:hAnsi="Times New Roman"/>
                <w:b/>
                <w:color w:val="000000"/>
                <w:sz w:val="20"/>
                <w:lang w:val="en-US"/>
              </w:rPr>
            </w:pPr>
            <w:hyperlink r:id="rId39" w:history="1">
              <w:r w:rsidR="003F7313" w:rsidRPr="003F7313">
                <w:rPr>
                  <w:rStyle w:val="Lienhypertexte"/>
                  <w:rFonts w:ascii="Times New Roman" w:hAnsi="Times New Roman"/>
                  <w:sz w:val="20"/>
                  <w:lang w:val="en-US"/>
                </w:rPr>
                <w:t>5/282</w:t>
              </w:r>
            </w:hyperlink>
          </w:p>
        </w:tc>
        <w:tc>
          <w:tcPr>
            <w:tcW w:w="6757" w:type="dxa"/>
            <w:shd w:val="clear" w:color="auto" w:fill="FFFFFF"/>
            <w:hideMark/>
          </w:tcPr>
          <w:p w:rsidR="003F7313" w:rsidRPr="003F7313" w:rsidRDefault="003F7313" w:rsidP="00535F62">
            <w:pPr>
              <w:tabs>
                <w:tab w:val="left" w:pos="720"/>
              </w:tabs>
              <w:overflowPunct/>
              <w:autoSpaceDE/>
              <w:adjustRightInd/>
              <w:spacing w:before="40" w:after="40" w:line="276" w:lineRule="auto"/>
              <w:rPr>
                <w:color w:val="000000"/>
                <w:sz w:val="20"/>
                <w:lang w:val="en-US"/>
              </w:rPr>
            </w:pPr>
            <w:r w:rsidRPr="003F7313">
              <w:rPr>
                <w:color w:val="000000"/>
                <w:sz w:val="20"/>
                <w:lang w:val="en-US"/>
              </w:rPr>
              <w:t>Draft revision of Opinion ITU-R 92-1 - Harmonization of activities for future mobile communications (proposed new title "Support and harmonization of International Mobile Telecommunications (IMT))</w:t>
            </w:r>
          </w:p>
        </w:tc>
        <w:tc>
          <w:tcPr>
            <w:tcW w:w="1854" w:type="dxa"/>
            <w:shd w:val="clear" w:color="auto" w:fill="FFFFFF"/>
            <w:vAlign w:val="center"/>
            <w:hideMark/>
          </w:tcPr>
          <w:p w:rsidR="003F7313" w:rsidRPr="002764E0" w:rsidRDefault="003F7313" w:rsidP="00535F62">
            <w:pPr>
              <w:spacing w:before="40" w:after="40" w:line="276" w:lineRule="auto"/>
              <w:jc w:val="center"/>
              <w:rPr>
                <w:color w:val="000000"/>
                <w:sz w:val="20"/>
                <w:lang w:val="en-US"/>
              </w:rPr>
            </w:pPr>
            <w:r w:rsidRPr="002764E0">
              <w:rPr>
                <w:color w:val="000000"/>
                <w:sz w:val="20"/>
                <w:lang w:val="en-US"/>
              </w:rPr>
              <w:t xml:space="preserve">Approved by </w:t>
            </w:r>
            <w:r w:rsidR="005E4501">
              <w:rPr>
                <w:color w:val="000000"/>
                <w:sz w:val="20"/>
                <w:lang w:val="en-US"/>
              </w:rPr>
              <w:t>SG 5</w:t>
            </w:r>
            <w:r w:rsidRPr="002764E0">
              <w:rPr>
                <w:color w:val="000000"/>
                <w:sz w:val="20"/>
                <w:lang w:val="en-US"/>
              </w:rPr>
              <w:t xml:space="preserve"> </w:t>
            </w:r>
          </w:p>
        </w:tc>
      </w:tr>
    </w:tbl>
    <w:p w:rsidR="003F7313" w:rsidRPr="00505053" w:rsidRDefault="003F7313" w:rsidP="002E781B">
      <w:pPr>
        <w:jc w:val="both"/>
        <w:rPr>
          <w:lang w:val="en-US"/>
        </w:rPr>
      </w:pPr>
    </w:p>
    <w:p w:rsidR="008E7E18" w:rsidRPr="00505053" w:rsidRDefault="008E7E18" w:rsidP="002E781B">
      <w:pPr>
        <w:jc w:val="both"/>
        <w:rPr>
          <w:lang w:val="en-US"/>
        </w:rPr>
      </w:pPr>
    </w:p>
    <w:p w:rsidR="008E7E18" w:rsidRPr="00505053" w:rsidRDefault="008E7E18" w:rsidP="002E781B">
      <w:pPr>
        <w:jc w:val="both"/>
        <w:rPr>
          <w:lang w:val="en-US"/>
        </w:rPr>
      </w:pPr>
    </w:p>
    <w:p w:rsidR="001D6B94" w:rsidRPr="00EE1315" w:rsidRDefault="00591AFF" w:rsidP="00591AFF">
      <w:pPr>
        <w:jc w:val="center"/>
        <w:rPr>
          <w:b/>
          <w:u w:val="single"/>
          <w:lang w:val="en-US"/>
        </w:rPr>
      </w:pPr>
      <w:r>
        <w:rPr>
          <w:lang w:val="en-US"/>
        </w:rPr>
        <w:br w:type="page"/>
      </w:r>
      <w:r w:rsidR="001D6B94">
        <w:rPr>
          <w:b/>
          <w:u w:val="single"/>
          <w:lang w:val="en-US"/>
        </w:rPr>
        <w:lastRenderedPageBreak/>
        <w:t xml:space="preserve">Radio Assembly </w:t>
      </w:r>
      <w:r w:rsidR="005E4501">
        <w:rPr>
          <w:b/>
          <w:u w:val="single"/>
          <w:lang w:val="en-US"/>
        </w:rPr>
        <w:t xml:space="preserve">2012 </w:t>
      </w:r>
      <w:r w:rsidR="001D6B94">
        <w:rPr>
          <w:b/>
          <w:u w:val="single"/>
          <w:lang w:val="en-US"/>
        </w:rPr>
        <w:t>(RA-12)</w:t>
      </w:r>
    </w:p>
    <w:p w:rsidR="005E4501" w:rsidRDefault="005E4501" w:rsidP="005E4501">
      <w:pPr>
        <w:ind w:left="-426"/>
        <w:jc w:val="both"/>
        <w:rPr>
          <w:lang w:val="en-US"/>
        </w:rPr>
      </w:pPr>
    </w:p>
    <w:p w:rsidR="005E4501" w:rsidRDefault="005E4501" w:rsidP="005E4501">
      <w:pPr>
        <w:ind w:left="-426"/>
        <w:jc w:val="both"/>
      </w:pPr>
      <w:r>
        <w:t xml:space="preserve">The Radiocommunication Assembly 2012 was held </w:t>
      </w:r>
      <w:r w:rsidR="005A24C7">
        <w:t xml:space="preserve">on </w:t>
      </w:r>
      <w:r>
        <w:t>16-20 January 2012, immediately prece</w:t>
      </w:r>
      <w:r w:rsidR="00BC733C">
        <w:t>e</w:t>
      </w:r>
      <w:r>
        <w:t xml:space="preserve">ding WRC-12. A number of documents (Recommendations, Questions and Resolutions) relating </w:t>
      </w:r>
      <w:r w:rsidR="00C96F4C">
        <w:t>to</w:t>
      </w:r>
      <w:r>
        <w:t xml:space="preserve"> he WP 5D activities were submitted by SG 5</w:t>
      </w:r>
      <w:r w:rsidR="00C96F4C">
        <w:t xml:space="preserve">. </w:t>
      </w:r>
      <w:r w:rsidR="00C96F4C">
        <w:rPr>
          <w:lang w:val="en-US"/>
        </w:rPr>
        <w:t>This section provides the outcome for each of them.</w:t>
      </w:r>
    </w:p>
    <w:p w:rsidR="005A24C7" w:rsidRDefault="005A24C7" w:rsidP="00770F1A">
      <w:pPr>
        <w:jc w:val="both"/>
        <w:rPr>
          <w:lang w:val="en-US" w:eastAsia="zh-CN"/>
        </w:rPr>
      </w:pPr>
    </w:p>
    <w:p w:rsidR="00770F1A" w:rsidRPr="00770F1A" w:rsidRDefault="00591AFF" w:rsidP="00770F1A">
      <w:pPr>
        <w:numPr>
          <w:ilvl w:val="0"/>
          <w:numId w:val="14"/>
        </w:numPr>
        <w:rPr>
          <w:lang w:val="en-US" w:eastAsia="zh-CN"/>
        </w:rPr>
      </w:pPr>
      <w:r>
        <w:rPr>
          <w:u w:val="single"/>
          <w:lang w:val="en-US"/>
        </w:rPr>
        <w:t>ITU-R Recommendation</w:t>
      </w:r>
    </w:p>
    <w:p w:rsidR="00770F1A" w:rsidRDefault="00770F1A" w:rsidP="002E781B">
      <w:pPr>
        <w:jc w:val="both"/>
        <w:rPr>
          <w:lang w:val="en-US"/>
        </w:rPr>
      </w:pPr>
    </w:p>
    <w:p w:rsidR="000F4AD6" w:rsidRDefault="00954B98" w:rsidP="00954B98">
      <w:pPr>
        <w:numPr>
          <w:ilvl w:val="0"/>
          <w:numId w:val="17"/>
        </w:numPr>
        <w:jc w:val="both"/>
        <w:rPr>
          <w:szCs w:val="22"/>
          <w:lang w:val="en-US"/>
        </w:rPr>
      </w:pPr>
      <w:r w:rsidRPr="007B0A73">
        <w:rPr>
          <w:color w:val="000000"/>
          <w:szCs w:val="22"/>
          <w:lang w:val="en-US"/>
        </w:rPr>
        <w:t>Draft new Recommendation ITU-R M</w:t>
      </w:r>
      <w:proofErr w:type="gramStart"/>
      <w:r w:rsidRPr="007B0A73">
        <w:rPr>
          <w:color w:val="000000"/>
          <w:szCs w:val="22"/>
          <w:lang w:val="en-US"/>
        </w:rPr>
        <w:t>.[</w:t>
      </w:r>
      <w:proofErr w:type="gramEnd"/>
      <w:r w:rsidR="00770F1A" w:rsidRPr="007B0A73">
        <w:rPr>
          <w:szCs w:val="22"/>
          <w:lang w:val="en-US"/>
        </w:rPr>
        <w:t>IMT.RSPEC</w:t>
      </w:r>
      <w:r w:rsidRPr="007B0A73">
        <w:rPr>
          <w:szCs w:val="22"/>
          <w:lang w:val="en-US"/>
        </w:rPr>
        <w:t>]</w:t>
      </w:r>
      <w:r w:rsidR="007B0A73" w:rsidRPr="007B0A73">
        <w:rPr>
          <w:szCs w:val="22"/>
          <w:lang w:val="en-US"/>
        </w:rPr>
        <w:t xml:space="preserve"> : this</w:t>
      </w:r>
      <w:r w:rsidR="007B0A73">
        <w:rPr>
          <w:szCs w:val="22"/>
          <w:lang w:val="en-US"/>
        </w:rPr>
        <w:t xml:space="preserve"> document was approved and is now published on the ITU website as </w:t>
      </w:r>
      <w:r w:rsidR="003445E1" w:rsidRPr="007B0A73">
        <w:rPr>
          <w:color w:val="000000"/>
          <w:szCs w:val="22"/>
          <w:lang w:val="en-US"/>
        </w:rPr>
        <w:t xml:space="preserve">Recommendation ITU-R </w:t>
      </w:r>
      <w:r w:rsidR="007B0A73">
        <w:rPr>
          <w:szCs w:val="22"/>
          <w:lang w:val="en-US"/>
        </w:rPr>
        <w:t>M.2012 (available in 6 languages)</w:t>
      </w:r>
      <w:r w:rsidR="00535F62">
        <w:rPr>
          <w:szCs w:val="22"/>
          <w:lang w:val="en-US"/>
        </w:rPr>
        <w:t>.</w:t>
      </w:r>
      <w:r w:rsidR="000F4AD6">
        <w:rPr>
          <w:szCs w:val="22"/>
          <w:lang w:val="en-US"/>
        </w:rPr>
        <w:t xml:space="preserve"> </w:t>
      </w:r>
    </w:p>
    <w:p w:rsidR="00EE1315" w:rsidRPr="007B0A73" w:rsidRDefault="000F4AD6" w:rsidP="000F4AD6">
      <w:pPr>
        <w:ind w:left="720"/>
        <w:jc w:val="both"/>
        <w:rPr>
          <w:szCs w:val="22"/>
          <w:lang w:val="en-US"/>
        </w:rPr>
      </w:pPr>
      <w:r>
        <w:rPr>
          <w:szCs w:val="22"/>
          <w:lang w:val="en-US"/>
        </w:rPr>
        <w:t xml:space="preserve">The revision cycle </w:t>
      </w:r>
      <w:r w:rsidR="003445E1">
        <w:rPr>
          <w:szCs w:val="22"/>
          <w:lang w:val="en-US"/>
        </w:rPr>
        <w:t xml:space="preserve">of the IMT-Advanced interfaces </w:t>
      </w:r>
      <w:r>
        <w:rPr>
          <w:szCs w:val="22"/>
          <w:lang w:val="en-US"/>
        </w:rPr>
        <w:t>will be proceeded on that basis.</w:t>
      </w:r>
      <w:r w:rsidR="007B0A73" w:rsidRPr="007B0A73">
        <w:rPr>
          <w:szCs w:val="22"/>
          <w:lang w:val="en-US"/>
        </w:rPr>
        <w:t xml:space="preserve"> </w:t>
      </w:r>
    </w:p>
    <w:p w:rsidR="00FF3666" w:rsidRDefault="00FF3666" w:rsidP="002E781B">
      <w:pPr>
        <w:jc w:val="both"/>
        <w:rPr>
          <w:lang w:val="en-US"/>
        </w:rPr>
      </w:pPr>
    </w:p>
    <w:p w:rsidR="00FF3666" w:rsidRDefault="00FF3666" w:rsidP="00FF3666">
      <w:pPr>
        <w:numPr>
          <w:ilvl w:val="0"/>
          <w:numId w:val="14"/>
        </w:numPr>
        <w:rPr>
          <w:u w:val="single"/>
          <w:lang w:val="en-US"/>
        </w:rPr>
      </w:pPr>
      <w:r>
        <w:rPr>
          <w:u w:val="single"/>
          <w:lang w:val="en-US"/>
        </w:rPr>
        <w:t>ITU-R Questions</w:t>
      </w:r>
    </w:p>
    <w:p w:rsidR="00FF3666" w:rsidRDefault="00FF3666" w:rsidP="000F4AD6">
      <w:pPr>
        <w:numPr>
          <w:ilvl w:val="0"/>
          <w:numId w:val="16"/>
        </w:numPr>
        <w:jc w:val="both"/>
        <w:rPr>
          <w:color w:val="000000"/>
          <w:szCs w:val="22"/>
          <w:lang w:val="en-US"/>
        </w:rPr>
      </w:pPr>
      <w:r w:rsidRPr="000F4AD6">
        <w:rPr>
          <w:color w:val="000000"/>
          <w:szCs w:val="22"/>
          <w:lang w:val="en-US"/>
        </w:rPr>
        <w:t>Draft new Question on "Technical and operational aspects of passive and active base station antennas for IMT systems"</w:t>
      </w:r>
    </w:p>
    <w:p w:rsidR="006A4D05" w:rsidRDefault="00F70469" w:rsidP="006A4D05">
      <w:pPr>
        <w:ind w:left="720"/>
        <w:jc w:val="both"/>
      </w:pPr>
      <w:r>
        <w:rPr>
          <w:color w:val="000000"/>
          <w:szCs w:val="22"/>
          <w:lang w:val="en-US"/>
        </w:rPr>
        <w:t>This question was approved by RA-12 and is now published as</w:t>
      </w:r>
      <w:r w:rsidRPr="00F70469">
        <w:t xml:space="preserve"> </w:t>
      </w:r>
      <w:r w:rsidR="00EE0DBD" w:rsidRPr="000F4AD6">
        <w:rPr>
          <w:color w:val="000000"/>
          <w:szCs w:val="22"/>
          <w:lang w:val="en-US"/>
        </w:rPr>
        <w:t xml:space="preserve">Question </w:t>
      </w:r>
      <w:r>
        <w:t>ITU-R 251/5.</w:t>
      </w:r>
    </w:p>
    <w:p w:rsidR="00EA25E9" w:rsidRPr="000F4AD6" w:rsidRDefault="00EA25E9" w:rsidP="006A4D05">
      <w:pPr>
        <w:ind w:left="720"/>
        <w:jc w:val="both"/>
        <w:rPr>
          <w:color w:val="000000"/>
          <w:szCs w:val="22"/>
          <w:lang w:val="en-US"/>
        </w:rPr>
      </w:pPr>
    </w:p>
    <w:p w:rsidR="00FF3666" w:rsidRDefault="00FF3666" w:rsidP="000F4AD6">
      <w:pPr>
        <w:numPr>
          <w:ilvl w:val="0"/>
          <w:numId w:val="16"/>
        </w:numPr>
        <w:jc w:val="both"/>
        <w:rPr>
          <w:color w:val="000000"/>
          <w:szCs w:val="22"/>
          <w:lang w:val="en-US"/>
        </w:rPr>
      </w:pPr>
      <w:r w:rsidRPr="000F4AD6">
        <w:rPr>
          <w:color w:val="000000"/>
          <w:szCs w:val="22"/>
          <w:lang w:val="en-US"/>
        </w:rPr>
        <w:t>Draft revision of Question ITU-R 229-2/5 - Further development of the terrestrial component of IMT</w:t>
      </w:r>
      <w:r w:rsidR="00FA0E8D">
        <w:rPr>
          <w:color w:val="000000"/>
          <w:szCs w:val="22"/>
          <w:lang w:val="en-US"/>
        </w:rPr>
        <w:t>.</w:t>
      </w:r>
    </w:p>
    <w:p w:rsidR="00FA0E8D" w:rsidRDefault="00FA0E8D" w:rsidP="00FA0E8D">
      <w:pPr>
        <w:ind w:left="720"/>
        <w:jc w:val="both"/>
      </w:pPr>
      <w:r>
        <w:rPr>
          <w:color w:val="000000"/>
          <w:szCs w:val="22"/>
          <w:lang w:val="en-US"/>
        </w:rPr>
        <w:t xml:space="preserve">This question was accordingly revised by RA-12 and the updated version is now published as </w:t>
      </w:r>
      <w:r w:rsidR="00EE0DBD" w:rsidRPr="000F4AD6">
        <w:rPr>
          <w:color w:val="000000"/>
          <w:szCs w:val="22"/>
          <w:lang w:val="en-US"/>
        </w:rPr>
        <w:t xml:space="preserve">Question </w:t>
      </w:r>
      <w:r w:rsidRPr="001E1A69">
        <w:t>ITU-R 229-</w:t>
      </w:r>
      <w:r>
        <w:t>3</w:t>
      </w:r>
      <w:r w:rsidRPr="001E1A69">
        <w:t>/</w:t>
      </w:r>
      <w:r>
        <w:t>5.</w:t>
      </w:r>
    </w:p>
    <w:p w:rsidR="00EA25E9" w:rsidRPr="000F4AD6" w:rsidRDefault="00EA25E9" w:rsidP="00FA0E8D">
      <w:pPr>
        <w:ind w:left="720"/>
        <w:jc w:val="both"/>
        <w:rPr>
          <w:color w:val="000000"/>
          <w:szCs w:val="22"/>
          <w:lang w:val="en-US"/>
        </w:rPr>
      </w:pPr>
    </w:p>
    <w:p w:rsidR="00FF3666" w:rsidRDefault="00FF3666" w:rsidP="000F4AD6">
      <w:pPr>
        <w:numPr>
          <w:ilvl w:val="0"/>
          <w:numId w:val="16"/>
        </w:numPr>
        <w:jc w:val="both"/>
        <w:rPr>
          <w:color w:val="000000"/>
          <w:szCs w:val="22"/>
          <w:lang w:val="en-US"/>
        </w:rPr>
      </w:pPr>
      <w:r w:rsidRPr="000F4AD6">
        <w:rPr>
          <w:color w:val="000000"/>
          <w:szCs w:val="22"/>
          <w:lang w:val="en-US"/>
        </w:rPr>
        <w:t>Draft revision of Question ITU-R 77-6/5 - Consideration of the needs of developing countries in the development and implementation of IMT</w:t>
      </w:r>
    </w:p>
    <w:p w:rsidR="004E7C61" w:rsidRPr="000F4AD6" w:rsidRDefault="004E7C61" w:rsidP="004E7C61">
      <w:pPr>
        <w:ind w:left="708"/>
        <w:jc w:val="both"/>
        <w:rPr>
          <w:color w:val="000000"/>
          <w:szCs w:val="22"/>
          <w:lang w:val="en-US"/>
        </w:rPr>
      </w:pPr>
      <w:r>
        <w:rPr>
          <w:color w:val="000000"/>
          <w:szCs w:val="22"/>
          <w:lang w:val="en-US"/>
        </w:rPr>
        <w:t xml:space="preserve">This question was accordingly revised by RA-12 and the updated version is now published as </w:t>
      </w:r>
      <w:r w:rsidR="00EE0DBD" w:rsidRPr="000F4AD6">
        <w:rPr>
          <w:color w:val="000000"/>
          <w:szCs w:val="22"/>
          <w:lang w:val="en-US"/>
        </w:rPr>
        <w:t xml:space="preserve">Question </w:t>
      </w:r>
      <w:r>
        <w:t xml:space="preserve">ITU-R </w:t>
      </w:r>
      <w:r w:rsidRPr="00AF65AF">
        <w:t>77-7/5</w:t>
      </w:r>
      <w:r>
        <w:t>.</w:t>
      </w:r>
    </w:p>
    <w:p w:rsidR="00FF3666" w:rsidRDefault="00FF3666" w:rsidP="00FF3666">
      <w:pPr>
        <w:ind w:left="-66"/>
        <w:rPr>
          <w:lang w:val="en-US" w:eastAsia="zh-CN"/>
        </w:rPr>
      </w:pPr>
    </w:p>
    <w:p w:rsidR="00591AFF" w:rsidRPr="00770F1A" w:rsidRDefault="00591AFF" w:rsidP="00591AFF">
      <w:pPr>
        <w:numPr>
          <w:ilvl w:val="0"/>
          <w:numId w:val="14"/>
        </w:numPr>
        <w:rPr>
          <w:lang w:val="en-US" w:eastAsia="zh-CN"/>
        </w:rPr>
      </w:pPr>
      <w:r>
        <w:rPr>
          <w:u w:val="single"/>
          <w:lang w:val="en-US"/>
        </w:rPr>
        <w:t>ITU-R Resolutions</w:t>
      </w:r>
    </w:p>
    <w:p w:rsidR="00EE1315" w:rsidRDefault="00591AFF" w:rsidP="00FF3666">
      <w:pPr>
        <w:numPr>
          <w:ilvl w:val="0"/>
          <w:numId w:val="16"/>
        </w:numPr>
        <w:jc w:val="both"/>
        <w:rPr>
          <w:color w:val="000000"/>
          <w:szCs w:val="22"/>
          <w:lang w:val="en-US"/>
        </w:rPr>
      </w:pPr>
      <w:r w:rsidRPr="000F4AD6">
        <w:rPr>
          <w:color w:val="000000"/>
          <w:szCs w:val="22"/>
          <w:lang w:val="en-US"/>
        </w:rPr>
        <w:t>Draft revision of Resolution ITU-R 17-3</w:t>
      </w:r>
    </w:p>
    <w:p w:rsidR="00EA25E9" w:rsidRPr="00EA25E9" w:rsidRDefault="00EA25E9" w:rsidP="00EA25E9">
      <w:pPr>
        <w:pStyle w:val="Paragraphedeliste"/>
        <w:jc w:val="both"/>
        <w:rPr>
          <w:color w:val="000000"/>
          <w:szCs w:val="22"/>
          <w:lang w:val="en-US"/>
        </w:rPr>
      </w:pPr>
      <w:r w:rsidRPr="00EA25E9">
        <w:rPr>
          <w:color w:val="000000"/>
          <w:szCs w:val="22"/>
          <w:lang w:val="en-US"/>
        </w:rPr>
        <w:t xml:space="preserve">This </w:t>
      </w:r>
      <w:r>
        <w:rPr>
          <w:color w:val="000000"/>
          <w:szCs w:val="22"/>
          <w:lang w:val="en-US"/>
        </w:rPr>
        <w:t>Resolution</w:t>
      </w:r>
      <w:r w:rsidRPr="00EA25E9">
        <w:rPr>
          <w:color w:val="000000"/>
          <w:szCs w:val="22"/>
          <w:lang w:val="en-US"/>
        </w:rPr>
        <w:t xml:space="preserve"> was accordingly revised by RA-12 and the updated version is now published as </w:t>
      </w:r>
      <w:r w:rsidR="00AC6175" w:rsidRPr="005117D6">
        <w:rPr>
          <w:lang w:eastAsia="zh-CN"/>
        </w:rPr>
        <w:t xml:space="preserve">Resolution </w:t>
      </w:r>
      <w:r>
        <w:t xml:space="preserve">ITU-R </w:t>
      </w:r>
      <w:r w:rsidRPr="00541620">
        <w:t>17-</w:t>
      </w:r>
      <w:r>
        <w:t>4.</w:t>
      </w:r>
    </w:p>
    <w:p w:rsidR="00EA25E9" w:rsidRPr="000F4AD6" w:rsidRDefault="00EA25E9" w:rsidP="00EA25E9">
      <w:pPr>
        <w:ind w:left="720"/>
        <w:jc w:val="both"/>
        <w:rPr>
          <w:color w:val="000000"/>
          <w:szCs w:val="22"/>
          <w:lang w:val="en-US"/>
        </w:rPr>
      </w:pPr>
    </w:p>
    <w:p w:rsidR="00591AFF" w:rsidRDefault="00591AFF" w:rsidP="00FF3666">
      <w:pPr>
        <w:numPr>
          <w:ilvl w:val="0"/>
          <w:numId w:val="16"/>
        </w:numPr>
        <w:jc w:val="both"/>
        <w:rPr>
          <w:color w:val="000000"/>
          <w:szCs w:val="22"/>
          <w:lang w:val="en-US"/>
        </w:rPr>
      </w:pPr>
      <w:r w:rsidRPr="000F4AD6">
        <w:rPr>
          <w:color w:val="000000"/>
          <w:szCs w:val="22"/>
          <w:lang w:val="en-US"/>
        </w:rPr>
        <w:t>Draft revision of Resolution ITU-R 56</w:t>
      </w:r>
    </w:p>
    <w:p w:rsidR="00EA25E9" w:rsidRDefault="00EA25E9" w:rsidP="00EA25E9">
      <w:pPr>
        <w:ind w:left="720"/>
        <w:jc w:val="both"/>
        <w:rPr>
          <w:lang w:eastAsia="zh-CN"/>
        </w:rPr>
      </w:pPr>
      <w:r w:rsidRPr="00EA25E9">
        <w:rPr>
          <w:color w:val="000000"/>
          <w:szCs w:val="22"/>
          <w:lang w:val="en-US"/>
        </w:rPr>
        <w:t xml:space="preserve">This </w:t>
      </w:r>
      <w:r>
        <w:rPr>
          <w:color w:val="000000"/>
          <w:szCs w:val="22"/>
          <w:lang w:val="en-US"/>
        </w:rPr>
        <w:t>Resolution</w:t>
      </w:r>
      <w:r w:rsidRPr="00EA25E9">
        <w:rPr>
          <w:color w:val="000000"/>
          <w:szCs w:val="22"/>
          <w:lang w:val="en-US"/>
        </w:rPr>
        <w:t xml:space="preserve"> was accordingly revised by RA-12 and the updated version is now published as </w:t>
      </w:r>
      <w:r w:rsidRPr="005117D6">
        <w:rPr>
          <w:lang w:eastAsia="zh-CN"/>
        </w:rPr>
        <w:t>Resolution ITU</w:t>
      </w:r>
      <w:r w:rsidRPr="005117D6">
        <w:rPr>
          <w:lang w:eastAsia="zh-CN"/>
        </w:rPr>
        <w:noBreakHyphen/>
        <w:t>R 56</w:t>
      </w:r>
      <w:r w:rsidRPr="005117D6">
        <w:rPr>
          <w:lang w:eastAsia="zh-CN"/>
        </w:rPr>
        <w:noBreakHyphen/>
        <w:t>1</w:t>
      </w:r>
      <w:r>
        <w:rPr>
          <w:lang w:eastAsia="zh-CN"/>
        </w:rPr>
        <w:t>.</w:t>
      </w:r>
    </w:p>
    <w:p w:rsidR="00EA25E9" w:rsidRPr="000F4AD6" w:rsidRDefault="00EA25E9" w:rsidP="00EA25E9">
      <w:pPr>
        <w:ind w:left="720"/>
        <w:jc w:val="both"/>
        <w:rPr>
          <w:color w:val="000000"/>
          <w:szCs w:val="22"/>
          <w:lang w:val="en-US"/>
        </w:rPr>
      </w:pPr>
    </w:p>
    <w:p w:rsidR="00591AFF" w:rsidRDefault="00591AFF" w:rsidP="00FF3666">
      <w:pPr>
        <w:numPr>
          <w:ilvl w:val="0"/>
          <w:numId w:val="16"/>
        </w:numPr>
        <w:jc w:val="both"/>
        <w:rPr>
          <w:color w:val="000000"/>
          <w:szCs w:val="22"/>
          <w:lang w:val="en-US"/>
        </w:rPr>
      </w:pPr>
      <w:r w:rsidRPr="000F4AD6">
        <w:rPr>
          <w:color w:val="000000"/>
          <w:szCs w:val="22"/>
          <w:lang w:val="en-US"/>
        </w:rPr>
        <w:t>Draft revision of Resolution ITU-R 50-1</w:t>
      </w:r>
    </w:p>
    <w:p w:rsidR="00EA25E9" w:rsidRDefault="00EA25E9" w:rsidP="00EA25E9">
      <w:pPr>
        <w:ind w:left="720"/>
        <w:jc w:val="both"/>
      </w:pPr>
      <w:r w:rsidRPr="00EA25E9">
        <w:rPr>
          <w:color w:val="000000"/>
          <w:szCs w:val="22"/>
          <w:lang w:val="en-US"/>
        </w:rPr>
        <w:t xml:space="preserve">This </w:t>
      </w:r>
      <w:r>
        <w:rPr>
          <w:color w:val="000000"/>
          <w:szCs w:val="22"/>
          <w:lang w:val="en-US"/>
        </w:rPr>
        <w:t>Resolution</w:t>
      </w:r>
      <w:r w:rsidRPr="00EA25E9">
        <w:rPr>
          <w:color w:val="000000"/>
          <w:szCs w:val="22"/>
          <w:lang w:val="en-US"/>
        </w:rPr>
        <w:t xml:space="preserve"> was accordingly revised by RA-12 and the updated version is now published as</w:t>
      </w:r>
      <w:r w:rsidRPr="0085475C">
        <w:t xml:space="preserve"> </w:t>
      </w:r>
      <w:r w:rsidR="00AC6175" w:rsidRPr="005117D6">
        <w:rPr>
          <w:lang w:eastAsia="zh-CN"/>
        </w:rPr>
        <w:t xml:space="preserve">Resolution </w:t>
      </w:r>
      <w:r>
        <w:t>ITU</w:t>
      </w:r>
      <w:r>
        <w:noBreakHyphen/>
      </w:r>
      <w:r w:rsidRPr="0085475C">
        <w:t>R 50-</w:t>
      </w:r>
      <w:r>
        <w:t>2.</w:t>
      </w:r>
    </w:p>
    <w:p w:rsidR="00EA25E9" w:rsidRPr="000F4AD6" w:rsidRDefault="00EA25E9" w:rsidP="00EA25E9">
      <w:pPr>
        <w:ind w:left="720"/>
        <w:jc w:val="both"/>
        <w:rPr>
          <w:color w:val="000000"/>
          <w:szCs w:val="22"/>
          <w:lang w:val="en-US"/>
        </w:rPr>
      </w:pPr>
    </w:p>
    <w:p w:rsidR="00591AFF" w:rsidRDefault="00591AFF" w:rsidP="00FF3666">
      <w:pPr>
        <w:numPr>
          <w:ilvl w:val="0"/>
          <w:numId w:val="16"/>
        </w:numPr>
        <w:jc w:val="both"/>
        <w:rPr>
          <w:color w:val="000000"/>
          <w:szCs w:val="22"/>
          <w:lang w:val="en-US"/>
        </w:rPr>
      </w:pPr>
      <w:r w:rsidRPr="000F4AD6">
        <w:rPr>
          <w:color w:val="000000"/>
          <w:szCs w:val="22"/>
          <w:lang w:val="en-US"/>
        </w:rPr>
        <w:t>Draft revision of Resolution ITU-R 57</w:t>
      </w:r>
    </w:p>
    <w:p w:rsidR="00EA25E9" w:rsidRPr="000F4AD6" w:rsidRDefault="00D951E2" w:rsidP="00EA25E9">
      <w:pPr>
        <w:ind w:left="720"/>
        <w:jc w:val="both"/>
        <w:rPr>
          <w:color w:val="000000"/>
          <w:szCs w:val="22"/>
          <w:lang w:val="en-US"/>
        </w:rPr>
      </w:pPr>
      <w:r w:rsidRPr="00EA25E9">
        <w:rPr>
          <w:color w:val="000000"/>
          <w:szCs w:val="22"/>
          <w:lang w:val="en-US"/>
        </w:rPr>
        <w:t xml:space="preserve">This </w:t>
      </w:r>
      <w:r>
        <w:rPr>
          <w:color w:val="000000"/>
          <w:szCs w:val="22"/>
          <w:lang w:val="en-US"/>
        </w:rPr>
        <w:t>Resolution</w:t>
      </w:r>
      <w:r w:rsidRPr="00EA25E9">
        <w:rPr>
          <w:color w:val="000000"/>
          <w:szCs w:val="22"/>
          <w:lang w:val="en-US"/>
        </w:rPr>
        <w:t xml:space="preserve"> was accordingly revised by RA-12 and the updated version is now published as</w:t>
      </w:r>
      <w:r w:rsidRPr="0085475C">
        <w:t xml:space="preserve"> </w:t>
      </w:r>
      <w:r w:rsidR="00AC6175" w:rsidRPr="005117D6">
        <w:rPr>
          <w:lang w:eastAsia="zh-CN"/>
        </w:rPr>
        <w:t xml:space="preserve">Resolution </w:t>
      </w:r>
      <w:r>
        <w:t>ITU</w:t>
      </w:r>
      <w:r>
        <w:noBreakHyphen/>
        <w:t>R </w:t>
      </w:r>
      <w:r w:rsidRPr="0085475C">
        <w:t>57</w:t>
      </w:r>
      <w:r>
        <w:noBreakHyphen/>
        <w:t>1</w:t>
      </w:r>
      <w:r w:rsidR="00AC6175">
        <w:t>.</w:t>
      </w:r>
    </w:p>
    <w:p w:rsidR="00591AFF" w:rsidRDefault="00591AFF" w:rsidP="002E781B">
      <w:pPr>
        <w:jc w:val="both"/>
        <w:rPr>
          <w:color w:val="000000"/>
          <w:sz w:val="20"/>
          <w:lang w:val="en-US"/>
        </w:rPr>
      </w:pPr>
    </w:p>
    <w:p w:rsidR="00591AFF" w:rsidRDefault="00591AFF" w:rsidP="002E781B">
      <w:pPr>
        <w:jc w:val="both"/>
        <w:rPr>
          <w:color w:val="000000"/>
          <w:sz w:val="20"/>
          <w:lang w:val="en-US"/>
        </w:rPr>
      </w:pPr>
    </w:p>
    <w:p w:rsidR="00C96F4C" w:rsidRDefault="00C96F4C">
      <w:pPr>
        <w:overflowPunct/>
        <w:autoSpaceDE/>
        <w:autoSpaceDN/>
        <w:adjustRightInd/>
        <w:textAlignment w:val="auto"/>
        <w:rPr>
          <w:lang w:val="en-GB"/>
        </w:rPr>
      </w:pPr>
      <w:r>
        <w:rPr>
          <w:lang w:val="en-GB"/>
        </w:rPr>
        <w:br w:type="page"/>
      </w:r>
    </w:p>
    <w:p w:rsidR="00EE1315" w:rsidRPr="00EE1315" w:rsidRDefault="00EE1315" w:rsidP="00EE1315">
      <w:pPr>
        <w:ind w:left="-426"/>
        <w:jc w:val="center"/>
        <w:rPr>
          <w:b/>
          <w:u w:val="single"/>
          <w:lang w:val="en-US"/>
        </w:rPr>
      </w:pPr>
      <w:r w:rsidRPr="00EE1315">
        <w:rPr>
          <w:b/>
          <w:u w:val="single"/>
          <w:lang w:val="en-US"/>
        </w:rPr>
        <w:lastRenderedPageBreak/>
        <w:t>Wor</w:t>
      </w:r>
      <w:r>
        <w:rPr>
          <w:b/>
          <w:u w:val="single"/>
          <w:lang w:val="en-US"/>
        </w:rPr>
        <w:t>ld Radiocommunication Conference</w:t>
      </w:r>
      <w:r w:rsidR="00C96F4C">
        <w:rPr>
          <w:b/>
          <w:u w:val="single"/>
          <w:lang w:val="en-US"/>
        </w:rPr>
        <w:t xml:space="preserve"> 2012</w:t>
      </w:r>
      <w:r>
        <w:rPr>
          <w:b/>
          <w:u w:val="single"/>
          <w:lang w:val="en-US"/>
        </w:rPr>
        <w:t xml:space="preserve"> (WRC-12)</w:t>
      </w:r>
    </w:p>
    <w:p w:rsidR="00C96F4C" w:rsidRDefault="00C96F4C" w:rsidP="00C96F4C">
      <w:pPr>
        <w:ind w:left="-426"/>
        <w:jc w:val="both"/>
      </w:pPr>
    </w:p>
    <w:p w:rsidR="00C96F4C" w:rsidRDefault="00C96F4C" w:rsidP="00C96F4C">
      <w:pPr>
        <w:ind w:left="-426"/>
        <w:jc w:val="both"/>
      </w:pPr>
      <w:r>
        <w:t xml:space="preserve">The </w:t>
      </w:r>
      <w:r w:rsidRPr="00C96F4C">
        <w:t>World Radiocommunication Conference</w:t>
      </w:r>
      <w:r>
        <w:t xml:space="preserve"> 2012 was held from 23 January </w:t>
      </w:r>
      <w:r w:rsidR="005A24C7">
        <w:t>to</w:t>
      </w:r>
      <w:r>
        <w:t xml:space="preserve"> 17 February 2012, immediately after RA-12. This section provides the outcome on issues of interest for ECC-PT1.</w:t>
      </w:r>
    </w:p>
    <w:p w:rsidR="000F4AD6" w:rsidRDefault="000F4AD6" w:rsidP="00C96F4C">
      <w:pPr>
        <w:ind w:left="-426"/>
        <w:jc w:val="both"/>
      </w:pPr>
    </w:p>
    <w:p w:rsidR="000F4AD6" w:rsidRDefault="000F4AD6" w:rsidP="00C96F4C">
      <w:pPr>
        <w:ind w:left="-426"/>
        <w:jc w:val="both"/>
      </w:pPr>
      <w:r>
        <w:t>Two agenda items were normally on the agenda regarding the mobile service : AI 1.17 (dealing with the result of sharing studies within the band 790-862 MHz) and AI 8.2 (</w:t>
      </w:r>
      <w:r w:rsidR="00741452">
        <w:t xml:space="preserve">spectrum for mobile broadband including IMT - </w:t>
      </w:r>
      <w:r>
        <w:t>all regional organisation</w:t>
      </w:r>
      <w:r w:rsidR="00741452">
        <w:t>s had a proposal on that matter).</w:t>
      </w:r>
    </w:p>
    <w:p w:rsidR="003F4DF5" w:rsidRDefault="003F4DF5" w:rsidP="00C96F4C">
      <w:pPr>
        <w:ind w:left="-426"/>
        <w:jc w:val="both"/>
      </w:pPr>
    </w:p>
    <w:p w:rsidR="003F4DF5" w:rsidRDefault="003F4DF5" w:rsidP="00C96F4C">
      <w:pPr>
        <w:ind w:left="-426"/>
        <w:jc w:val="both"/>
      </w:pPr>
      <w:r>
        <w:t>In addition, a number of Arab and African countries made a proposal for extending the mobile allocation below 790 MHz.</w:t>
      </w:r>
      <w:r w:rsidR="00EC16FE">
        <w:t xml:space="preserve"> This issue (so-called the extention oft he digital dividend) was very controversal at the begining of the Conference and was addressed in two steps : in an Ad-hoc group of Committee 5 to address the technical impacts of such an extention of the mobile allocation and in an informal group (under the leadership of the chairman oft he Conference) to address the output oft he Conference (drafting of a Resolution).</w:t>
      </w:r>
    </w:p>
    <w:p w:rsidR="00EE1315" w:rsidRDefault="00EE1315" w:rsidP="002E781B">
      <w:pPr>
        <w:jc w:val="both"/>
        <w:rPr>
          <w:lang w:val="en-GB"/>
        </w:rPr>
      </w:pPr>
    </w:p>
    <w:p w:rsidR="00C96F4C" w:rsidRDefault="00C96F4C" w:rsidP="002E781B">
      <w:pPr>
        <w:jc w:val="both"/>
        <w:rPr>
          <w:lang w:val="en-GB"/>
        </w:rPr>
      </w:pPr>
    </w:p>
    <w:p w:rsidR="00F91BE1" w:rsidRPr="00EC16FE" w:rsidRDefault="00EE1315" w:rsidP="00EC16FE">
      <w:pPr>
        <w:ind w:left="-426"/>
        <w:rPr>
          <w:u w:val="single"/>
          <w:lang w:val="en-US"/>
        </w:rPr>
      </w:pPr>
      <w:r>
        <w:rPr>
          <w:u w:val="single"/>
          <w:lang w:val="en-US"/>
        </w:rPr>
        <w:t>1- WRC-12 Agenda Item 1.17</w:t>
      </w:r>
    </w:p>
    <w:p w:rsidR="000F4AD6" w:rsidRDefault="000F4AD6" w:rsidP="000F4AD6">
      <w:pPr>
        <w:ind w:left="-426"/>
        <w:jc w:val="both"/>
      </w:pPr>
    </w:p>
    <w:p w:rsidR="00EC16FE" w:rsidRDefault="00BA4F34" w:rsidP="00EC16FE">
      <w:pPr>
        <w:pStyle w:val="Paragraphedeliste"/>
        <w:numPr>
          <w:ilvl w:val="0"/>
          <w:numId w:val="18"/>
        </w:numPr>
        <w:jc w:val="both"/>
      </w:pPr>
      <w:r>
        <w:t>Issue A (B</w:t>
      </w:r>
      <w:r w:rsidR="00EC16FE">
        <w:t>roadcasting service) : the Conference early concluded that no change should be brought in the Radio Regulations for the following situation : within the GE-06 area, outside that area and at the bourdary of that area.</w:t>
      </w:r>
    </w:p>
    <w:p w:rsidR="00EC16FE" w:rsidRDefault="00EC16FE" w:rsidP="00EC16FE">
      <w:pPr>
        <w:ind w:left="294"/>
        <w:jc w:val="both"/>
      </w:pPr>
      <w:r>
        <w:t>Within the GE-06, the discussion on the associated option (to take account of the cumulative effect of the base stations of the mobile service on the TV reception) lead to a compromise : inclusion in the Resolution 749 of a reference to the on-going studies lead by Study Groups 5 and 6</w:t>
      </w:r>
      <w:r w:rsidR="00BA4F34">
        <w:t>.</w:t>
      </w:r>
    </w:p>
    <w:p w:rsidR="00BA4F34" w:rsidRDefault="00BA4F34" w:rsidP="00EC16FE">
      <w:pPr>
        <w:ind w:left="294"/>
        <w:jc w:val="both"/>
      </w:pPr>
      <w:r>
        <w:t>Recommendation [JTG 5-6] was finally not approved and instead a reference to Resolution 224 (that contains provisions relating to coordination between administrations) was added in Resolution 749.</w:t>
      </w:r>
    </w:p>
    <w:p w:rsidR="006B7C20" w:rsidRDefault="00BA4F34" w:rsidP="00BA4F34">
      <w:pPr>
        <w:pStyle w:val="Paragraphedeliste"/>
        <w:numPr>
          <w:ilvl w:val="0"/>
          <w:numId w:val="18"/>
        </w:numPr>
        <w:jc w:val="both"/>
      </w:pPr>
      <w:r>
        <w:t xml:space="preserve">Issue B (Radionavigation service) : </w:t>
      </w:r>
      <w:r w:rsidR="006B7C20" w:rsidRPr="000F4AD6">
        <w:t>CEPT has been working with the Regional Commonwealth in the field of Communications (RCC) since the beginning of 2011 to ensure that all necessary cross-border coordination agreements needed between RCC countries operating Aeronautical Radionavigation systems in this band and CEPT countries, in particular EU countries, wishing to implement mobile service would be reached before WRC-12. This was ultimately achieved during the last week of the conference with an agreement signed by Romania and Ukraine enabling a successful outcome for one of the most difficult agenda items of the Conference.  This lifts the last big regulatory technical barrier to implementing the digital dividend in several Eastern European countries.</w:t>
      </w:r>
    </w:p>
    <w:p w:rsidR="00BA4F34" w:rsidRDefault="00BA4F34" w:rsidP="00BA4F34">
      <w:pPr>
        <w:ind w:left="294"/>
        <w:jc w:val="both"/>
      </w:pPr>
      <w:r>
        <w:t xml:space="preserve">On that basis, the Radio Regulations was slightly amended (FN 5.316A and 5.316B) as well as Resolution 749 (particularly the annex that contains the coordination triggers between mobile and ARNS). </w:t>
      </w:r>
    </w:p>
    <w:p w:rsidR="00BA4F34" w:rsidRDefault="00BA4F34" w:rsidP="00BA4F34">
      <w:pPr>
        <w:pStyle w:val="Paragraphedeliste"/>
        <w:numPr>
          <w:ilvl w:val="0"/>
          <w:numId w:val="18"/>
        </w:numPr>
        <w:jc w:val="both"/>
      </w:pPr>
      <w:r>
        <w:t xml:space="preserve">Issue C (Fixed service) : </w:t>
      </w:r>
      <w:r w:rsidR="009B23AF">
        <w:t>the Conference early concluded that no change should be brought in the Radio Regulations and that Recommendation [JTG 5-6] was not needed.</w:t>
      </w:r>
    </w:p>
    <w:p w:rsidR="00BA4F34" w:rsidRDefault="00BA4F34" w:rsidP="00BA4F34">
      <w:pPr>
        <w:jc w:val="both"/>
      </w:pPr>
    </w:p>
    <w:p w:rsidR="00EE1315" w:rsidRDefault="00EE1315" w:rsidP="00356AE8">
      <w:pPr>
        <w:jc w:val="both"/>
        <w:rPr>
          <w:lang w:val="en-US" w:eastAsia="zh-CN"/>
        </w:rPr>
      </w:pPr>
    </w:p>
    <w:p w:rsidR="00EE1315" w:rsidRPr="00A23996" w:rsidRDefault="00EE1315" w:rsidP="00EE1315">
      <w:pPr>
        <w:ind w:left="-426"/>
        <w:rPr>
          <w:u w:val="single"/>
          <w:lang w:val="en-US"/>
        </w:rPr>
      </w:pPr>
      <w:r>
        <w:rPr>
          <w:u w:val="single"/>
          <w:lang w:val="en-US"/>
        </w:rPr>
        <w:t>2- WRC-12 Agenda Item 8.2</w:t>
      </w:r>
    </w:p>
    <w:p w:rsidR="00916F3B" w:rsidRPr="00916F3B" w:rsidRDefault="00916F3B" w:rsidP="00916F3B">
      <w:pPr>
        <w:ind w:left="-426"/>
        <w:jc w:val="both"/>
      </w:pPr>
    </w:p>
    <w:p w:rsidR="00916F3B" w:rsidRDefault="00916F3B" w:rsidP="00916F3B">
      <w:pPr>
        <w:ind w:left="-426"/>
        <w:jc w:val="both"/>
      </w:pPr>
      <w:r>
        <w:t>As expected, the Conference adopted the following agenda item</w:t>
      </w:r>
      <w:r w:rsidR="00597498">
        <w:t xml:space="preserve"> relating to the mobile service (broader than IMT)</w:t>
      </w:r>
      <w:r>
        <w:t>, not focusing on any frequency band:</w:t>
      </w:r>
    </w:p>
    <w:p w:rsidR="00916F3B" w:rsidRDefault="00916F3B" w:rsidP="00916F3B">
      <w:pPr>
        <w:ind w:left="-426"/>
        <w:jc w:val="both"/>
      </w:pPr>
    </w:p>
    <w:p w:rsidR="00C96F4C" w:rsidRDefault="00916F3B" w:rsidP="00597498">
      <w:r w:rsidRPr="009B23AF">
        <w:t xml:space="preserve">1.1 </w:t>
      </w:r>
      <w:r w:rsidRPr="009B23AF">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9B23AF">
        <w:rPr>
          <w:b/>
          <w:bCs/>
        </w:rPr>
        <w:t>COM6/8 (WRC</w:t>
      </w:r>
      <w:r w:rsidRPr="009B23AF">
        <w:rPr>
          <w:b/>
          <w:bCs/>
        </w:rPr>
        <w:noBreakHyphen/>
        <w:t>12)</w:t>
      </w:r>
      <w:r w:rsidRPr="009B23AF">
        <w:t>;</w:t>
      </w:r>
    </w:p>
    <w:p w:rsidR="00597498" w:rsidRDefault="00597498" w:rsidP="00597498">
      <w:pPr>
        <w:ind w:left="-426"/>
        <w:jc w:val="both"/>
      </w:pPr>
      <w:r>
        <w:lastRenderedPageBreak/>
        <w:t>See Resolution COM6/8 duplicated in the annex to this document.</w:t>
      </w:r>
    </w:p>
    <w:p w:rsidR="00597498" w:rsidRDefault="00597498" w:rsidP="00597498"/>
    <w:p w:rsidR="00597498" w:rsidRPr="00597498" w:rsidRDefault="00597498" w:rsidP="00597498"/>
    <w:p w:rsidR="00C96F4C" w:rsidRPr="00A23996" w:rsidRDefault="00C96F4C" w:rsidP="00C96F4C">
      <w:pPr>
        <w:ind w:left="-426"/>
        <w:rPr>
          <w:u w:val="single"/>
          <w:lang w:val="en-US"/>
        </w:rPr>
      </w:pPr>
      <w:r>
        <w:rPr>
          <w:u w:val="single"/>
          <w:lang w:val="en-US"/>
        </w:rPr>
        <w:t xml:space="preserve">3- </w:t>
      </w:r>
      <w:r w:rsidR="00916F3B">
        <w:rPr>
          <w:u w:val="single"/>
          <w:lang w:val="en-US"/>
        </w:rPr>
        <w:t>Extention of the mobile allocation below 790 MHz</w:t>
      </w:r>
    </w:p>
    <w:p w:rsidR="00C96F4C" w:rsidRPr="00916F3B" w:rsidRDefault="00C96F4C" w:rsidP="00916F3B">
      <w:pPr>
        <w:ind w:left="-426"/>
        <w:jc w:val="both"/>
      </w:pPr>
    </w:p>
    <w:p w:rsidR="00C96F4C" w:rsidRDefault="00916F3B" w:rsidP="00916F3B">
      <w:pPr>
        <w:ind w:left="-426"/>
        <w:jc w:val="both"/>
        <w:rPr>
          <w:lang w:val="en-US" w:eastAsia="zh-CN"/>
        </w:rPr>
      </w:pPr>
      <w:r w:rsidRPr="000F4AD6">
        <w:t>Many Arab and African countries at WRC-12 unexpectedly requested an immediate extended digital dividend at 700 MHz. The CEPT delegation considered this request and, together with other regional organisations, reached a compromise on the issue in order to complete all necessary studies for WRC-15.  CEPT believes that raising the status of mobile radio services in another significant part of spectrum below 1 GHz will widen its options in Europe.  CEPT has to deal not only with the growing appetite for mobile broadband services, but also with the pressing issues of rural access to broadband.  It will now evaluate how best to enable national regulators and operators, and the end-user, to achieve these objectives efficiently, given the continued importance of terrestrial television in many countries, the development of intelligent technologies such as cognitive radio, and the varied situations across Europe.</w:t>
      </w:r>
    </w:p>
    <w:p w:rsidR="00C96F4C" w:rsidRDefault="00C96F4C" w:rsidP="00EE1315">
      <w:pPr>
        <w:jc w:val="both"/>
        <w:rPr>
          <w:lang w:val="en-US" w:eastAsia="zh-CN"/>
        </w:rPr>
      </w:pPr>
    </w:p>
    <w:p w:rsidR="00AE7B02" w:rsidRDefault="00AE7B02" w:rsidP="00AE7B02">
      <w:pPr>
        <w:ind w:left="-426"/>
        <w:jc w:val="both"/>
      </w:pPr>
      <w:r>
        <w:t>As as result, the Conference adopted and agenda ite</w:t>
      </w:r>
      <w:r w:rsidR="00C05809">
        <w:t>m</w:t>
      </w:r>
      <w:r>
        <w:t xml:space="preserve"> as follows:</w:t>
      </w:r>
    </w:p>
    <w:p w:rsidR="00C05809" w:rsidRDefault="00C05809" w:rsidP="00AE7B02">
      <w:pPr>
        <w:ind w:left="-426"/>
        <w:jc w:val="both"/>
      </w:pPr>
    </w:p>
    <w:p w:rsidR="00C05809" w:rsidRPr="00D41CE2" w:rsidRDefault="00C05809" w:rsidP="00C05809">
      <w:r w:rsidRPr="009B23AF">
        <w:t>1.2</w:t>
      </w:r>
      <w:r w:rsidRPr="009B23AF">
        <w:tab/>
        <w:t>to examine the results of ITU</w:t>
      </w:r>
      <w:r w:rsidRPr="009B23AF">
        <w:noBreakHyphen/>
        <w:t xml:space="preserve">R studies, in accordance with Resolution </w:t>
      </w:r>
      <w:r w:rsidRPr="009B23AF">
        <w:rPr>
          <w:b/>
          <w:bCs/>
        </w:rPr>
        <w:t>COM5/10 (WRC</w:t>
      </w:r>
      <w:r w:rsidRPr="009B23AF">
        <w:rPr>
          <w:b/>
          <w:bCs/>
        </w:rPr>
        <w:noBreakHyphen/>
        <w:t>12)</w:t>
      </w:r>
      <w:r w:rsidRPr="009B23AF">
        <w:t>, on the use of the frequency band 694-790 MHz by the mobile, except aeronautical mobile, service in Region 1 and take the appropriate measures;</w:t>
      </w:r>
    </w:p>
    <w:p w:rsidR="00C05809" w:rsidRDefault="00C05809" w:rsidP="00C05809">
      <w:pPr>
        <w:ind w:left="-426"/>
        <w:jc w:val="both"/>
      </w:pPr>
    </w:p>
    <w:p w:rsidR="00C05809" w:rsidRDefault="00C05809" w:rsidP="00C05809">
      <w:pPr>
        <w:ind w:left="-426"/>
        <w:jc w:val="both"/>
      </w:pPr>
      <w:r>
        <w:t>See Resolution COM5/10 duplicated in the annex to this document.</w:t>
      </w:r>
    </w:p>
    <w:p w:rsidR="00CE0CD1" w:rsidRDefault="00CE0CD1" w:rsidP="00C05809">
      <w:pPr>
        <w:ind w:left="-426"/>
        <w:jc w:val="both"/>
      </w:pPr>
    </w:p>
    <w:p w:rsidR="00CE0CD1" w:rsidRPr="00A23996" w:rsidRDefault="00CE0CD1" w:rsidP="00CE0CD1">
      <w:pPr>
        <w:ind w:left="-426"/>
        <w:rPr>
          <w:u w:val="single"/>
          <w:lang w:val="en-US"/>
        </w:rPr>
      </w:pPr>
      <w:r>
        <w:rPr>
          <w:u w:val="single"/>
          <w:lang w:val="en-US"/>
        </w:rPr>
        <w:t>4- WRC-15 Agenda</w:t>
      </w:r>
    </w:p>
    <w:p w:rsidR="00CE0CD1" w:rsidRDefault="00CE0CD1" w:rsidP="00CE0CD1">
      <w:pPr>
        <w:jc w:val="both"/>
      </w:pPr>
    </w:p>
    <w:p w:rsidR="00C96F4C" w:rsidRDefault="00CE0CD1" w:rsidP="00CE0CD1">
      <w:pPr>
        <w:ind w:left="-426"/>
        <w:jc w:val="both"/>
      </w:pPr>
      <w:r>
        <w:t>See Resolution COM6/6 duplicated in the annex to this document.</w:t>
      </w:r>
    </w:p>
    <w:p w:rsidR="00CE0CD1" w:rsidRPr="00CE0CD1" w:rsidRDefault="00CE0CD1" w:rsidP="00CE0CD1">
      <w:pPr>
        <w:ind w:left="-426"/>
        <w:jc w:val="both"/>
      </w:pPr>
    </w:p>
    <w:p w:rsidR="001D6B94" w:rsidRPr="00EE1315" w:rsidRDefault="001D6B94" w:rsidP="001D6B94">
      <w:pPr>
        <w:ind w:left="-426"/>
        <w:jc w:val="center"/>
        <w:rPr>
          <w:b/>
          <w:u w:val="single"/>
          <w:lang w:val="en-US"/>
        </w:rPr>
      </w:pPr>
      <w:r>
        <w:rPr>
          <w:b/>
          <w:u w:val="single"/>
          <w:lang w:val="en-US"/>
        </w:rPr>
        <w:t>Conference Preparatory Meeting (CPM15-1)</w:t>
      </w:r>
    </w:p>
    <w:p w:rsidR="00C96F4C" w:rsidRDefault="00C96F4C" w:rsidP="001D6B94">
      <w:pPr>
        <w:jc w:val="both"/>
        <w:rPr>
          <w:highlight w:val="yellow"/>
          <w:lang w:val="en-US" w:eastAsia="zh-CN"/>
        </w:rPr>
      </w:pPr>
    </w:p>
    <w:p w:rsidR="00FA05E6" w:rsidRDefault="005A50B3" w:rsidP="00FA05E6">
      <w:pPr>
        <w:ind w:left="-426"/>
        <w:jc w:val="both"/>
      </w:pPr>
      <w:r>
        <w:t xml:space="preserve">The </w:t>
      </w:r>
      <w:r w:rsidRPr="005A50B3">
        <w:t xml:space="preserve">first session </w:t>
      </w:r>
      <w:r w:rsidR="005A24C7">
        <w:t>of</w:t>
      </w:r>
      <w:r>
        <w:t xml:space="preserve"> </w:t>
      </w:r>
      <w:r w:rsidR="005A24C7">
        <w:t>t</w:t>
      </w:r>
      <w:r>
        <w:t xml:space="preserve">he </w:t>
      </w:r>
      <w:r w:rsidRPr="005A50B3">
        <w:t xml:space="preserve">Conference Preparatory Meeting 2015 (CPM15-1) </w:t>
      </w:r>
      <w:r>
        <w:t xml:space="preserve">was held </w:t>
      </w:r>
      <w:r w:rsidR="005A24C7">
        <w:t xml:space="preserve">on </w:t>
      </w:r>
      <w:r>
        <w:t xml:space="preserve">20-21 February 2012, immediately after </w:t>
      </w:r>
      <w:r w:rsidR="00FA05E6">
        <w:t>WRC</w:t>
      </w:r>
      <w:r>
        <w:t>-12. This section provides the outcome on issues of interest for ECC-PT1.</w:t>
      </w:r>
    </w:p>
    <w:p w:rsidR="00FA05E6" w:rsidRDefault="00FA05E6" w:rsidP="00FA05E6">
      <w:pPr>
        <w:ind w:left="-426"/>
        <w:jc w:val="both"/>
      </w:pPr>
    </w:p>
    <w:p w:rsidR="00FA05E6" w:rsidRDefault="00C05809" w:rsidP="00FA05E6">
      <w:pPr>
        <w:ind w:left="-426"/>
        <w:jc w:val="both"/>
        <w:rPr>
          <w:lang w:val="en-US" w:eastAsia="zh-CN"/>
        </w:rPr>
      </w:pPr>
      <w:r>
        <w:rPr>
          <w:lang w:val="en-US" w:eastAsia="zh-CN"/>
        </w:rPr>
        <w:t>After long discussion</w:t>
      </w:r>
      <w:r w:rsidR="00A83AD5">
        <w:rPr>
          <w:lang w:val="en-US" w:eastAsia="zh-CN"/>
        </w:rPr>
        <w:t>s</w:t>
      </w:r>
      <w:r>
        <w:rPr>
          <w:lang w:val="en-US" w:eastAsia="zh-CN"/>
        </w:rPr>
        <w:t xml:space="preserve"> both during the Conference itself and during CPM15-1, it was decided to create JTG 4-5-6-7; this group will be responsible for both WRC-15 Agenda Items 1.1 and 1.2. Thomas Ewers, Germany, will be the chairman of this JTG.</w:t>
      </w:r>
    </w:p>
    <w:p w:rsidR="00A83AD5" w:rsidRDefault="00A83AD5" w:rsidP="00FA05E6">
      <w:pPr>
        <w:ind w:left="-426"/>
        <w:jc w:val="both"/>
        <w:rPr>
          <w:lang w:val="en-US" w:eastAsia="zh-CN"/>
        </w:rPr>
      </w:pPr>
      <w:r>
        <w:rPr>
          <w:lang w:val="en-US" w:eastAsia="zh-CN"/>
        </w:rPr>
        <w:t>However, Working Party 5D will be in charge of c</w:t>
      </w:r>
      <w:r>
        <w:t>arrying out studies on:</w:t>
      </w:r>
    </w:p>
    <w:p w:rsidR="00A83AD5" w:rsidRDefault="00A83AD5" w:rsidP="00AB5205">
      <w:pPr>
        <w:pStyle w:val="Paragraphedeliste"/>
        <w:numPr>
          <w:ilvl w:val="0"/>
          <w:numId w:val="18"/>
        </w:numPr>
        <w:jc w:val="both"/>
      </w:pPr>
      <w:r w:rsidRPr="00C0607E">
        <w:t xml:space="preserve">the spectrum requirements for </w:t>
      </w:r>
      <w:r>
        <w:t xml:space="preserve">the </w:t>
      </w:r>
      <w:r w:rsidRPr="00C0607E">
        <w:t>mobile service</w:t>
      </w:r>
      <w:r>
        <w:t>,</w:t>
      </w:r>
      <w:r w:rsidRPr="00C0607E">
        <w:t xml:space="preserve"> including suitable frequency range</w:t>
      </w:r>
      <w:r>
        <w:t>s (AI 1.1 and 1.2);</w:t>
      </w:r>
      <w:r w:rsidR="00140F18">
        <w:t xml:space="preserve"> a collaboration with Working Party 5A is expected;</w:t>
      </w:r>
    </w:p>
    <w:p w:rsidR="00A83AD5" w:rsidRPr="004E73C6" w:rsidRDefault="00A83AD5" w:rsidP="00AB5205">
      <w:pPr>
        <w:pStyle w:val="Paragraphedeliste"/>
        <w:numPr>
          <w:ilvl w:val="0"/>
          <w:numId w:val="18"/>
        </w:numPr>
        <w:jc w:val="both"/>
      </w:pPr>
      <w:r w:rsidRPr="009B23AF">
        <w:rPr>
          <w:lang w:eastAsia="nl-NL"/>
        </w:rPr>
        <w:t>channelling arrangements for the mobile service, adapted to the frequency band below 790 MHz</w:t>
      </w:r>
      <w:r>
        <w:rPr>
          <w:lang w:eastAsia="nl-NL"/>
        </w:rPr>
        <w:t xml:space="preserve"> and on</w:t>
      </w:r>
      <w:r w:rsidRPr="00A83AD5">
        <w:rPr>
          <w:lang w:eastAsia="nl-NL"/>
        </w:rPr>
        <w:t xml:space="preserve"> </w:t>
      </w:r>
      <w:r w:rsidRPr="004E73C6">
        <w:rPr>
          <w:lang w:eastAsia="nl-NL"/>
        </w:rPr>
        <w:t>coexistence between the different channelling arrangements which have been implemented in Region 1 above 790 MHz, as well as the possibility of further harmonization (AI 1.</w:t>
      </w:r>
      <w:r w:rsidR="0052264B" w:rsidRPr="004E73C6">
        <w:rPr>
          <w:lang w:eastAsia="nl-NL"/>
        </w:rPr>
        <w:t>2</w:t>
      </w:r>
      <w:r w:rsidRPr="004E73C6">
        <w:rPr>
          <w:lang w:eastAsia="nl-NL"/>
        </w:rPr>
        <w:t>);</w:t>
      </w:r>
    </w:p>
    <w:p w:rsidR="00FA05E6" w:rsidRPr="004E73C6" w:rsidRDefault="00FA05E6" w:rsidP="00FA05E6">
      <w:pPr>
        <w:ind w:left="-426"/>
        <w:jc w:val="both"/>
      </w:pPr>
    </w:p>
    <w:p w:rsidR="0052264B" w:rsidRPr="00AB5205" w:rsidRDefault="0052264B" w:rsidP="00AB5205">
      <w:pPr>
        <w:ind w:left="-426"/>
        <w:jc w:val="both"/>
      </w:pPr>
      <w:r w:rsidRPr="00AB5205">
        <w:t>With respect to the future IMT spectrum sharing studies (Resolution COM6/8 on agenda item 1.1), technical and operational characteristics, protection requirements as well as spectrum requirements from the concerned Working Parties are to be submitted to the JTG preferably by 31 July 2013.</w:t>
      </w:r>
    </w:p>
    <w:p w:rsidR="0052264B" w:rsidRPr="00AB5205" w:rsidRDefault="0052264B" w:rsidP="00AB5205">
      <w:pPr>
        <w:ind w:left="-426"/>
        <w:jc w:val="both"/>
      </w:pPr>
    </w:p>
    <w:p w:rsidR="0052264B" w:rsidRDefault="0052264B" w:rsidP="00AB5205">
      <w:pPr>
        <w:ind w:left="-426"/>
        <w:jc w:val="both"/>
        <w:rPr>
          <w:lang w:val="en-US" w:eastAsia="zh-CN"/>
        </w:rPr>
      </w:pPr>
      <w:r w:rsidRPr="004E73C6">
        <w:t>With respect to the 700 MHz sharing studies (Resolution COM5/10 on agenda item 1.2), technical and operational characteristics, protection requirements as well as spectrum</w:t>
      </w:r>
      <w:r w:rsidRPr="0052264B">
        <w:t xml:space="preserve"> requirements from Working Parties 5D and 6A are to be submitted to the JTG before 31 December 2012</w:t>
      </w:r>
      <w:r>
        <w:t>.</w:t>
      </w:r>
    </w:p>
    <w:p w:rsidR="009B23AF" w:rsidRDefault="00F91BE1" w:rsidP="00AB5205">
      <w:pPr>
        <w:overflowPunct/>
        <w:autoSpaceDE/>
        <w:autoSpaceDN/>
        <w:adjustRightInd/>
        <w:jc w:val="center"/>
        <w:textAlignment w:val="auto"/>
        <w:rPr>
          <w:lang w:val="en-GB"/>
        </w:rPr>
      </w:pPr>
      <w:r>
        <w:rPr>
          <w:lang w:val="en-GB" w:eastAsia="zh-CN"/>
        </w:rPr>
        <w:t>____________________________</w:t>
      </w:r>
      <w:r w:rsidR="009B23AF">
        <w:rPr>
          <w:lang w:val="en-GB"/>
        </w:rPr>
        <w:br w:type="page"/>
      </w:r>
    </w:p>
    <w:p w:rsidR="009B23AF" w:rsidRDefault="009B23AF" w:rsidP="001F545D">
      <w:pPr>
        <w:jc w:val="center"/>
      </w:pPr>
      <w:r>
        <w:lastRenderedPageBreak/>
        <w:t>Annexes</w:t>
      </w:r>
    </w:p>
    <w:p w:rsidR="009B23AF" w:rsidRDefault="009B23AF" w:rsidP="001F545D">
      <w:pPr>
        <w:jc w:val="center"/>
      </w:pPr>
    </w:p>
    <w:p w:rsidR="009B23AF" w:rsidRPr="009B23AF" w:rsidRDefault="009B23AF" w:rsidP="009B23AF">
      <w:pPr>
        <w:pStyle w:val="ResNo"/>
        <w:rPr>
          <w:lang w:eastAsia="nl-NL"/>
        </w:rPr>
      </w:pPr>
      <w:r w:rsidRPr="009B23AF">
        <w:rPr>
          <w:lang w:eastAsia="nl-NL"/>
        </w:rPr>
        <w:t xml:space="preserve">RESOLUTION </w:t>
      </w:r>
      <w:r w:rsidRPr="009B23AF">
        <w:t>COM5/10</w:t>
      </w:r>
      <w:r w:rsidRPr="009B23AF">
        <w:rPr>
          <w:lang w:eastAsia="nl-NL"/>
        </w:rPr>
        <w:t xml:space="preserve"> (WRC</w:t>
      </w:r>
      <w:r w:rsidRPr="009B23AF">
        <w:rPr>
          <w:lang w:eastAsia="nl-NL"/>
        </w:rPr>
        <w:noBreakHyphen/>
        <w:t>12)</w:t>
      </w:r>
    </w:p>
    <w:p w:rsidR="009B23AF" w:rsidRPr="009B23AF" w:rsidRDefault="009B23AF" w:rsidP="009B23AF">
      <w:pPr>
        <w:pStyle w:val="Restitle"/>
        <w:rPr>
          <w:lang w:eastAsia="nl-NL"/>
        </w:rPr>
      </w:pPr>
      <w:r w:rsidRPr="009B23AF">
        <w:rPr>
          <w:lang w:eastAsia="nl-NL"/>
        </w:rPr>
        <w:t>Use of the frequency band 694-790 MHz by the mobile, except aeronautical mobile, service in Region 1 and related studies</w:t>
      </w:r>
    </w:p>
    <w:p w:rsidR="009B23AF" w:rsidRPr="009B23AF" w:rsidRDefault="009B23AF" w:rsidP="009B23AF">
      <w:pPr>
        <w:pStyle w:val="Normalaftertitle"/>
        <w:rPr>
          <w:lang w:eastAsia="nl-NL"/>
        </w:rPr>
      </w:pPr>
      <w:r w:rsidRPr="009B23AF">
        <w:rPr>
          <w:lang w:eastAsia="nl-NL"/>
        </w:rPr>
        <w:t xml:space="preserve">The World </w:t>
      </w:r>
      <w:r w:rsidRPr="009B23AF">
        <w:t>Radiocommunication</w:t>
      </w:r>
      <w:r w:rsidRPr="009B23AF">
        <w:rPr>
          <w:lang w:eastAsia="nl-NL"/>
        </w:rPr>
        <w:t xml:space="preserve"> Conference (Geneva, 2012),</w:t>
      </w:r>
    </w:p>
    <w:p w:rsidR="009B23AF" w:rsidRPr="009B23AF" w:rsidRDefault="009B23AF" w:rsidP="009B23AF">
      <w:pPr>
        <w:pStyle w:val="Call"/>
      </w:pPr>
      <w:proofErr w:type="gramStart"/>
      <w:r w:rsidRPr="009B23AF">
        <w:t>considering</w:t>
      </w:r>
      <w:proofErr w:type="gramEnd"/>
    </w:p>
    <w:p w:rsidR="009B23AF" w:rsidRPr="009B23AF" w:rsidRDefault="009B23AF" w:rsidP="009B23AF">
      <w:r w:rsidRPr="009B23AF">
        <w:rPr>
          <w:i/>
          <w:iCs/>
        </w:rPr>
        <w:t>a)</w:t>
      </w:r>
      <w:r w:rsidRPr="009B23AF">
        <w:tab/>
        <w:t>that IMT systems are intended to provide telecommunication services on a worldwide scale, regardless of location, network or terminal used;</w:t>
      </w:r>
    </w:p>
    <w:p w:rsidR="009B23AF" w:rsidRPr="009B23AF" w:rsidRDefault="009B23AF" w:rsidP="009B23AF">
      <w:r w:rsidRPr="009B23AF">
        <w:rPr>
          <w:i/>
          <w:iCs/>
        </w:rPr>
        <w:t>b)</w:t>
      </w:r>
      <w:r w:rsidRPr="009B23AF">
        <w:tab/>
        <w:t>that some administrations are planning to use the band 694-862 MHz, or part of that band, for IMT;</w:t>
      </w:r>
    </w:p>
    <w:p w:rsidR="009B23AF" w:rsidRPr="009B23AF" w:rsidRDefault="009B23AF" w:rsidP="009B23AF">
      <w:r w:rsidRPr="009B23AF">
        <w:rPr>
          <w:i/>
          <w:iCs/>
        </w:rPr>
        <w:t>c)</w:t>
      </w:r>
      <w:r w:rsidRPr="009B23AF">
        <w:tab/>
        <w:t>that the frequency band 470-806/862 MHz is allocated to the broadcasting service on a primary basis in all three Regions and used predominantly by this service, and that the GE06 Agreement applies in all Region 1 countries, except Mongolia, and in the Islamic Republic of Iran in Region 3;</w:t>
      </w:r>
    </w:p>
    <w:p w:rsidR="009B23AF" w:rsidRPr="009B23AF" w:rsidRDefault="009B23AF" w:rsidP="009B23AF">
      <w:r w:rsidRPr="009B23AF">
        <w:rPr>
          <w:i/>
          <w:iCs/>
        </w:rPr>
        <w:t>d)</w:t>
      </w:r>
      <w:r w:rsidRPr="009B23AF">
        <w:tab/>
        <w:t>that the band 645-862 MHz is allocated on a primary basis to the aeronautical radionavigation service in the countries listed in No. </w:t>
      </w:r>
      <w:r w:rsidRPr="009B23AF">
        <w:rPr>
          <w:b/>
          <w:bCs/>
        </w:rPr>
        <w:t>5.312</w:t>
      </w:r>
      <w:r w:rsidRPr="009B23AF">
        <w:t>;</w:t>
      </w:r>
    </w:p>
    <w:p w:rsidR="009B23AF" w:rsidRPr="009B23AF" w:rsidRDefault="009B23AF" w:rsidP="009B23AF">
      <w:r w:rsidRPr="009B23AF">
        <w:rPr>
          <w:i/>
          <w:iCs/>
        </w:rPr>
        <w:t>e)</w:t>
      </w:r>
      <w:r w:rsidRPr="009B23AF">
        <w:tab/>
        <w:t>that cellular mobile systems in the three Regions in the bands below 1 GHz operate using various channelling arrangements;</w:t>
      </w:r>
    </w:p>
    <w:p w:rsidR="009B23AF" w:rsidRPr="009B23AF" w:rsidRDefault="009B23AF" w:rsidP="009B23AF">
      <w:r w:rsidRPr="009B23AF">
        <w:rPr>
          <w:i/>
          <w:iCs/>
        </w:rPr>
        <w:t>f)</w:t>
      </w:r>
      <w:r w:rsidRPr="009B23AF">
        <w:tab/>
        <w:t>that where cost considerations warrant the installation of fewer base stations, such as in rural and/or sparsely populated areas, bands below 1 GHz are generally suitable for implementing mobile systems including IMT;</w:t>
      </w:r>
    </w:p>
    <w:p w:rsidR="009B23AF" w:rsidRPr="009B23AF" w:rsidRDefault="009B23AF" w:rsidP="009B23AF">
      <w:r w:rsidRPr="009B23AF">
        <w:rPr>
          <w:i/>
          <w:iCs/>
        </w:rPr>
        <w:t>g)</w:t>
      </w:r>
      <w:r w:rsidRPr="009B23AF">
        <w:tab/>
        <w:t>that bands below 1 GHz are important, especially for some developing countries and countries with large areas where economic solutions for low population density areas are necessary,</w:t>
      </w:r>
    </w:p>
    <w:p w:rsidR="009B23AF" w:rsidRPr="009B23AF" w:rsidRDefault="009B23AF" w:rsidP="009B23AF">
      <w:pPr>
        <w:pStyle w:val="Call"/>
      </w:pPr>
      <w:proofErr w:type="gramStart"/>
      <w:r w:rsidRPr="009B23AF">
        <w:t>noting</w:t>
      </w:r>
      <w:proofErr w:type="gramEnd"/>
    </w:p>
    <w:p w:rsidR="009B23AF" w:rsidRPr="009B23AF" w:rsidRDefault="009B23AF" w:rsidP="009B23AF">
      <w:r w:rsidRPr="009B23AF">
        <w:rPr>
          <w:i/>
          <w:iCs/>
        </w:rPr>
        <w:t>a)</w:t>
      </w:r>
      <w:r w:rsidRPr="009B23AF">
        <w:tab/>
        <w:t>that, as a result of the transition from analogue to digital terrestrial television broadcasting, some countries are planning to make, or are making, the band 694-862 MHz, or parts of that band, available for applications in the mobile service;</w:t>
      </w:r>
    </w:p>
    <w:p w:rsidR="009B23AF" w:rsidRPr="009B23AF" w:rsidRDefault="009B23AF" w:rsidP="009B23AF">
      <w:r w:rsidRPr="009B23AF">
        <w:rPr>
          <w:i/>
          <w:iCs/>
        </w:rPr>
        <w:t>b)</w:t>
      </w:r>
      <w:r w:rsidRPr="009B23AF">
        <w:tab/>
        <w:t>that the transition from analogue to digital television shall end on 17 June 2015 at 0001 hours UTC according to Article 12.6 of the GE06 Agreement;</w:t>
      </w:r>
    </w:p>
    <w:p w:rsidR="009B23AF" w:rsidRPr="009B23AF" w:rsidRDefault="009B23AF" w:rsidP="009B23AF">
      <w:r w:rsidRPr="009B23AF">
        <w:rPr>
          <w:i/>
          <w:iCs/>
        </w:rPr>
        <w:t>c)</w:t>
      </w:r>
      <w:r w:rsidRPr="009B23AF">
        <w:tab/>
        <w:t>that the transition from analogue to digital television is expected to result in situations where parts or all of the band 470-806/862 MHz will be used extensively for both analogue and digital terrestrial transmissions, and that the demand for spectrum during the transition period may be even greater than the stand-alone usage of analogue broadcasting systems;</w:t>
      </w:r>
    </w:p>
    <w:p w:rsidR="009B23AF" w:rsidRPr="009B23AF" w:rsidRDefault="009B23AF" w:rsidP="009B23AF">
      <w:r w:rsidRPr="009B23AF">
        <w:rPr>
          <w:i/>
          <w:iCs/>
        </w:rPr>
        <w:t>d)</w:t>
      </w:r>
      <w:r w:rsidRPr="009B23AF">
        <w:tab/>
        <w:t>that Recommendation ITU-R M.819 describes the objectives to be met by IMT in order to meet the needs of developing countries, and in order to assist them to “bridge the gap” between their communication capabilities and those of developed countries;</w:t>
      </w:r>
    </w:p>
    <w:p w:rsidR="009B23AF" w:rsidRPr="009B23AF" w:rsidRDefault="009B23AF" w:rsidP="009B23AF">
      <w:r w:rsidRPr="009B23AF">
        <w:rPr>
          <w:i/>
          <w:iCs/>
        </w:rPr>
        <w:t>e)</w:t>
      </w:r>
      <w:r w:rsidRPr="009B23AF">
        <w:tab/>
        <w:t>that Recommendation ITU-R M.1645 also describes the coverage objectives of IMT;</w:t>
      </w:r>
    </w:p>
    <w:p w:rsidR="009B23AF" w:rsidRPr="009B23AF" w:rsidRDefault="009B23AF" w:rsidP="009B23AF">
      <w:r w:rsidRPr="009B23AF">
        <w:rPr>
          <w:i/>
          <w:iCs/>
        </w:rPr>
        <w:t>f)</w:t>
      </w:r>
      <w:r w:rsidRPr="009B23AF">
        <w:tab/>
        <w:t>that WRC</w:t>
      </w:r>
      <w:r w:rsidRPr="009B23AF">
        <w:noBreakHyphen/>
        <w:t>12 has approved Resolution </w:t>
      </w:r>
      <w:r w:rsidRPr="009B23AF">
        <w:rPr>
          <w:b/>
          <w:bCs/>
        </w:rPr>
        <w:t>COM6/8 (WRC</w:t>
      </w:r>
      <w:r w:rsidRPr="009B23AF">
        <w:rPr>
          <w:b/>
          <w:bCs/>
        </w:rPr>
        <w:noBreakHyphen/>
        <w:t>12)</w:t>
      </w:r>
      <w:r w:rsidRPr="009B23AF">
        <w:t xml:space="preserve"> which includes studies to be carried out by ITU-R in time for WRC</w:t>
      </w:r>
      <w:r w:rsidRPr="009B23AF">
        <w:noBreakHyphen/>
        <w:t>15,</w:t>
      </w:r>
    </w:p>
    <w:p w:rsidR="009B23AF" w:rsidRPr="009B23AF" w:rsidRDefault="009B23AF" w:rsidP="009B23AF">
      <w:pPr>
        <w:pStyle w:val="Call"/>
      </w:pPr>
      <w:proofErr w:type="gramStart"/>
      <w:r w:rsidRPr="009B23AF">
        <w:t>recognizing</w:t>
      </w:r>
      <w:proofErr w:type="gramEnd"/>
    </w:p>
    <w:p w:rsidR="009B23AF" w:rsidRPr="009B23AF" w:rsidRDefault="009B23AF" w:rsidP="009B23AF">
      <w:r w:rsidRPr="009B23AF">
        <w:rPr>
          <w:i/>
          <w:iCs/>
        </w:rPr>
        <w:t>a)</w:t>
      </w:r>
      <w:r w:rsidRPr="009B23AF">
        <w:tab/>
        <w:t>that there is a need, in many developing countries and countries with large areas of low population density, for the cost-effective implementation of IMT, and that the propagation characteristics of frequency bands below 1 GHz identified in Nos. </w:t>
      </w:r>
      <w:r w:rsidRPr="009B23AF">
        <w:rPr>
          <w:b/>
          <w:bCs/>
        </w:rPr>
        <w:t>5.286AA</w:t>
      </w:r>
      <w:r w:rsidRPr="009B23AF">
        <w:t xml:space="preserve"> and </w:t>
      </w:r>
      <w:r w:rsidRPr="009B23AF">
        <w:rPr>
          <w:b/>
          <w:bCs/>
        </w:rPr>
        <w:t>5.317A</w:t>
      </w:r>
      <w:r w:rsidRPr="009B23AF">
        <w:t xml:space="preserve"> result in larger cells;</w:t>
      </w:r>
    </w:p>
    <w:p w:rsidR="009B23AF" w:rsidRPr="009B23AF" w:rsidRDefault="009B23AF" w:rsidP="009B23AF">
      <w:r w:rsidRPr="009B23AF">
        <w:rPr>
          <w:i/>
          <w:iCs/>
        </w:rPr>
        <w:t>b)</w:t>
      </w:r>
      <w:r w:rsidRPr="009B23AF">
        <w:tab/>
        <w:t>that some countries also plan to use the band 470-862 MHz for HDTV and other higher definition modes;</w:t>
      </w:r>
    </w:p>
    <w:p w:rsidR="009B23AF" w:rsidRPr="009B23AF" w:rsidRDefault="009B23AF" w:rsidP="009B23AF">
      <w:r w:rsidRPr="009B23AF">
        <w:rPr>
          <w:i/>
          <w:iCs/>
        </w:rPr>
        <w:lastRenderedPageBreak/>
        <w:t>c)</w:t>
      </w:r>
      <w:r w:rsidRPr="009B23AF">
        <w:tab/>
        <w:t>that in Region 1, in accordance with No. </w:t>
      </w:r>
      <w:r w:rsidRPr="009B23AF">
        <w:rPr>
          <w:b/>
          <w:bCs/>
        </w:rPr>
        <w:t>5.296</w:t>
      </w:r>
      <w:r w:rsidRPr="009B23AF">
        <w:t>, a number of countries have deployments of applications ancillary to broadcasting operating on a secondary basis, which provide tools for the daily content production for the broadcast service;</w:t>
      </w:r>
    </w:p>
    <w:p w:rsidR="009B23AF" w:rsidRPr="009B23AF" w:rsidRDefault="009B23AF" w:rsidP="009B23AF">
      <w:r w:rsidRPr="009B23AF">
        <w:rPr>
          <w:i/>
          <w:iCs/>
        </w:rPr>
        <w:t>d)</w:t>
      </w:r>
      <w:r w:rsidRPr="009B23AF">
        <w:tab/>
        <w:t>that the GE06 Agreement contains provisions for the terrestrial broadcasting service and other primary terrestrial services, a Plan for digital television, and a list of stations of other primary terrestrial services;</w:t>
      </w:r>
    </w:p>
    <w:p w:rsidR="009B23AF" w:rsidRPr="009B23AF" w:rsidRDefault="009B23AF" w:rsidP="009B23AF">
      <w:r w:rsidRPr="009B23AF">
        <w:rPr>
          <w:i/>
          <w:iCs/>
        </w:rPr>
        <w:t>e)</w:t>
      </w:r>
      <w:r w:rsidRPr="009B23AF">
        <w:tab/>
        <w:t>that the time-frame and transition period for the analogue to digital television switchover may not be the same for all countries;</w:t>
      </w:r>
    </w:p>
    <w:p w:rsidR="009B23AF" w:rsidRPr="009B23AF" w:rsidRDefault="009B23AF" w:rsidP="009B23AF">
      <w:r w:rsidRPr="009B23AF">
        <w:rPr>
          <w:i/>
          <w:iCs/>
        </w:rPr>
        <w:t>f)</w:t>
      </w:r>
      <w:r w:rsidRPr="009B23AF">
        <w:tab/>
        <w:t>that there is a need for countries to assess the consequences of a new allocation for the mobile service below 790 MHz on the equitable access to spectrum in the GE06 Plan,</w:t>
      </w:r>
    </w:p>
    <w:p w:rsidR="009B23AF" w:rsidRPr="009B23AF" w:rsidRDefault="009B23AF" w:rsidP="009B23AF">
      <w:pPr>
        <w:pStyle w:val="Call"/>
      </w:pPr>
      <w:proofErr w:type="gramStart"/>
      <w:r w:rsidRPr="009B23AF">
        <w:t>resolves</w:t>
      </w:r>
      <w:proofErr w:type="gramEnd"/>
    </w:p>
    <w:p w:rsidR="009B23AF" w:rsidRPr="009B23AF" w:rsidRDefault="009B23AF" w:rsidP="009B23AF">
      <w:r w:rsidRPr="009B23AF">
        <w:t>1</w:t>
      </w:r>
      <w:r w:rsidRPr="009B23AF">
        <w:tab/>
        <w:t>to allocate the frequency band 694-790 MHz in Region 1 to the mobile, except aeronautical mobile, service on a co-primary basis with other services to which this band is allocated on a primary basis and to identify it for IMT;</w:t>
      </w:r>
    </w:p>
    <w:p w:rsidR="009B23AF" w:rsidRPr="009B23AF" w:rsidRDefault="009B23AF" w:rsidP="009B23AF">
      <w:r w:rsidRPr="009B23AF">
        <w:t>2</w:t>
      </w:r>
      <w:r w:rsidRPr="009B23AF">
        <w:tab/>
        <w:t xml:space="preserve">that the allocation in </w:t>
      </w:r>
      <w:r w:rsidRPr="009B23AF">
        <w:rPr>
          <w:i/>
        </w:rPr>
        <w:t xml:space="preserve">resolves </w:t>
      </w:r>
      <w:r w:rsidRPr="009B23AF">
        <w:rPr>
          <w:iCs/>
        </w:rPr>
        <w:t xml:space="preserve">1 </w:t>
      </w:r>
      <w:r w:rsidRPr="009B23AF">
        <w:t>is effective immediately after WRC</w:t>
      </w:r>
      <w:r w:rsidRPr="009B23AF">
        <w:noBreakHyphen/>
        <w:t>15;</w:t>
      </w:r>
    </w:p>
    <w:p w:rsidR="009B23AF" w:rsidRPr="009B23AF" w:rsidRDefault="009B23AF" w:rsidP="009B23AF">
      <w:r w:rsidRPr="009B23AF">
        <w:t>3</w:t>
      </w:r>
      <w:r w:rsidRPr="009B23AF">
        <w:tab/>
        <w:t xml:space="preserve">that use of the allocation in </w:t>
      </w:r>
      <w:r w:rsidRPr="009B23AF">
        <w:rPr>
          <w:i/>
        </w:rPr>
        <w:t xml:space="preserve">resolves </w:t>
      </w:r>
      <w:r w:rsidRPr="009B23AF">
        <w:rPr>
          <w:iCs/>
        </w:rPr>
        <w:t>1</w:t>
      </w:r>
      <w:r w:rsidRPr="009B23AF">
        <w:rPr>
          <w:i/>
        </w:rPr>
        <w:t xml:space="preserve"> </w:t>
      </w:r>
      <w:r w:rsidRPr="009B23AF">
        <w:rPr>
          <w:iCs/>
        </w:rPr>
        <w:t>is</w:t>
      </w:r>
      <w:r w:rsidRPr="009B23AF">
        <w:rPr>
          <w:i/>
        </w:rPr>
        <w:t xml:space="preserve"> </w:t>
      </w:r>
      <w:r w:rsidRPr="009B23AF">
        <w:t>subject to agreement obtained under No. </w:t>
      </w:r>
      <w:r w:rsidRPr="009B23AF">
        <w:rPr>
          <w:b/>
          <w:bCs/>
        </w:rPr>
        <w:t>9.21</w:t>
      </w:r>
      <w:r w:rsidRPr="009B23AF">
        <w:t xml:space="preserve"> with respect to the aeronautical radionavigation service in countries listed in No. </w:t>
      </w:r>
      <w:r w:rsidRPr="009B23AF">
        <w:rPr>
          <w:b/>
          <w:bCs/>
        </w:rPr>
        <w:t>5.312</w:t>
      </w:r>
      <w:r w:rsidRPr="009B23AF">
        <w:t>;</w:t>
      </w:r>
    </w:p>
    <w:p w:rsidR="009B23AF" w:rsidRPr="009B23AF" w:rsidRDefault="009B23AF" w:rsidP="009B23AF">
      <w:r w:rsidRPr="009B23AF">
        <w:t>4</w:t>
      </w:r>
      <w:r w:rsidRPr="009B23AF">
        <w:tab/>
        <w:t>that the lower edge of the allocation is subject to refinement at WRC</w:t>
      </w:r>
      <w:r w:rsidRPr="009B23AF">
        <w:noBreakHyphen/>
        <w:t xml:space="preserve">15, taking into account the ITU-R studies referred to in </w:t>
      </w:r>
      <w:r w:rsidRPr="009B23AF">
        <w:rPr>
          <w:i/>
        </w:rPr>
        <w:t xml:space="preserve">invites ITU-R </w:t>
      </w:r>
      <w:r w:rsidRPr="009B23AF">
        <w:t>below and the needs of countries in Region 1, in particular developing countries;</w:t>
      </w:r>
    </w:p>
    <w:p w:rsidR="009B23AF" w:rsidRPr="009B23AF" w:rsidRDefault="009B23AF" w:rsidP="009B23AF">
      <w:r w:rsidRPr="009B23AF">
        <w:t>5</w:t>
      </w:r>
      <w:r w:rsidRPr="009B23AF">
        <w:tab/>
        <w:t>that WRC</w:t>
      </w:r>
      <w:r w:rsidRPr="009B23AF">
        <w:noBreakHyphen/>
        <w:t xml:space="preserve">15 will specify the technical and regulatory conditions applicable to the mobile service allocation referred to in </w:t>
      </w:r>
      <w:r w:rsidRPr="009B23AF">
        <w:rPr>
          <w:i/>
        </w:rPr>
        <w:t>resolves </w:t>
      </w:r>
      <w:r w:rsidRPr="009B23AF">
        <w:rPr>
          <w:iCs/>
        </w:rPr>
        <w:t>1</w:t>
      </w:r>
      <w:r w:rsidRPr="009B23AF">
        <w:t xml:space="preserve">, taking into account the ITU-R studies referred to in </w:t>
      </w:r>
      <w:r w:rsidRPr="009B23AF">
        <w:rPr>
          <w:i/>
        </w:rPr>
        <w:t xml:space="preserve">invites ITU-R </w:t>
      </w:r>
      <w:r w:rsidRPr="009B23AF">
        <w:t>below,</w:t>
      </w:r>
    </w:p>
    <w:p w:rsidR="009B23AF" w:rsidRPr="009B23AF" w:rsidRDefault="009B23AF" w:rsidP="009B23AF">
      <w:pPr>
        <w:pStyle w:val="Call"/>
        <w:rPr>
          <w:lang w:eastAsia="nl-NL"/>
        </w:rPr>
      </w:pPr>
      <w:proofErr w:type="gramStart"/>
      <w:r w:rsidRPr="009B23AF">
        <w:rPr>
          <w:lang w:eastAsia="nl-NL"/>
        </w:rPr>
        <w:t>invites</w:t>
      </w:r>
      <w:proofErr w:type="gramEnd"/>
      <w:r w:rsidRPr="009B23AF">
        <w:rPr>
          <w:lang w:eastAsia="nl-NL"/>
        </w:rPr>
        <w:t xml:space="preserve"> ITU-R</w:t>
      </w:r>
    </w:p>
    <w:p w:rsidR="009B23AF" w:rsidRPr="009B23AF" w:rsidRDefault="009B23AF" w:rsidP="009B23AF">
      <w:pPr>
        <w:rPr>
          <w:lang w:eastAsia="nl-NL"/>
        </w:rPr>
      </w:pPr>
      <w:r w:rsidRPr="009B23AF">
        <w:rPr>
          <w:lang w:eastAsia="nl-NL"/>
        </w:rPr>
        <w:t>1</w:t>
      </w:r>
      <w:r w:rsidRPr="009B23AF">
        <w:rPr>
          <w:lang w:eastAsia="nl-NL"/>
        </w:rPr>
        <w:tab/>
        <w:t xml:space="preserve">to study the spectrum requirement for the mobile service and for the broadcasting service in this frequency band, in order to determine as early as possible the options for the lower edge referred to in </w:t>
      </w:r>
      <w:r w:rsidRPr="009B23AF">
        <w:rPr>
          <w:i/>
          <w:iCs/>
          <w:lang w:eastAsia="nl-NL"/>
        </w:rPr>
        <w:t>resolves</w:t>
      </w:r>
      <w:r w:rsidRPr="009B23AF">
        <w:rPr>
          <w:lang w:eastAsia="nl-NL"/>
        </w:rPr>
        <w:t> 4;</w:t>
      </w:r>
    </w:p>
    <w:p w:rsidR="009B23AF" w:rsidRPr="009B23AF" w:rsidRDefault="009B23AF" w:rsidP="009B23AF">
      <w:pPr>
        <w:rPr>
          <w:lang w:eastAsia="nl-NL"/>
        </w:rPr>
      </w:pPr>
      <w:r w:rsidRPr="009B23AF">
        <w:rPr>
          <w:lang w:eastAsia="nl-NL"/>
        </w:rPr>
        <w:t>2</w:t>
      </w:r>
      <w:r w:rsidRPr="009B23AF">
        <w:rPr>
          <w:lang w:eastAsia="nl-NL"/>
        </w:rPr>
        <w:tab/>
        <w:t>to study the channelling arrangements for the mobile service, adapted to the frequency band below 790 MHz, taking into account</w:t>
      </w:r>
      <w:r w:rsidRPr="009B23AF">
        <w:t>:</w:t>
      </w:r>
    </w:p>
    <w:p w:rsidR="009B23AF" w:rsidRPr="009B23AF" w:rsidRDefault="009B23AF" w:rsidP="009B23AF">
      <w:pPr>
        <w:pStyle w:val="enumlev1"/>
      </w:pPr>
      <w:r w:rsidRPr="009B23AF">
        <w:t>–</w:t>
      </w:r>
      <w:r w:rsidRPr="009B23AF">
        <w:tab/>
        <w:t>the existing arrangements in Region 1 in the bands between 790 and 862 MHz and defined in the last version of Recommendation ITU-R M.1036, in order to ensure coexistence with the networks operated in the new allocation and the operational networks in the band 790-862 MHz,</w:t>
      </w:r>
    </w:p>
    <w:p w:rsidR="009B23AF" w:rsidRPr="009B23AF" w:rsidRDefault="009B23AF" w:rsidP="009B23AF">
      <w:pPr>
        <w:pStyle w:val="enumlev1"/>
      </w:pPr>
      <w:r w:rsidRPr="009B23AF">
        <w:t>–</w:t>
      </w:r>
      <w:r w:rsidRPr="009B23AF">
        <w:tab/>
      </w:r>
      <w:proofErr w:type="gramStart"/>
      <w:r w:rsidRPr="009B23AF">
        <w:t>the</w:t>
      </w:r>
      <w:proofErr w:type="gramEnd"/>
      <w:r w:rsidRPr="009B23AF">
        <w:t xml:space="preserve"> desire for harmonization with arrangements across all Regions,</w:t>
      </w:r>
    </w:p>
    <w:p w:rsidR="009B23AF" w:rsidRPr="009B23AF" w:rsidRDefault="009B23AF" w:rsidP="009B23AF">
      <w:pPr>
        <w:pStyle w:val="enumlev1"/>
      </w:pPr>
      <w:r w:rsidRPr="009B23AF">
        <w:t>–</w:t>
      </w:r>
      <w:r w:rsidRPr="009B23AF">
        <w:tab/>
      </w:r>
      <w:proofErr w:type="gramStart"/>
      <w:r w:rsidRPr="009B23AF">
        <w:t>the</w:t>
      </w:r>
      <w:proofErr w:type="gramEnd"/>
      <w:r w:rsidRPr="009B23AF">
        <w:t xml:space="preserve"> compatibility with other primary services to which the band is allocated, including in adjacent bands;</w:t>
      </w:r>
    </w:p>
    <w:p w:rsidR="009B23AF" w:rsidRPr="009B23AF" w:rsidRDefault="009B23AF" w:rsidP="009B23AF">
      <w:pPr>
        <w:rPr>
          <w:lang w:eastAsia="nl-NL"/>
        </w:rPr>
      </w:pPr>
      <w:r w:rsidRPr="009B23AF">
        <w:rPr>
          <w:lang w:eastAsia="nl-NL"/>
        </w:rPr>
        <w:t>3</w:t>
      </w:r>
      <w:r w:rsidRPr="009B23AF">
        <w:rPr>
          <w:lang w:eastAsia="nl-NL"/>
        </w:rPr>
        <w:tab/>
        <w:t>to study coexistence between the different channelling arrangements which have been implemented in Region 1 above 790 MHz, as well as the possibility of further harmonization;</w:t>
      </w:r>
    </w:p>
    <w:p w:rsidR="009B23AF" w:rsidRPr="009B23AF" w:rsidRDefault="009B23AF" w:rsidP="009B23AF">
      <w:pPr>
        <w:rPr>
          <w:lang w:eastAsia="nl-NL"/>
        </w:rPr>
      </w:pPr>
      <w:r w:rsidRPr="009B23AF">
        <w:rPr>
          <w:lang w:eastAsia="nl-NL"/>
        </w:rPr>
        <w:t>4</w:t>
      </w:r>
      <w:r w:rsidRPr="009B23AF">
        <w:rPr>
          <w:lang w:eastAsia="nl-NL"/>
        </w:rPr>
        <w:tab/>
        <w:t>to study the compatibility between the mobile service and other services currently allocated in the frequency band 694-790 MHz and develop ITU-R Recommendations or Reports;</w:t>
      </w:r>
    </w:p>
    <w:p w:rsidR="009B23AF" w:rsidRPr="009B23AF" w:rsidRDefault="009B23AF" w:rsidP="009B23AF">
      <w:pPr>
        <w:rPr>
          <w:lang w:eastAsia="nl-NL"/>
        </w:rPr>
      </w:pPr>
      <w:r w:rsidRPr="009B23AF">
        <w:rPr>
          <w:lang w:eastAsia="nl-NL"/>
        </w:rPr>
        <w:t>5</w:t>
      </w:r>
      <w:r w:rsidRPr="009B23AF">
        <w:rPr>
          <w:lang w:eastAsia="nl-NL"/>
        </w:rPr>
        <w:tab/>
        <w:t>to study solutions for accommodating applications ancillary to broadcasting requirements;</w:t>
      </w:r>
    </w:p>
    <w:p w:rsidR="009B23AF" w:rsidRPr="009B23AF" w:rsidRDefault="009B23AF" w:rsidP="009B23AF">
      <w:pPr>
        <w:rPr>
          <w:lang w:eastAsia="nl-NL"/>
        </w:rPr>
      </w:pPr>
      <w:r w:rsidRPr="009B23AF">
        <w:rPr>
          <w:lang w:eastAsia="nl-NL"/>
        </w:rPr>
        <w:t>6</w:t>
      </w:r>
      <w:r w:rsidRPr="009B23AF">
        <w:rPr>
          <w:lang w:eastAsia="nl-NL"/>
        </w:rPr>
        <w:tab/>
        <w:t>to report, in time for WRC</w:t>
      </w:r>
      <w:r w:rsidRPr="009B23AF">
        <w:rPr>
          <w:lang w:eastAsia="nl-NL"/>
        </w:rPr>
        <w:noBreakHyphen/>
        <w:t>15, the results of these studies,</w:t>
      </w:r>
    </w:p>
    <w:p w:rsidR="009B23AF" w:rsidRPr="009B23AF" w:rsidRDefault="009B23AF" w:rsidP="009B23AF">
      <w:pPr>
        <w:pStyle w:val="Call"/>
        <w:rPr>
          <w:lang w:eastAsia="nl-NL"/>
        </w:rPr>
      </w:pPr>
      <w:proofErr w:type="gramStart"/>
      <w:r w:rsidRPr="009B23AF">
        <w:rPr>
          <w:lang w:eastAsia="nl-NL"/>
        </w:rPr>
        <w:t>invites</w:t>
      </w:r>
      <w:proofErr w:type="gramEnd"/>
      <w:r w:rsidRPr="009B23AF">
        <w:rPr>
          <w:lang w:eastAsia="nl-NL"/>
        </w:rPr>
        <w:t xml:space="preserve"> the Director of the Radiocommunication Bureau</w:t>
      </w:r>
    </w:p>
    <w:p w:rsidR="009B23AF" w:rsidRPr="009B23AF" w:rsidRDefault="009B23AF" w:rsidP="009B23AF">
      <w:pPr>
        <w:rPr>
          <w:lang w:eastAsia="nl-NL"/>
        </w:rPr>
      </w:pPr>
      <w:r w:rsidRPr="009B23AF">
        <w:rPr>
          <w:lang w:eastAsia="nl-NL"/>
        </w:rPr>
        <w:t>to work, in cooperation with the Director of the Telecommunication Development Bureau, to bring assistance to developing countries wishing to implement the new mobile allocation in order to help these administrations to determine the modifications of the Geneva-06 Plan necessary to keep sufficient capacity for broadcasting,</w:t>
      </w:r>
    </w:p>
    <w:p w:rsidR="009B23AF" w:rsidRPr="009B23AF" w:rsidRDefault="009B23AF" w:rsidP="009B23AF">
      <w:pPr>
        <w:pStyle w:val="Call"/>
        <w:rPr>
          <w:lang w:eastAsia="nl-NL"/>
        </w:rPr>
      </w:pPr>
      <w:proofErr w:type="gramStart"/>
      <w:r w:rsidRPr="009B23AF">
        <w:rPr>
          <w:lang w:eastAsia="nl-NL"/>
        </w:rPr>
        <w:lastRenderedPageBreak/>
        <w:t>invites</w:t>
      </w:r>
      <w:proofErr w:type="gramEnd"/>
      <w:r w:rsidRPr="009B23AF">
        <w:rPr>
          <w:lang w:eastAsia="nl-NL"/>
        </w:rPr>
        <w:t xml:space="preserve"> administrations</w:t>
      </w:r>
    </w:p>
    <w:p w:rsidR="009B23AF" w:rsidRPr="00D41CE2" w:rsidRDefault="009B23AF" w:rsidP="009B23AF">
      <w:r w:rsidRPr="009B23AF">
        <w:rPr>
          <w:lang w:eastAsia="nl-NL"/>
        </w:rPr>
        <w:t>to participate in these studies and to indicate as quickly as possible, in the process of preparation for WRC</w:t>
      </w:r>
      <w:r w:rsidRPr="009B23AF">
        <w:rPr>
          <w:lang w:eastAsia="nl-NL"/>
        </w:rPr>
        <w:noBreakHyphen/>
        <w:t>15, the spectrum requirement for the mobile service, the broadcasting service and the other services, in order to determine the options for the frequency band to be allocated to the mobile service, as well as the related channelling arrangements.</w:t>
      </w:r>
    </w:p>
    <w:p w:rsidR="009B23AF" w:rsidRDefault="009B23AF" w:rsidP="001F545D">
      <w:pPr>
        <w:jc w:val="center"/>
      </w:pPr>
    </w:p>
    <w:p w:rsidR="009B23AF" w:rsidRDefault="009B23AF" w:rsidP="001F545D">
      <w:pPr>
        <w:jc w:val="center"/>
      </w:pPr>
    </w:p>
    <w:p w:rsidR="009B23AF" w:rsidRDefault="009B23AF">
      <w:pPr>
        <w:overflowPunct/>
        <w:autoSpaceDE/>
        <w:autoSpaceDN/>
        <w:adjustRightInd/>
        <w:textAlignment w:val="auto"/>
      </w:pPr>
      <w:r>
        <w:br w:type="page"/>
      </w:r>
    </w:p>
    <w:p w:rsidR="009B23AF" w:rsidRPr="009B23AF" w:rsidRDefault="009B23AF" w:rsidP="009B23AF">
      <w:pPr>
        <w:pStyle w:val="ResNo"/>
      </w:pPr>
      <w:r w:rsidRPr="009B23AF">
        <w:lastRenderedPageBreak/>
        <w:t>RESOLUTION COM6/6 (WRC</w:t>
      </w:r>
      <w:r w:rsidRPr="009B23AF">
        <w:noBreakHyphen/>
        <w:t>12)</w:t>
      </w:r>
    </w:p>
    <w:p w:rsidR="009B23AF" w:rsidRPr="009B23AF" w:rsidRDefault="009B23AF" w:rsidP="009B23AF">
      <w:pPr>
        <w:pStyle w:val="Restitle"/>
      </w:pPr>
      <w:r w:rsidRPr="009B23AF">
        <w:t>Agenda for the 2015 World Radiocommunication Conference</w:t>
      </w:r>
    </w:p>
    <w:p w:rsidR="009B23AF" w:rsidRPr="009B23AF" w:rsidRDefault="009B23AF" w:rsidP="009B23AF">
      <w:pPr>
        <w:pStyle w:val="Normalaftertitle"/>
      </w:pPr>
      <w:r w:rsidRPr="009B23AF">
        <w:t>The World Radiocommunication Conference (Geneva, 2012),</w:t>
      </w:r>
    </w:p>
    <w:p w:rsidR="009B23AF" w:rsidRPr="009B23AF" w:rsidRDefault="009B23AF" w:rsidP="009B23AF">
      <w:pPr>
        <w:pStyle w:val="Call"/>
      </w:pPr>
      <w:proofErr w:type="gramStart"/>
      <w:r w:rsidRPr="009B23AF">
        <w:t>considering</w:t>
      </w:r>
      <w:proofErr w:type="gramEnd"/>
    </w:p>
    <w:p w:rsidR="009B23AF" w:rsidRPr="009B23AF" w:rsidRDefault="009B23AF" w:rsidP="009B23AF">
      <w:r w:rsidRPr="009B23AF">
        <w:rPr>
          <w:i/>
          <w:iCs/>
        </w:rPr>
        <w:t>a)</w:t>
      </w:r>
      <w:r w:rsidRPr="009B23AF">
        <w:tab/>
        <w:t>that, in accordance with No. 118 of the ITU Convention, the general scope of the agenda for a world radiocommunication conference should be established four to six years in advance and that a final agenda shall be established by the Council two years before the conference;</w:t>
      </w:r>
    </w:p>
    <w:p w:rsidR="009B23AF" w:rsidRPr="009B23AF" w:rsidRDefault="009B23AF" w:rsidP="009B23AF">
      <w:r w:rsidRPr="009B23AF">
        <w:rPr>
          <w:i/>
          <w:iCs/>
        </w:rPr>
        <w:t>b)</w:t>
      </w:r>
      <w:r w:rsidRPr="009B23AF">
        <w:tab/>
        <w:t>Article 13 of the ITU Constitution relating to the competence and scheduling of world radiocommunication conferences and Article 7 of the Convention relating to their agendas;</w:t>
      </w:r>
    </w:p>
    <w:p w:rsidR="009B23AF" w:rsidRPr="009B23AF" w:rsidRDefault="009B23AF" w:rsidP="009B23AF">
      <w:r w:rsidRPr="009B23AF">
        <w:rPr>
          <w:i/>
          <w:iCs/>
        </w:rPr>
        <w:t>c)</w:t>
      </w:r>
      <w:r w:rsidRPr="009B23AF">
        <w:tab/>
        <w:t>the relevant resolutions and recommendations of previous world administrative radio conferences (WARCs) and world radiocommunication conferences (WRCs),</w:t>
      </w:r>
    </w:p>
    <w:p w:rsidR="009B23AF" w:rsidRPr="009B23AF" w:rsidRDefault="009B23AF" w:rsidP="009B23AF">
      <w:pPr>
        <w:pStyle w:val="Call"/>
      </w:pPr>
      <w:proofErr w:type="gramStart"/>
      <w:r w:rsidRPr="009B23AF">
        <w:t>recognizing</w:t>
      </w:r>
      <w:proofErr w:type="gramEnd"/>
    </w:p>
    <w:p w:rsidR="009B23AF" w:rsidRPr="009B23AF" w:rsidRDefault="009B23AF" w:rsidP="009B23AF">
      <w:r w:rsidRPr="009B23AF">
        <w:rPr>
          <w:i/>
          <w:iCs/>
        </w:rPr>
        <w:t>a)</w:t>
      </w:r>
      <w:r w:rsidRPr="009B23AF">
        <w:tab/>
        <w:t>that WRC</w:t>
      </w:r>
      <w:r w:rsidRPr="009B23AF">
        <w:noBreakHyphen/>
        <w:t>12 has identified a number of urgent issues requiring further examination by WRC</w:t>
      </w:r>
      <w:r w:rsidRPr="009B23AF">
        <w:noBreakHyphen/>
        <w:t>15;</w:t>
      </w:r>
    </w:p>
    <w:p w:rsidR="009B23AF" w:rsidRPr="009B23AF" w:rsidRDefault="009B23AF" w:rsidP="009B23AF">
      <w:r w:rsidRPr="009B23AF">
        <w:rPr>
          <w:i/>
          <w:iCs/>
        </w:rPr>
        <w:t>b)</w:t>
      </w:r>
      <w:r w:rsidRPr="009B23AF">
        <w:tab/>
        <w:t>that, in preparing this agenda, some items proposed by administrations could not be included and have had to be deferred to future conference agendas,</w:t>
      </w:r>
    </w:p>
    <w:p w:rsidR="009B23AF" w:rsidRPr="009B23AF" w:rsidRDefault="009B23AF" w:rsidP="009B23AF">
      <w:pPr>
        <w:pStyle w:val="Call"/>
      </w:pPr>
      <w:proofErr w:type="gramStart"/>
      <w:r w:rsidRPr="009B23AF">
        <w:t>resolves</w:t>
      </w:r>
      <w:proofErr w:type="gramEnd"/>
    </w:p>
    <w:p w:rsidR="009B23AF" w:rsidRPr="009B23AF" w:rsidRDefault="009B23AF" w:rsidP="009B23AF">
      <w:r w:rsidRPr="009B23AF">
        <w:t>to recommend to the Council that a world radiocommunication conference be held in 2015 for a maximum period of four weeks, with the following agenda:</w:t>
      </w:r>
    </w:p>
    <w:p w:rsidR="009B23AF" w:rsidRPr="009B23AF" w:rsidRDefault="009B23AF" w:rsidP="009B23AF">
      <w:r w:rsidRPr="009B23AF">
        <w:t>1</w:t>
      </w:r>
      <w:r w:rsidRPr="009B23AF">
        <w:tab/>
        <w:t>on the basis of proposals from administrations, taking account of the results of WRC</w:t>
      </w:r>
      <w:r w:rsidRPr="009B23AF">
        <w:noBreakHyphen/>
        <w:t>12 and the Report of the Conference Preparatory Meeting, and with due regard to the requirements of existing and future services in the bands under consideration, to consider and take appropriate action in respect of the following items:</w:t>
      </w:r>
    </w:p>
    <w:p w:rsidR="009B23AF" w:rsidRPr="009B23AF" w:rsidRDefault="009B23AF" w:rsidP="009B23AF">
      <w:r w:rsidRPr="009B23AF">
        <w:t xml:space="preserve">1.1 </w:t>
      </w:r>
      <w:r w:rsidRPr="009B23AF">
        <w:tab/>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9B23AF">
        <w:rPr>
          <w:b/>
          <w:bCs/>
        </w:rPr>
        <w:t>COM6/8 (WRC</w:t>
      </w:r>
      <w:r w:rsidRPr="009B23AF">
        <w:rPr>
          <w:b/>
          <w:bCs/>
        </w:rPr>
        <w:noBreakHyphen/>
        <w:t>12)</w:t>
      </w:r>
      <w:r w:rsidRPr="009B23AF">
        <w:t>;</w:t>
      </w:r>
    </w:p>
    <w:p w:rsidR="009B23AF" w:rsidRPr="00D41CE2" w:rsidRDefault="009B23AF" w:rsidP="009B23AF">
      <w:r w:rsidRPr="009B23AF">
        <w:t>1.2</w:t>
      </w:r>
      <w:r w:rsidRPr="009B23AF">
        <w:tab/>
        <w:t>to examine the results of ITU</w:t>
      </w:r>
      <w:r w:rsidRPr="009B23AF">
        <w:noBreakHyphen/>
        <w:t xml:space="preserve">R studies, in accordance with Resolution </w:t>
      </w:r>
      <w:r w:rsidRPr="009B23AF">
        <w:rPr>
          <w:b/>
          <w:bCs/>
        </w:rPr>
        <w:t>COM5/10 (WRC</w:t>
      </w:r>
      <w:r w:rsidRPr="009B23AF">
        <w:rPr>
          <w:b/>
          <w:bCs/>
        </w:rPr>
        <w:noBreakHyphen/>
        <w:t>12)</w:t>
      </w:r>
      <w:r w:rsidRPr="009B23AF">
        <w:t>, on the use of the frequency band 694-790 MHz by the mobile, except aeronautical mobile, service in Region 1 and take the appropriate measures;</w:t>
      </w:r>
    </w:p>
    <w:p w:rsidR="009B23AF" w:rsidRPr="00D41CE2" w:rsidRDefault="009B23AF" w:rsidP="009B23AF">
      <w:r w:rsidRPr="00D41CE2">
        <w:t>1.3</w:t>
      </w:r>
      <w:r w:rsidRPr="00D41CE2">
        <w:tab/>
      </w:r>
      <w:r w:rsidRPr="00D41CE2">
        <w:rPr>
          <w:rFonts w:eastAsia="MS Mincho"/>
          <w:lang w:eastAsia="ja-JP"/>
        </w:rPr>
        <w:t xml:space="preserve">to review and revise Resolution </w:t>
      </w:r>
      <w:r w:rsidRPr="00D41CE2">
        <w:rPr>
          <w:rFonts w:eastAsia="MS Mincho"/>
          <w:b/>
          <w:lang w:eastAsia="ja-JP"/>
        </w:rPr>
        <w:t>646</w:t>
      </w:r>
      <w:r w:rsidRPr="00D41CE2">
        <w:rPr>
          <w:rFonts w:eastAsia="MS Mincho"/>
          <w:lang w:eastAsia="ja-JP"/>
        </w:rPr>
        <w:t xml:space="preserve"> </w:t>
      </w:r>
      <w:r w:rsidRPr="00D41CE2">
        <w:rPr>
          <w:rFonts w:eastAsia="MS Mincho"/>
          <w:b/>
          <w:lang w:eastAsia="ja-JP"/>
        </w:rPr>
        <w:t>(</w:t>
      </w:r>
      <w:r w:rsidRPr="00D41CE2">
        <w:rPr>
          <w:b/>
          <w:bCs/>
        </w:rPr>
        <w:t>Rev.</w:t>
      </w:r>
      <w:r>
        <w:rPr>
          <w:b/>
          <w:bCs/>
        </w:rPr>
        <w:t>WRC</w:t>
      </w:r>
      <w:r>
        <w:rPr>
          <w:b/>
          <w:bCs/>
        </w:rPr>
        <w:noBreakHyphen/>
      </w:r>
      <w:r w:rsidRPr="00D41CE2">
        <w:rPr>
          <w:b/>
          <w:bCs/>
        </w:rPr>
        <w:t>12</w:t>
      </w:r>
      <w:r w:rsidRPr="00D41CE2">
        <w:rPr>
          <w:rFonts w:eastAsia="MS Mincho"/>
          <w:b/>
          <w:lang w:eastAsia="ja-JP"/>
        </w:rPr>
        <w:t>)</w:t>
      </w:r>
      <w:r w:rsidRPr="00D41CE2">
        <w:rPr>
          <w:rFonts w:eastAsia="MS Mincho"/>
          <w:lang w:eastAsia="ja-JP"/>
        </w:rPr>
        <w:t xml:space="preserve"> for broadband public protection and disaster relief (PPDR), in accordance with Resolution </w:t>
      </w:r>
      <w:r w:rsidRPr="00D41CE2">
        <w:rPr>
          <w:rFonts w:eastAsia="MS Mincho"/>
          <w:b/>
          <w:bCs/>
          <w:lang w:eastAsia="ja-JP"/>
        </w:rPr>
        <w:t>COM6/11 (</w:t>
      </w:r>
      <w:r>
        <w:rPr>
          <w:rFonts w:eastAsia="MS Mincho"/>
          <w:b/>
          <w:bCs/>
          <w:lang w:eastAsia="ja-JP"/>
        </w:rPr>
        <w:t>WRC</w:t>
      </w:r>
      <w:r>
        <w:rPr>
          <w:rFonts w:eastAsia="MS Mincho"/>
          <w:b/>
          <w:bCs/>
          <w:lang w:eastAsia="ja-JP"/>
        </w:rPr>
        <w:noBreakHyphen/>
      </w:r>
      <w:r w:rsidRPr="00D41CE2">
        <w:rPr>
          <w:rFonts w:eastAsia="MS Mincho"/>
          <w:b/>
          <w:bCs/>
          <w:lang w:eastAsia="ja-JP"/>
        </w:rPr>
        <w:t>12)</w:t>
      </w:r>
      <w:r w:rsidRPr="00D41CE2">
        <w:rPr>
          <w:rFonts w:eastAsia="MS Mincho"/>
          <w:lang w:eastAsia="ja-JP"/>
        </w:rPr>
        <w:t>;</w:t>
      </w:r>
    </w:p>
    <w:p w:rsidR="009B23AF" w:rsidRPr="00D41CE2" w:rsidRDefault="009B23AF" w:rsidP="009B23AF">
      <w:r w:rsidRPr="00D41CE2">
        <w:t>1.4</w:t>
      </w:r>
      <w:r w:rsidRPr="00D41CE2">
        <w:tab/>
        <w:t xml:space="preserve">to consider possible new allocation to the amateur service on a secondary basis within the band 5 250-5 450 kHz in accordance with Resolution </w:t>
      </w:r>
      <w:r w:rsidRPr="00D41CE2">
        <w:rPr>
          <w:b/>
          <w:bCs/>
        </w:rPr>
        <w:t>COM6/12 (</w:t>
      </w:r>
      <w:r>
        <w:rPr>
          <w:b/>
          <w:bCs/>
        </w:rPr>
        <w:t>WRC</w:t>
      </w:r>
      <w:r>
        <w:rPr>
          <w:b/>
          <w:bCs/>
        </w:rPr>
        <w:noBreakHyphen/>
      </w:r>
      <w:r w:rsidRPr="00D41CE2">
        <w:rPr>
          <w:b/>
          <w:bCs/>
        </w:rPr>
        <w:t>12)</w:t>
      </w:r>
      <w:r w:rsidRPr="00D41CE2">
        <w:t>;</w:t>
      </w:r>
    </w:p>
    <w:p w:rsidR="009B23AF" w:rsidRPr="00D41CE2" w:rsidRDefault="009B23AF" w:rsidP="009B23AF">
      <w:r w:rsidRPr="00D41CE2">
        <w:t>1.5</w:t>
      </w:r>
      <w:r w:rsidRPr="00D41CE2">
        <w:tab/>
        <w:t>to consider the use of frequency bands allocated to the fixed-satellite service not subject to Appendices </w:t>
      </w:r>
      <w:r w:rsidRPr="00D41CE2">
        <w:rPr>
          <w:b/>
          <w:bCs/>
        </w:rPr>
        <w:t>30</w:t>
      </w:r>
      <w:r w:rsidRPr="00D41CE2">
        <w:t xml:space="preserve">, </w:t>
      </w:r>
      <w:r w:rsidRPr="00D41CE2">
        <w:rPr>
          <w:b/>
          <w:bCs/>
        </w:rPr>
        <w:t>30A</w:t>
      </w:r>
      <w:r w:rsidRPr="00D41CE2">
        <w:t xml:space="preserve"> and </w:t>
      </w:r>
      <w:r w:rsidRPr="00D41CE2">
        <w:rPr>
          <w:b/>
          <w:bCs/>
        </w:rPr>
        <w:t>30B</w:t>
      </w:r>
      <w:r w:rsidRPr="00D41CE2">
        <w:t xml:space="preserve"> for the control and non-payload communications of unmanned aircraft systems (UAS) in non-segregated airspaces, in accordance with Resolution </w:t>
      </w:r>
      <w:r w:rsidRPr="00D41CE2">
        <w:rPr>
          <w:b/>
          <w:bCs/>
        </w:rPr>
        <w:t>COM6/13 (</w:t>
      </w:r>
      <w:r>
        <w:rPr>
          <w:b/>
          <w:bCs/>
        </w:rPr>
        <w:t>WRC</w:t>
      </w:r>
      <w:r>
        <w:rPr>
          <w:b/>
          <w:bCs/>
        </w:rPr>
        <w:noBreakHyphen/>
      </w:r>
      <w:r w:rsidRPr="00D41CE2">
        <w:rPr>
          <w:b/>
          <w:bCs/>
        </w:rPr>
        <w:t>12)</w:t>
      </w:r>
      <w:r w:rsidRPr="00D41CE2">
        <w:t>;</w:t>
      </w:r>
    </w:p>
    <w:p w:rsidR="009B23AF" w:rsidRPr="00D41CE2" w:rsidRDefault="009B23AF" w:rsidP="009B23AF">
      <w:pPr>
        <w:rPr>
          <w:rFonts w:eastAsia="SimSun"/>
          <w:lang w:eastAsia="zh-CN"/>
        </w:rPr>
      </w:pPr>
      <w:r w:rsidRPr="00D41CE2">
        <w:rPr>
          <w:rFonts w:eastAsia="SimSun"/>
          <w:lang w:eastAsia="zh-CN"/>
        </w:rPr>
        <w:t>1.6</w:t>
      </w:r>
      <w:r w:rsidRPr="00D41CE2">
        <w:rPr>
          <w:rFonts w:eastAsia="SimSun"/>
          <w:lang w:eastAsia="zh-CN"/>
        </w:rPr>
        <w:tab/>
        <w:t>to consider possible additional primary allocations:</w:t>
      </w:r>
    </w:p>
    <w:p w:rsidR="009B23AF" w:rsidRPr="00D41CE2" w:rsidRDefault="009B23AF" w:rsidP="009B23AF">
      <w:pPr>
        <w:rPr>
          <w:rFonts w:eastAsia="SimSun"/>
          <w:lang w:eastAsia="zh-CN"/>
        </w:rPr>
      </w:pPr>
      <w:r w:rsidRPr="00D41CE2">
        <w:rPr>
          <w:rFonts w:eastAsia="SimSun"/>
          <w:lang w:eastAsia="zh-CN"/>
        </w:rPr>
        <w:t>1.6.1</w:t>
      </w:r>
      <w:r w:rsidRPr="00D41CE2">
        <w:rPr>
          <w:rFonts w:eastAsia="SimSun"/>
          <w:lang w:eastAsia="zh-CN"/>
        </w:rPr>
        <w:tab/>
        <w:t>to the fixed-satellite service (Earth-to-space and space-to-Earth) of 250</w:t>
      </w:r>
      <w:r>
        <w:rPr>
          <w:rFonts w:eastAsia="SimSun"/>
          <w:lang w:eastAsia="zh-CN"/>
        </w:rPr>
        <w:t> MHz</w:t>
      </w:r>
      <w:r w:rsidRPr="00D41CE2">
        <w:rPr>
          <w:rFonts w:eastAsia="SimSun"/>
          <w:lang w:eastAsia="zh-CN"/>
        </w:rPr>
        <w:t xml:space="preserve"> in the range between 10 GHz and 17 GHz in Region 1;</w:t>
      </w:r>
    </w:p>
    <w:p w:rsidR="009B23AF" w:rsidRPr="00D41CE2" w:rsidRDefault="009B23AF" w:rsidP="009B23AF">
      <w:pPr>
        <w:rPr>
          <w:rFonts w:eastAsia="SimSun"/>
          <w:lang w:eastAsia="zh-CN"/>
        </w:rPr>
      </w:pPr>
      <w:r w:rsidRPr="00D41CE2">
        <w:rPr>
          <w:rFonts w:eastAsia="SimSun"/>
          <w:lang w:eastAsia="zh-CN"/>
        </w:rPr>
        <w:t>1.6.2</w:t>
      </w:r>
      <w:r w:rsidRPr="00D41CE2">
        <w:rPr>
          <w:rFonts w:eastAsia="SimSun"/>
          <w:lang w:eastAsia="zh-CN"/>
        </w:rPr>
        <w:tab/>
        <w:t>to the fixed-satellite service (Earth-to-space) of 250</w:t>
      </w:r>
      <w:r>
        <w:rPr>
          <w:rFonts w:eastAsia="SimSun"/>
          <w:lang w:eastAsia="zh-CN"/>
        </w:rPr>
        <w:t> MHz</w:t>
      </w:r>
      <w:r w:rsidRPr="00D41CE2">
        <w:rPr>
          <w:rFonts w:eastAsia="SimSun"/>
          <w:lang w:eastAsia="zh-CN"/>
        </w:rPr>
        <w:t xml:space="preserve"> in Region 2 and 300</w:t>
      </w:r>
      <w:r>
        <w:rPr>
          <w:rFonts w:eastAsia="SimSun"/>
          <w:lang w:eastAsia="zh-CN"/>
        </w:rPr>
        <w:t> MHz</w:t>
      </w:r>
      <w:r w:rsidRPr="00D41CE2">
        <w:rPr>
          <w:rFonts w:eastAsia="SimSun"/>
          <w:lang w:eastAsia="zh-CN"/>
        </w:rPr>
        <w:t xml:space="preserve"> in Region 3 within the range 13-17 GHz;</w:t>
      </w:r>
    </w:p>
    <w:p w:rsidR="009B23AF" w:rsidRPr="00D41CE2" w:rsidRDefault="009B23AF" w:rsidP="009B23AF">
      <w:pPr>
        <w:rPr>
          <w:bCs/>
        </w:rPr>
      </w:pPr>
      <w:r w:rsidRPr="00D41CE2">
        <w:rPr>
          <w:rFonts w:asciiTheme="majorBidi" w:eastAsia="SimSun" w:hAnsiTheme="majorBidi" w:cstheme="majorBidi"/>
          <w:szCs w:val="24"/>
          <w:lang w:eastAsia="zh-CN"/>
        </w:rPr>
        <w:t>and review the regulatory provisions on the current allocations to the fixed-satellite service within each range, taking into account the results of ITU</w:t>
      </w:r>
      <w:r w:rsidRPr="00D41CE2">
        <w:rPr>
          <w:rFonts w:asciiTheme="majorBidi" w:eastAsia="SimSun" w:hAnsiTheme="majorBidi" w:cstheme="majorBidi"/>
          <w:szCs w:val="24"/>
          <w:lang w:eastAsia="zh-CN"/>
        </w:rPr>
        <w:noBreakHyphen/>
        <w:t xml:space="preserve">R studies, in accordance with Resolutions </w:t>
      </w:r>
      <w:r w:rsidRPr="00D41CE2">
        <w:rPr>
          <w:rFonts w:asciiTheme="majorBidi" w:eastAsia="SimSun" w:hAnsiTheme="majorBidi" w:cstheme="majorBidi"/>
          <w:b/>
          <w:bCs/>
          <w:szCs w:val="24"/>
          <w:lang w:eastAsia="zh-CN"/>
        </w:rPr>
        <w:t>COM6/4 (</w:t>
      </w:r>
      <w:r>
        <w:rPr>
          <w:rFonts w:asciiTheme="majorBidi" w:eastAsia="SimSun" w:hAnsiTheme="majorBidi" w:cstheme="majorBidi"/>
          <w:b/>
          <w:bCs/>
          <w:szCs w:val="24"/>
          <w:lang w:eastAsia="zh-CN"/>
        </w:rPr>
        <w:t>WRC</w:t>
      </w:r>
      <w:r>
        <w:rPr>
          <w:rFonts w:asciiTheme="majorBidi" w:eastAsia="SimSun" w:hAnsiTheme="majorBidi" w:cstheme="majorBidi"/>
          <w:b/>
          <w:bCs/>
          <w:szCs w:val="24"/>
          <w:lang w:eastAsia="zh-CN"/>
        </w:rPr>
        <w:noBreakHyphen/>
      </w:r>
      <w:r w:rsidRPr="00D41CE2">
        <w:rPr>
          <w:rFonts w:asciiTheme="majorBidi" w:eastAsia="SimSun" w:hAnsiTheme="majorBidi" w:cstheme="majorBidi"/>
          <w:b/>
          <w:bCs/>
          <w:szCs w:val="24"/>
          <w:lang w:eastAsia="zh-CN"/>
        </w:rPr>
        <w:t>12)</w:t>
      </w:r>
      <w:r w:rsidRPr="00D41CE2">
        <w:rPr>
          <w:rFonts w:asciiTheme="majorBidi" w:eastAsia="SimSun" w:hAnsiTheme="majorBidi" w:cstheme="majorBidi"/>
          <w:szCs w:val="24"/>
          <w:lang w:eastAsia="zh-CN"/>
        </w:rPr>
        <w:t xml:space="preserve"> and </w:t>
      </w:r>
      <w:r w:rsidRPr="00D41CE2">
        <w:rPr>
          <w:rFonts w:asciiTheme="majorBidi" w:eastAsia="SimSun" w:hAnsiTheme="majorBidi" w:cstheme="majorBidi"/>
          <w:b/>
          <w:bCs/>
          <w:szCs w:val="24"/>
          <w:lang w:eastAsia="zh-CN"/>
        </w:rPr>
        <w:t>COM6/5 (</w:t>
      </w:r>
      <w:r>
        <w:rPr>
          <w:rFonts w:asciiTheme="majorBidi" w:eastAsia="SimSun" w:hAnsiTheme="majorBidi" w:cstheme="majorBidi"/>
          <w:b/>
          <w:bCs/>
          <w:szCs w:val="24"/>
          <w:lang w:eastAsia="zh-CN"/>
        </w:rPr>
        <w:t>WRC</w:t>
      </w:r>
      <w:r>
        <w:rPr>
          <w:rFonts w:asciiTheme="majorBidi" w:eastAsia="SimSun" w:hAnsiTheme="majorBidi" w:cstheme="majorBidi"/>
          <w:b/>
          <w:bCs/>
          <w:szCs w:val="24"/>
          <w:lang w:eastAsia="zh-CN"/>
        </w:rPr>
        <w:noBreakHyphen/>
      </w:r>
      <w:r w:rsidRPr="00D41CE2">
        <w:rPr>
          <w:rFonts w:asciiTheme="majorBidi" w:eastAsia="SimSun" w:hAnsiTheme="majorBidi" w:cstheme="majorBidi"/>
          <w:b/>
          <w:bCs/>
          <w:szCs w:val="24"/>
          <w:lang w:eastAsia="zh-CN"/>
        </w:rPr>
        <w:t>12)</w:t>
      </w:r>
      <w:r w:rsidRPr="00D41CE2">
        <w:rPr>
          <w:rFonts w:asciiTheme="majorBidi" w:eastAsia="SimSun" w:hAnsiTheme="majorBidi" w:cstheme="majorBidi"/>
          <w:szCs w:val="24"/>
          <w:lang w:eastAsia="zh-CN"/>
        </w:rPr>
        <w:t>, respectively</w:t>
      </w:r>
      <w:r w:rsidRPr="00D41CE2">
        <w:rPr>
          <w:bCs/>
        </w:rPr>
        <w:t>;</w:t>
      </w:r>
    </w:p>
    <w:p w:rsidR="009B23AF" w:rsidRPr="00D41CE2" w:rsidRDefault="009B23AF" w:rsidP="009B23AF">
      <w:r w:rsidRPr="00D41CE2">
        <w:t>1.7</w:t>
      </w:r>
      <w:r w:rsidRPr="00D41CE2">
        <w:tab/>
        <w:t>to review the use of the band 5 091-5 150</w:t>
      </w:r>
      <w:r>
        <w:t> MHz</w:t>
      </w:r>
      <w:r w:rsidRPr="00D41CE2">
        <w:t xml:space="preserve"> by the fixed-satellite service (Earth-to-space) (limited to feeder links of the non-geostationary mobile-satellite systems in the mobile-satellite service) in accordance with Resolution </w:t>
      </w:r>
      <w:r w:rsidRPr="00D41CE2">
        <w:rPr>
          <w:b/>
          <w:color w:val="000000"/>
        </w:rPr>
        <w:t>114 (Rev.</w:t>
      </w:r>
      <w:r>
        <w:rPr>
          <w:b/>
          <w:color w:val="000000"/>
        </w:rPr>
        <w:t>WRC</w:t>
      </w:r>
      <w:r>
        <w:rPr>
          <w:b/>
          <w:color w:val="000000"/>
        </w:rPr>
        <w:noBreakHyphen/>
      </w:r>
      <w:r w:rsidRPr="00D41CE2">
        <w:rPr>
          <w:b/>
          <w:color w:val="000000"/>
        </w:rPr>
        <w:t>12)</w:t>
      </w:r>
      <w:r w:rsidRPr="00D41CE2">
        <w:t>;</w:t>
      </w:r>
    </w:p>
    <w:p w:rsidR="009B23AF" w:rsidRPr="00D41CE2" w:rsidRDefault="009B23AF" w:rsidP="009B23AF">
      <w:r w:rsidRPr="00D41CE2">
        <w:lastRenderedPageBreak/>
        <w:t>1.8</w:t>
      </w:r>
      <w:r w:rsidRPr="00D41CE2">
        <w:tab/>
        <w:t xml:space="preserve">to review the provisions relating to earth stations located on board vessels (ESVs), based on studies conducted in accordance with Resolution </w:t>
      </w:r>
      <w:r w:rsidRPr="00D41CE2">
        <w:rPr>
          <w:b/>
        </w:rPr>
        <w:t>COM6/14 (</w:t>
      </w:r>
      <w:r>
        <w:rPr>
          <w:b/>
        </w:rPr>
        <w:t>WRC</w:t>
      </w:r>
      <w:r>
        <w:rPr>
          <w:b/>
        </w:rPr>
        <w:noBreakHyphen/>
      </w:r>
      <w:r w:rsidRPr="00D41CE2">
        <w:rPr>
          <w:b/>
        </w:rPr>
        <w:t>12)</w:t>
      </w:r>
      <w:r w:rsidRPr="00D41CE2">
        <w:t>;</w:t>
      </w:r>
    </w:p>
    <w:p w:rsidR="009B23AF" w:rsidRPr="00D41CE2" w:rsidRDefault="009B23AF" w:rsidP="009B23AF">
      <w:r w:rsidRPr="00D41CE2">
        <w:t>1.9</w:t>
      </w:r>
      <w:r w:rsidRPr="00D41CE2">
        <w:tab/>
        <w:t xml:space="preserve">to consider, in accordance with Resolution </w:t>
      </w:r>
      <w:r w:rsidRPr="00D41CE2">
        <w:rPr>
          <w:b/>
        </w:rPr>
        <w:t>COM6/15 (</w:t>
      </w:r>
      <w:r>
        <w:rPr>
          <w:b/>
        </w:rPr>
        <w:t>WRC</w:t>
      </w:r>
      <w:r>
        <w:rPr>
          <w:b/>
        </w:rPr>
        <w:noBreakHyphen/>
      </w:r>
      <w:r w:rsidRPr="00D41CE2">
        <w:rPr>
          <w:b/>
        </w:rPr>
        <w:t>12)</w:t>
      </w:r>
      <w:r w:rsidRPr="00D41CE2">
        <w:t>:</w:t>
      </w:r>
    </w:p>
    <w:p w:rsidR="009B23AF" w:rsidRPr="00D41CE2" w:rsidRDefault="009B23AF" w:rsidP="009B23AF">
      <w:r w:rsidRPr="00D41CE2">
        <w:t>1.9.1</w:t>
      </w:r>
      <w:r w:rsidRPr="00D41CE2">
        <w:tab/>
        <w:t>possible new allocations to the fixed-satellite service in the frequency bands 7 150-7 250</w:t>
      </w:r>
      <w:r>
        <w:t> MHz</w:t>
      </w:r>
      <w:r w:rsidRPr="00D41CE2">
        <w:t xml:space="preserve"> (space-to-Earth) and 8 400-8 500</w:t>
      </w:r>
      <w:r>
        <w:t> MHz</w:t>
      </w:r>
      <w:r w:rsidRPr="00D41CE2">
        <w:t xml:space="preserve"> (Earth-to-space), subject to appropriate sharing conditions;</w:t>
      </w:r>
    </w:p>
    <w:p w:rsidR="009B23AF" w:rsidRPr="00D41CE2" w:rsidRDefault="009B23AF" w:rsidP="009B23AF">
      <w:r w:rsidRPr="00D41CE2">
        <w:t>1.9.2</w:t>
      </w:r>
      <w:r w:rsidRPr="00D41CE2">
        <w:tab/>
        <w:t>the possibility of allocating the bands 7 375-7 750</w:t>
      </w:r>
      <w:r>
        <w:t> MHz</w:t>
      </w:r>
      <w:r w:rsidRPr="00D41CE2">
        <w:t xml:space="preserve"> and 8 025-8 400</w:t>
      </w:r>
      <w:r>
        <w:t> MHz</w:t>
      </w:r>
      <w:r w:rsidRPr="00D41CE2">
        <w:t xml:space="preserve"> to the maritime-mobile satellite service and additional regulatory measures, depending on the results of appropriate studies;</w:t>
      </w:r>
    </w:p>
    <w:p w:rsidR="009B23AF" w:rsidRPr="00D41CE2" w:rsidRDefault="009B23AF" w:rsidP="009B23AF">
      <w:r w:rsidRPr="00D41CE2">
        <w:t>1.10</w:t>
      </w:r>
      <w:r w:rsidRPr="00D41CE2">
        <w:tab/>
        <w:t xml:space="preserve">to consider spectrum requirements and possible additional spectrum allocations for the mobile-satellite service in the Earth-to-space and space-to-Earth directions, including the satellite component for broadband applications, including International Mobile Telecommunications (IMT), within the frequency range from 22 GHz to 26 GHz, in accordance with Resolution </w:t>
      </w:r>
      <w:r w:rsidRPr="00D41CE2">
        <w:rPr>
          <w:b/>
          <w:bCs/>
        </w:rPr>
        <w:t>COM6/16 (</w:t>
      </w:r>
      <w:r>
        <w:rPr>
          <w:b/>
          <w:bCs/>
        </w:rPr>
        <w:t>WRC</w:t>
      </w:r>
      <w:r>
        <w:rPr>
          <w:b/>
          <w:bCs/>
        </w:rPr>
        <w:noBreakHyphen/>
      </w:r>
      <w:r w:rsidRPr="00D41CE2">
        <w:rPr>
          <w:b/>
          <w:bCs/>
        </w:rPr>
        <w:t>12)</w:t>
      </w:r>
      <w:r w:rsidRPr="00D41CE2">
        <w:t>;</w:t>
      </w:r>
    </w:p>
    <w:p w:rsidR="009B23AF" w:rsidRPr="00D41CE2" w:rsidRDefault="009B23AF" w:rsidP="009B23AF">
      <w:r w:rsidRPr="00D41CE2">
        <w:t>1.11</w:t>
      </w:r>
      <w:r w:rsidRPr="00D41CE2">
        <w:rPr>
          <w:b/>
        </w:rPr>
        <w:tab/>
      </w:r>
      <w:r w:rsidRPr="00D41CE2">
        <w:t>to consider a primary allocation for the Earth exploration-satellite service (Earth-to-space) in the 7-8 GHz range, in accordance with</w:t>
      </w:r>
      <w:r w:rsidRPr="00D41CE2">
        <w:rPr>
          <w:bCs/>
        </w:rPr>
        <w:t xml:space="preserve"> </w:t>
      </w:r>
      <w:r w:rsidRPr="00D41CE2">
        <w:t>Resolution</w:t>
      </w:r>
      <w:r w:rsidRPr="00D41CE2">
        <w:rPr>
          <w:b/>
        </w:rPr>
        <w:t xml:space="preserve"> COM6/17 (</w:t>
      </w:r>
      <w:r>
        <w:rPr>
          <w:b/>
        </w:rPr>
        <w:t>WRC</w:t>
      </w:r>
      <w:r>
        <w:rPr>
          <w:b/>
        </w:rPr>
        <w:noBreakHyphen/>
      </w:r>
      <w:r w:rsidRPr="00D41CE2">
        <w:rPr>
          <w:b/>
        </w:rPr>
        <w:t>12)</w:t>
      </w:r>
      <w:r w:rsidRPr="00D41CE2">
        <w:t>;</w:t>
      </w:r>
    </w:p>
    <w:p w:rsidR="009B23AF" w:rsidRPr="00D41CE2" w:rsidRDefault="009B23AF" w:rsidP="009B23AF">
      <w:r w:rsidRPr="00D41CE2">
        <w:rPr>
          <w:rStyle w:val="Artdef"/>
          <w:bCs/>
        </w:rPr>
        <w:t>1.12</w:t>
      </w:r>
      <w:r w:rsidRPr="00D41CE2">
        <w:rPr>
          <w:b/>
        </w:rPr>
        <w:tab/>
      </w:r>
      <w:r w:rsidRPr="00D41CE2">
        <w:t>to consider an extension of the current worldwide allocation to the Earth exploration-satellite (active) service in the frequency band 9 300-9 900</w:t>
      </w:r>
      <w:r>
        <w:t> MHz</w:t>
      </w:r>
      <w:r w:rsidRPr="00D41CE2">
        <w:t xml:space="preserve"> by up to 600</w:t>
      </w:r>
      <w:r>
        <w:t> MHz</w:t>
      </w:r>
      <w:r w:rsidRPr="00D41CE2">
        <w:t xml:space="preserve"> within the frequency bands 8 700-9 300</w:t>
      </w:r>
      <w:r>
        <w:t> MHz</w:t>
      </w:r>
      <w:r w:rsidRPr="00D41CE2">
        <w:t xml:space="preserve"> and/or 9 900-10 500</w:t>
      </w:r>
      <w:r>
        <w:t> MHz</w:t>
      </w:r>
      <w:r w:rsidRPr="00D41CE2">
        <w:t xml:space="preserve">, in accordance with Resolution </w:t>
      </w:r>
      <w:r w:rsidRPr="00D41CE2">
        <w:rPr>
          <w:b/>
          <w:bCs/>
        </w:rPr>
        <w:t>COM6/18 (</w:t>
      </w:r>
      <w:r>
        <w:rPr>
          <w:b/>
          <w:bCs/>
        </w:rPr>
        <w:t>WRC</w:t>
      </w:r>
      <w:r>
        <w:rPr>
          <w:b/>
          <w:bCs/>
        </w:rPr>
        <w:noBreakHyphen/>
      </w:r>
      <w:r w:rsidRPr="00D41CE2">
        <w:rPr>
          <w:b/>
          <w:bCs/>
        </w:rPr>
        <w:t>12)</w:t>
      </w:r>
      <w:r w:rsidRPr="00D41CE2">
        <w:t>;</w:t>
      </w:r>
    </w:p>
    <w:p w:rsidR="009B23AF" w:rsidRPr="00D41CE2" w:rsidRDefault="009B23AF" w:rsidP="009B23AF">
      <w:r w:rsidRPr="00D41CE2">
        <w:rPr>
          <w:rStyle w:val="Artdef"/>
          <w:bCs/>
        </w:rPr>
        <w:t>1.13</w:t>
      </w:r>
      <w:r w:rsidRPr="00D41CE2">
        <w:tab/>
        <w:t>to review No. </w:t>
      </w:r>
      <w:r w:rsidRPr="00D41CE2">
        <w:rPr>
          <w:b/>
          <w:bCs/>
        </w:rPr>
        <w:t>5.268</w:t>
      </w:r>
      <w:r w:rsidRPr="00D41CE2">
        <w:t xml:space="preserve"> with a view to examining the possibility for increasing the 5 km distance limitation and allowing space research service (space-to-space) use for proximity operations by space vehicles communicating with an orbiting manned space vehicle, in accordance with Resolution </w:t>
      </w:r>
      <w:r w:rsidRPr="00D41CE2">
        <w:rPr>
          <w:b/>
          <w:bCs/>
        </w:rPr>
        <w:t>COM6/19 (</w:t>
      </w:r>
      <w:r>
        <w:rPr>
          <w:b/>
          <w:bCs/>
        </w:rPr>
        <w:t>WRC</w:t>
      </w:r>
      <w:r>
        <w:rPr>
          <w:b/>
          <w:bCs/>
        </w:rPr>
        <w:noBreakHyphen/>
      </w:r>
      <w:r w:rsidRPr="00D41CE2">
        <w:rPr>
          <w:b/>
          <w:bCs/>
        </w:rPr>
        <w:t>12)</w:t>
      </w:r>
      <w:r w:rsidRPr="00D41CE2">
        <w:t>;</w:t>
      </w:r>
    </w:p>
    <w:p w:rsidR="009B23AF" w:rsidRPr="00D41CE2" w:rsidRDefault="009B23AF" w:rsidP="009B23AF">
      <w:r w:rsidRPr="00D41CE2">
        <w:t>1.14</w:t>
      </w:r>
      <w:r w:rsidRPr="00D41CE2">
        <w:rPr>
          <w:b/>
        </w:rPr>
        <w:tab/>
      </w:r>
      <w:r w:rsidRPr="00D41CE2">
        <w:t xml:space="preserve">to consider </w:t>
      </w:r>
      <w:r w:rsidRPr="00D41CE2">
        <w:rPr>
          <w:szCs w:val="24"/>
          <w:lang w:eastAsia="en-CA"/>
        </w:rPr>
        <w:t>the feasibility of</w:t>
      </w:r>
      <w:r w:rsidRPr="00D41CE2">
        <w:t xml:space="preserve"> achieving a continuous reference time-scale, whether by the modification of coordinated universal time (UTC) or some other method, and take appropriate action, in accordance with Resolution </w:t>
      </w:r>
      <w:r w:rsidRPr="00D41CE2">
        <w:rPr>
          <w:b/>
        </w:rPr>
        <w:t>COM6/20 (</w:t>
      </w:r>
      <w:r>
        <w:rPr>
          <w:b/>
        </w:rPr>
        <w:t>WRC</w:t>
      </w:r>
      <w:r>
        <w:rPr>
          <w:b/>
        </w:rPr>
        <w:noBreakHyphen/>
      </w:r>
      <w:r w:rsidRPr="00D41CE2">
        <w:rPr>
          <w:b/>
        </w:rPr>
        <w:t>12)</w:t>
      </w:r>
      <w:r w:rsidRPr="00D41CE2">
        <w:t>;</w:t>
      </w:r>
    </w:p>
    <w:p w:rsidR="009B23AF" w:rsidRPr="00D41CE2" w:rsidRDefault="009B23AF" w:rsidP="009B23AF">
      <w:r w:rsidRPr="00D41CE2">
        <w:t>1.15</w:t>
      </w:r>
      <w:r w:rsidRPr="00D41CE2">
        <w:tab/>
        <w:t xml:space="preserve">to consider spectrum demands for on-board communication stations in the maritime mobile service in accordance with Resolution </w:t>
      </w:r>
      <w:r w:rsidRPr="00D41CE2">
        <w:rPr>
          <w:b/>
          <w:bCs/>
        </w:rPr>
        <w:t>COM6/3</w:t>
      </w:r>
      <w:r w:rsidRPr="00D41CE2">
        <w:rPr>
          <w:b/>
        </w:rPr>
        <w:t>(</w:t>
      </w:r>
      <w:r>
        <w:rPr>
          <w:b/>
        </w:rPr>
        <w:t>WRC</w:t>
      </w:r>
      <w:r>
        <w:rPr>
          <w:b/>
        </w:rPr>
        <w:noBreakHyphen/>
      </w:r>
      <w:r w:rsidRPr="00D41CE2">
        <w:rPr>
          <w:b/>
        </w:rPr>
        <w:t>12)</w:t>
      </w:r>
      <w:r w:rsidRPr="00D41CE2">
        <w:t>;</w:t>
      </w:r>
    </w:p>
    <w:p w:rsidR="009B23AF" w:rsidRPr="00D41CE2" w:rsidRDefault="009B23AF" w:rsidP="009B23AF">
      <w:pPr>
        <w:rPr>
          <w:bCs/>
        </w:rPr>
      </w:pPr>
      <w:r w:rsidRPr="00D41CE2">
        <w:t>1.16</w:t>
      </w:r>
      <w:r w:rsidRPr="00D41CE2">
        <w:tab/>
        <w:t>to consider regulatory provisions and spectrum allocations to enable possible new Automatic Identification System (AIS) technology applications and possible new applications to improve maritime radiocommunication in accordance with Resolution </w:t>
      </w:r>
      <w:r w:rsidRPr="00D41CE2">
        <w:rPr>
          <w:b/>
          <w:bCs/>
        </w:rPr>
        <w:t>COM6/21</w:t>
      </w:r>
      <w:r w:rsidRPr="00D41CE2">
        <w:t xml:space="preserve"> </w:t>
      </w:r>
      <w:r w:rsidRPr="00D41CE2">
        <w:rPr>
          <w:b/>
        </w:rPr>
        <w:t>(</w:t>
      </w:r>
      <w:r>
        <w:rPr>
          <w:b/>
        </w:rPr>
        <w:t>WRC</w:t>
      </w:r>
      <w:r>
        <w:rPr>
          <w:b/>
        </w:rPr>
        <w:noBreakHyphen/>
      </w:r>
      <w:r w:rsidRPr="00D41CE2">
        <w:rPr>
          <w:b/>
        </w:rPr>
        <w:t>12)</w:t>
      </w:r>
      <w:r w:rsidRPr="00D41CE2">
        <w:rPr>
          <w:bCs/>
        </w:rPr>
        <w:t>;</w:t>
      </w:r>
    </w:p>
    <w:p w:rsidR="009B23AF" w:rsidRPr="00D41CE2" w:rsidRDefault="009B23AF" w:rsidP="009B23AF">
      <w:pPr>
        <w:pStyle w:val="Note"/>
      </w:pPr>
      <w:r w:rsidRPr="00D41CE2">
        <w:rPr>
          <w:rStyle w:val="Artdef"/>
          <w:bCs/>
        </w:rPr>
        <w:t>1.17</w:t>
      </w:r>
      <w:r w:rsidRPr="00D41CE2">
        <w:tab/>
      </w:r>
      <w:proofErr w:type="gramStart"/>
      <w:r w:rsidRPr="00D41CE2">
        <w:t>to</w:t>
      </w:r>
      <w:proofErr w:type="gramEnd"/>
      <w:r w:rsidRPr="00D41CE2">
        <w:t xml:space="preserve"> consider possible spectrum requirements and regulatory actions, including appropriate aeronautical allocations, to support wireless avionics intra-communications (WAIC), in accordance with</w:t>
      </w:r>
      <w:r w:rsidRPr="00D41CE2">
        <w:rPr>
          <w:b/>
          <w:bCs/>
        </w:rPr>
        <w:t xml:space="preserve"> </w:t>
      </w:r>
      <w:r w:rsidRPr="00D41CE2">
        <w:t>Resolution</w:t>
      </w:r>
      <w:r w:rsidRPr="00D41CE2">
        <w:rPr>
          <w:b/>
          <w:bCs/>
        </w:rPr>
        <w:t xml:space="preserve"> COM6/22 (</w:t>
      </w:r>
      <w:r>
        <w:rPr>
          <w:b/>
          <w:bCs/>
        </w:rPr>
        <w:t>WRC</w:t>
      </w:r>
      <w:r>
        <w:rPr>
          <w:b/>
          <w:bCs/>
        </w:rPr>
        <w:noBreakHyphen/>
      </w:r>
      <w:r w:rsidRPr="00D41CE2">
        <w:rPr>
          <w:b/>
          <w:bCs/>
        </w:rPr>
        <w:t>12)</w:t>
      </w:r>
      <w:r w:rsidRPr="00D41CE2">
        <w:t>;</w:t>
      </w:r>
    </w:p>
    <w:p w:rsidR="009B23AF" w:rsidRPr="00D41CE2" w:rsidRDefault="009B23AF" w:rsidP="009B23AF">
      <w:r w:rsidRPr="00D41CE2">
        <w:t>1.18</w:t>
      </w:r>
      <w:r w:rsidRPr="00D41CE2">
        <w:tab/>
      </w:r>
      <w:r w:rsidRPr="00D41CE2">
        <w:rPr>
          <w:rFonts w:eastAsia="MS Mincho"/>
          <w:lang w:eastAsia="ja-JP"/>
        </w:rPr>
        <w:t xml:space="preserve">to consider a primary allocation to the radiolocation service for automotive applications in the 77.5-78.0 GHz frequency band in accordance with Resolution </w:t>
      </w:r>
      <w:r w:rsidRPr="00D41CE2">
        <w:rPr>
          <w:b/>
          <w:bCs/>
          <w:szCs w:val="24"/>
        </w:rPr>
        <w:t>COM6/23 (</w:t>
      </w:r>
      <w:r>
        <w:rPr>
          <w:b/>
          <w:bCs/>
          <w:szCs w:val="24"/>
        </w:rPr>
        <w:t>WRC</w:t>
      </w:r>
      <w:r>
        <w:rPr>
          <w:b/>
          <w:bCs/>
          <w:szCs w:val="24"/>
        </w:rPr>
        <w:noBreakHyphen/>
      </w:r>
      <w:r w:rsidRPr="00D41CE2">
        <w:rPr>
          <w:b/>
          <w:bCs/>
          <w:szCs w:val="24"/>
        </w:rPr>
        <w:t>12)</w:t>
      </w:r>
      <w:r w:rsidRPr="00D41CE2">
        <w:rPr>
          <w:rFonts w:eastAsia="MS Mincho"/>
          <w:szCs w:val="24"/>
          <w:lang w:eastAsia="ja-JP"/>
        </w:rPr>
        <w:t>;</w:t>
      </w:r>
    </w:p>
    <w:p w:rsidR="009B23AF" w:rsidRPr="00D41CE2" w:rsidRDefault="009B23AF" w:rsidP="009B23AF">
      <w:r w:rsidRPr="00D41CE2">
        <w:t>2</w:t>
      </w:r>
      <w:r w:rsidRPr="00D41CE2">
        <w:tab/>
        <w:t>to examine the revised ITU</w:t>
      </w:r>
      <w:r w:rsidRPr="00D41CE2">
        <w:noBreakHyphen/>
        <w:t>R Recommendations incorporated by reference in the Radio Regulations communicated by the Radiocommunication Assembly, in accordance with Resolution</w:t>
      </w:r>
      <w:r w:rsidRPr="00D41CE2">
        <w:rPr>
          <w:sz w:val="18"/>
          <w:szCs w:val="18"/>
        </w:rPr>
        <w:t> </w:t>
      </w:r>
      <w:r w:rsidRPr="00D41CE2">
        <w:rPr>
          <w:b/>
          <w:bCs/>
        </w:rPr>
        <w:t>28 (Rev.</w:t>
      </w:r>
      <w:r>
        <w:rPr>
          <w:b/>
          <w:bCs/>
        </w:rPr>
        <w:t>WRC</w:t>
      </w:r>
      <w:r>
        <w:rPr>
          <w:b/>
          <w:bCs/>
        </w:rPr>
        <w:noBreakHyphen/>
      </w:r>
      <w:r w:rsidRPr="00D41CE2">
        <w:rPr>
          <w:b/>
          <w:bCs/>
        </w:rPr>
        <w:t>03)</w:t>
      </w:r>
      <w:r w:rsidRPr="00D41CE2">
        <w:t>, and to decide whether or not to update the corresponding references in the Radio Regulations, in accordance with the principles contained in Annex 1 to Resolution </w:t>
      </w:r>
      <w:r w:rsidRPr="00D41CE2">
        <w:rPr>
          <w:b/>
          <w:bCs/>
        </w:rPr>
        <w:t>27 (Rev.</w:t>
      </w:r>
      <w:r>
        <w:rPr>
          <w:b/>
          <w:bCs/>
        </w:rPr>
        <w:t>WRC</w:t>
      </w:r>
      <w:r>
        <w:rPr>
          <w:b/>
          <w:bCs/>
        </w:rPr>
        <w:noBreakHyphen/>
      </w:r>
      <w:r w:rsidRPr="00D41CE2">
        <w:rPr>
          <w:b/>
          <w:bCs/>
        </w:rPr>
        <w:t>12)</w:t>
      </w:r>
      <w:r w:rsidRPr="00D41CE2">
        <w:t>;</w:t>
      </w:r>
    </w:p>
    <w:p w:rsidR="009B23AF" w:rsidRPr="00D41CE2" w:rsidRDefault="009B23AF" w:rsidP="009B23AF">
      <w:r w:rsidRPr="00D41CE2">
        <w:t>3</w:t>
      </w:r>
      <w:r w:rsidRPr="00D41CE2">
        <w:tab/>
        <w:t>to consider such consequential changes and amendments to the Radio Regulations as may be necessitated by the decisions of the Conference;</w:t>
      </w:r>
    </w:p>
    <w:p w:rsidR="009B23AF" w:rsidRPr="00D41CE2" w:rsidRDefault="009B23AF" w:rsidP="009B23AF">
      <w:r w:rsidRPr="00D41CE2">
        <w:t>4</w:t>
      </w:r>
      <w:r w:rsidRPr="00D41CE2">
        <w:tab/>
        <w:t xml:space="preserve">in accordance with Resolution </w:t>
      </w:r>
      <w:r w:rsidRPr="00D41CE2">
        <w:rPr>
          <w:b/>
          <w:bCs/>
        </w:rPr>
        <w:t>95 (Rev.</w:t>
      </w:r>
      <w:r>
        <w:rPr>
          <w:b/>
          <w:bCs/>
        </w:rPr>
        <w:t>WRC</w:t>
      </w:r>
      <w:r>
        <w:rPr>
          <w:b/>
          <w:bCs/>
        </w:rPr>
        <w:noBreakHyphen/>
      </w:r>
      <w:r w:rsidRPr="00D41CE2">
        <w:rPr>
          <w:b/>
          <w:bCs/>
        </w:rPr>
        <w:t>07)</w:t>
      </w:r>
      <w:r w:rsidRPr="00D41CE2">
        <w:t>, to review the resolutions and recommendations of previous conferences with a view to their possible revision, replacement or abrogation;</w:t>
      </w:r>
    </w:p>
    <w:p w:rsidR="009B23AF" w:rsidRPr="00D41CE2" w:rsidRDefault="009B23AF" w:rsidP="009B23AF">
      <w:r w:rsidRPr="00D41CE2">
        <w:t>5</w:t>
      </w:r>
      <w:r w:rsidRPr="00D41CE2">
        <w:tab/>
        <w:t>to review, and take appropriate action on, the Report from the Radiocommunication Assembly submitted in accordance with Nos. 135 and 136 of the Convention;</w:t>
      </w:r>
    </w:p>
    <w:p w:rsidR="009B23AF" w:rsidRPr="00D41CE2" w:rsidRDefault="009B23AF" w:rsidP="009B23AF">
      <w:r w:rsidRPr="00D41CE2">
        <w:t>6</w:t>
      </w:r>
      <w:r w:rsidRPr="00D41CE2">
        <w:tab/>
        <w:t>to identify those items requiring urgent action by the Radiocommunication Study Groups in preparation for the next world radiocommunication conference;</w:t>
      </w:r>
    </w:p>
    <w:p w:rsidR="009B23AF" w:rsidRPr="00D41CE2" w:rsidRDefault="009B23AF" w:rsidP="009B23AF">
      <w:r w:rsidRPr="00D41CE2">
        <w:t>7</w:t>
      </w:r>
      <w:r w:rsidRPr="00D41CE2">
        <w:tab/>
        <w:t xml:space="preserve">to consider possible changes, and other options, in response to Resolution 86 (Rev. Marrakesh, 2002) of the Plenipotentiary Conference, an advance publication, coordination, notification and recording procedures for frequency assignments pertaining to </w:t>
      </w:r>
      <w:r w:rsidRPr="00D41CE2">
        <w:lastRenderedPageBreak/>
        <w:t xml:space="preserve">satellite networks, in accordance with Resolution </w:t>
      </w:r>
      <w:r w:rsidRPr="00D41CE2">
        <w:rPr>
          <w:b/>
          <w:bCs/>
        </w:rPr>
        <w:t xml:space="preserve">86 </w:t>
      </w:r>
      <w:r w:rsidRPr="00D41CE2">
        <w:rPr>
          <w:b/>
          <w:bCs/>
          <w:lang w:eastAsia="ja-JP"/>
        </w:rPr>
        <w:t>(Rev.</w:t>
      </w:r>
      <w:r>
        <w:rPr>
          <w:b/>
          <w:bCs/>
          <w:lang w:eastAsia="ja-JP"/>
        </w:rPr>
        <w:t>WRC</w:t>
      </w:r>
      <w:r>
        <w:rPr>
          <w:b/>
          <w:bCs/>
          <w:lang w:eastAsia="ja-JP"/>
        </w:rPr>
        <w:noBreakHyphen/>
      </w:r>
      <w:r w:rsidRPr="00D41CE2">
        <w:rPr>
          <w:b/>
          <w:bCs/>
          <w:lang w:eastAsia="ja-JP"/>
        </w:rPr>
        <w:t>07)</w:t>
      </w:r>
      <w:r w:rsidRPr="00D41CE2">
        <w:rPr>
          <w:lang w:eastAsia="ja-JP"/>
        </w:rPr>
        <w:t xml:space="preserve"> to facilitate rational, efficient, and economical use of radio frequencies and any associated orbits, including the geostationary</w:t>
      </w:r>
      <w:r w:rsidRPr="00D41CE2">
        <w:rPr>
          <w:lang w:eastAsia="ja-JP"/>
        </w:rPr>
        <w:noBreakHyphen/>
        <w:t>satellite orbit</w:t>
      </w:r>
      <w:r w:rsidRPr="00D41CE2">
        <w:t>;</w:t>
      </w:r>
    </w:p>
    <w:p w:rsidR="009B23AF" w:rsidRPr="00D41CE2" w:rsidRDefault="009B23AF" w:rsidP="009B23AF">
      <w:r w:rsidRPr="00D41CE2">
        <w:t>8</w:t>
      </w:r>
      <w:r w:rsidRPr="00D41CE2">
        <w:tab/>
        <w:t>to consider and take appropriate action on requests from administrations to delete their country footnotes or to have their country name deleted from footnotes, if no longer required, taking into account Resolution </w:t>
      </w:r>
      <w:r w:rsidRPr="00D41CE2">
        <w:rPr>
          <w:b/>
          <w:bCs/>
        </w:rPr>
        <w:t>26 (Rev.</w:t>
      </w:r>
      <w:r>
        <w:rPr>
          <w:b/>
          <w:bCs/>
        </w:rPr>
        <w:t>WRC</w:t>
      </w:r>
      <w:r>
        <w:rPr>
          <w:b/>
          <w:bCs/>
        </w:rPr>
        <w:noBreakHyphen/>
      </w:r>
      <w:r w:rsidRPr="00D41CE2">
        <w:rPr>
          <w:b/>
          <w:bCs/>
        </w:rPr>
        <w:t>07)</w:t>
      </w:r>
      <w:r w:rsidRPr="00D41CE2">
        <w:t>;</w:t>
      </w:r>
    </w:p>
    <w:p w:rsidR="009B23AF" w:rsidRPr="00D41CE2" w:rsidRDefault="009B23AF" w:rsidP="009B23AF">
      <w:r w:rsidRPr="00D41CE2">
        <w:t>9</w:t>
      </w:r>
      <w:r w:rsidRPr="00D41CE2">
        <w:tab/>
        <w:t>to consider and approve the Report of the Director of the Radiocommunication Bureau, in accordance with Article 7 of the Convention:</w:t>
      </w:r>
    </w:p>
    <w:p w:rsidR="009B23AF" w:rsidRPr="00D41CE2" w:rsidRDefault="009B23AF" w:rsidP="009B23AF">
      <w:r w:rsidRPr="00D41CE2">
        <w:t>9.1</w:t>
      </w:r>
      <w:r w:rsidRPr="00D41CE2">
        <w:tab/>
        <w:t xml:space="preserve">on the activities of the Radiocommunication Sector since </w:t>
      </w:r>
      <w:r>
        <w:t>WRC</w:t>
      </w:r>
      <w:r>
        <w:noBreakHyphen/>
      </w:r>
      <w:r w:rsidRPr="00D41CE2">
        <w:t>12;</w:t>
      </w:r>
    </w:p>
    <w:p w:rsidR="009B23AF" w:rsidRPr="00D41CE2" w:rsidRDefault="009B23AF" w:rsidP="009B23AF">
      <w:r w:rsidRPr="00D41CE2">
        <w:t>9.2</w:t>
      </w:r>
      <w:r w:rsidRPr="00D41CE2">
        <w:tab/>
        <w:t>on any difficulties or inconsistencies encountered in the application of the Radio Regulations; and</w:t>
      </w:r>
    </w:p>
    <w:p w:rsidR="009B23AF" w:rsidRPr="00D41CE2" w:rsidRDefault="009B23AF" w:rsidP="009B23AF">
      <w:r w:rsidRPr="00D41CE2">
        <w:t>9.3</w:t>
      </w:r>
      <w:r w:rsidRPr="00D41CE2">
        <w:tab/>
        <w:t xml:space="preserve">on action in response to Resolution </w:t>
      </w:r>
      <w:r w:rsidRPr="00D41CE2">
        <w:rPr>
          <w:b/>
          <w:bCs/>
        </w:rPr>
        <w:t>80 (Rev.</w:t>
      </w:r>
      <w:r>
        <w:rPr>
          <w:b/>
          <w:bCs/>
        </w:rPr>
        <w:t>WRC</w:t>
      </w:r>
      <w:r>
        <w:rPr>
          <w:b/>
          <w:bCs/>
        </w:rPr>
        <w:noBreakHyphen/>
      </w:r>
      <w:r w:rsidRPr="00D41CE2">
        <w:rPr>
          <w:b/>
          <w:bCs/>
        </w:rPr>
        <w:t>07)</w:t>
      </w:r>
      <w:r w:rsidRPr="00D41CE2">
        <w:t>;</w:t>
      </w:r>
    </w:p>
    <w:p w:rsidR="009B23AF" w:rsidRPr="00D41CE2" w:rsidRDefault="009B23AF" w:rsidP="009B23AF">
      <w:r w:rsidRPr="00D41CE2">
        <w:t>10</w:t>
      </w:r>
      <w:r w:rsidRPr="00D41CE2">
        <w:rPr>
          <w:b/>
          <w:bCs/>
        </w:rPr>
        <w:tab/>
      </w:r>
      <w:r w:rsidRPr="00D41CE2">
        <w:t>to recommend to the Council items for inclusion in the agenda for the next WRC, and to give its views on the preliminary agenda for the subsequent conference and on possible agenda items for future conferences, in accordance with Article 7 of the Convention,</w:t>
      </w:r>
    </w:p>
    <w:p w:rsidR="009B23AF" w:rsidRPr="00D41CE2" w:rsidRDefault="009B23AF" w:rsidP="009B23AF">
      <w:pPr>
        <w:pStyle w:val="Call"/>
      </w:pPr>
      <w:proofErr w:type="gramStart"/>
      <w:r w:rsidRPr="00D41CE2">
        <w:t>resolves</w:t>
      </w:r>
      <w:proofErr w:type="gramEnd"/>
      <w:r w:rsidRPr="00D41CE2">
        <w:t xml:space="preserve"> further</w:t>
      </w:r>
    </w:p>
    <w:p w:rsidR="009B23AF" w:rsidRPr="00D41CE2" w:rsidRDefault="009B23AF" w:rsidP="009B23AF">
      <w:r w:rsidRPr="00D41CE2">
        <w:t>to activate the Conference Preparatory Meeting,</w:t>
      </w:r>
    </w:p>
    <w:p w:rsidR="009B23AF" w:rsidRPr="00D41CE2" w:rsidRDefault="009B23AF" w:rsidP="009B23AF">
      <w:pPr>
        <w:pStyle w:val="Call"/>
      </w:pPr>
      <w:proofErr w:type="gramStart"/>
      <w:r w:rsidRPr="00D41CE2">
        <w:t>invites</w:t>
      </w:r>
      <w:proofErr w:type="gramEnd"/>
      <w:r w:rsidRPr="00D41CE2">
        <w:t xml:space="preserve"> the Council</w:t>
      </w:r>
    </w:p>
    <w:p w:rsidR="009B23AF" w:rsidRPr="00D41CE2" w:rsidRDefault="009B23AF" w:rsidP="009B23AF">
      <w:r w:rsidRPr="00D41CE2">
        <w:t xml:space="preserve">to finalize the agenda and arrange for the convening of </w:t>
      </w:r>
      <w:r>
        <w:t>WRC</w:t>
      </w:r>
      <w:r>
        <w:noBreakHyphen/>
      </w:r>
      <w:r w:rsidRPr="00D41CE2">
        <w:t>15, and to initiate as soon as possible the necessary consultations with Member States,</w:t>
      </w:r>
    </w:p>
    <w:p w:rsidR="009B23AF" w:rsidRPr="00D41CE2" w:rsidRDefault="009B23AF" w:rsidP="009B23AF">
      <w:pPr>
        <w:pStyle w:val="Call"/>
      </w:pPr>
      <w:proofErr w:type="gramStart"/>
      <w:r w:rsidRPr="00D41CE2">
        <w:t>instructs</w:t>
      </w:r>
      <w:proofErr w:type="gramEnd"/>
      <w:r w:rsidRPr="00D41CE2">
        <w:t xml:space="preserve"> the Director of the Radiocommunication Bureau</w:t>
      </w:r>
    </w:p>
    <w:p w:rsidR="009B23AF" w:rsidRPr="00D41CE2" w:rsidRDefault="009B23AF" w:rsidP="009B23AF">
      <w:r w:rsidRPr="00D41CE2">
        <w:t xml:space="preserve">to make the necessary arrangements to convene meetings of the Conference Preparatory Meeting and to prepare a report to </w:t>
      </w:r>
      <w:r>
        <w:t>WRC</w:t>
      </w:r>
      <w:r>
        <w:noBreakHyphen/>
      </w:r>
      <w:r w:rsidRPr="00D41CE2">
        <w:t>15,</w:t>
      </w:r>
    </w:p>
    <w:p w:rsidR="009B23AF" w:rsidRPr="00D41CE2" w:rsidRDefault="009B23AF" w:rsidP="009B23AF">
      <w:pPr>
        <w:pStyle w:val="Call"/>
      </w:pPr>
      <w:proofErr w:type="gramStart"/>
      <w:r w:rsidRPr="00D41CE2">
        <w:t>instructs</w:t>
      </w:r>
      <w:proofErr w:type="gramEnd"/>
      <w:r w:rsidRPr="00D41CE2">
        <w:t xml:space="preserve"> the Secretary-General</w:t>
      </w:r>
    </w:p>
    <w:p w:rsidR="009B23AF" w:rsidRPr="00D41CE2" w:rsidRDefault="009B23AF" w:rsidP="009B23AF">
      <w:r w:rsidRPr="00D41CE2">
        <w:t>to communicate this Resolution to international and regional organizations concerned.</w:t>
      </w:r>
    </w:p>
    <w:p w:rsidR="009B23AF" w:rsidRDefault="009B23AF" w:rsidP="009B23AF">
      <w:pPr>
        <w:pStyle w:val="Reasons"/>
      </w:pPr>
    </w:p>
    <w:p w:rsidR="009B23AF" w:rsidRDefault="009B23AF">
      <w:pPr>
        <w:overflowPunct/>
        <w:autoSpaceDE/>
        <w:autoSpaceDN/>
        <w:adjustRightInd/>
        <w:textAlignment w:val="auto"/>
        <w:rPr>
          <w:lang w:val="en-GB"/>
        </w:rPr>
      </w:pPr>
      <w:r>
        <w:rPr>
          <w:lang w:val="en-GB"/>
        </w:rPr>
        <w:br w:type="page"/>
      </w:r>
    </w:p>
    <w:p w:rsidR="009B23AF" w:rsidRPr="009B23AF" w:rsidRDefault="009B23AF" w:rsidP="009B23AF">
      <w:pPr>
        <w:pStyle w:val="ResNo"/>
      </w:pPr>
      <w:r w:rsidRPr="009B23AF">
        <w:lastRenderedPageBreak/>
        <w:t>RESOLUTION COM6/8 (WRC</w:t>
      </w:r>
      <w:r w:rsidRPr="009B23AF">
        <w:noBreakHyphen/>
        <w:t>12)</w:t>
      </w:r>
    </w:p>
    <w:p w:rsidR="009B23AF" w:rsidRPr="009B23AF" w:rsidRDefault="009B23AF" w:rsidP="009B23AF">
      <w:pPr>
        <w:pStyle w:val="Restitle"/>
      </w:pPr>
      <w:r w:rsidRPr="009B23AF">
        <w:t xml:space="preserve">Studies on frequency-related matters on International Mobile </w:t>
      </w:r>
      <w:r w:rsidRPr="009B23AF">
        <w:br/>
        <w:t xml:space="preserve">Telecommunications and other terrestrial </w:t>
      </w:r>
      <w:r w:rsidRPr="009B23AF">
        <w:br/>
        <w:t>mobile broadband applications</w:t>
      </w:r>
    </w:p>
    <w:p w:rsidR="009B23AF" w:rsidRPr="009B23AF" w:rsidRDefault="009B23AF" w:rsidP="009B23AF">
      <w:pPr>
        <w:pStyle w:val="Normalaftertitle"/>
        <w:keepNext/>
        <w:rPr>
          <w:szCs w:val="24"/>
          <w:lang w:eastAsia="nl-NL"/>
        </w:rPr>
      </w:pPr>
      <w:r w:rsidRPr="009B23AF">
        <w:rPr>
          <w:szCs w:val="24"/>
          <w:lang w:eastAsia="nl-NL"/>
        </w:rPr>
        <w:t xml:space="preserve">The World </w:t>
      </w:r>
      <w:r w:rsidRPr="009B23AF">
        <w:rPr>
          <w:szCs w:val="24"/>
        </w:rPr>
        <w:t>Radiocommunication</w:t>
      </w:r>
      <w:r w:rsidRPr="009B23AF">
        <w:rPr>
          <w:szCs w:val="24"/>
          <w:lang w:eastAsia="nl-NL"/>
        </w:rPr>
        <w:t xml:space="preserve"> Conference (Geneva, 2012),</w:t>
      </w:r>
    </w:p>
    <w:p w:rsidR="009B23AF" w:rsidRPr="009B23AF" w:rsidRDefault="009B23AF" w:rsidP="009B23AF">
      <w:pPr>
        <w:pStyle w:val="Call"/>
      </w:pPr>
      <w:proofErr w:type="gramStart"/>
      <w:r w:rsidRPr="009B23AF">
        <w:t>considering</w:t>
      </w:r>
      <w:proofErr w:type="gramEnd"/>
    </w:p>
    <w:p w:rsidR="009B23AF" w:rsidRPr="009B23AF" w:rsidRDefault="009B23AF" w:rsidP="009B23AF">
      <w:r w:rsidRPr="009B23AF">
        <w:rPr>
          <w:i/>
          <w:iCs/>
        </w:rPr>
        <w:t>a)</w:t>
      </w:r>
      <w:r w:rsidRPr="009B23AF">
        <w:tab/>
        <w:t>that since WRC</w:t>
      </w:r>
      <w:r w:rsidRPr="009B23AF">
        <w:noBreakHyphen/>
        <w:t>07 there has been tremendous growth in the demand for mobile broadband applications with multimedia capabilities;</w:t>
      </w:r>
      <w:r w:rsidRPr="009B23AF" w:rsidDel="00C901B7">
        <w:t xml:space="preserve"> </w:t>
      </w:r>
    </w:p>
    <w:p w:rsidR="009B23AF" w:rsidRPr="009B23AF" w:rsidRDefault="009B23AF" w:rsidP="009B23AF">
      <w:r w:rsidRPr="009B23AF">
        <w:rPr>
          <w:i/>
        </w:rPr>
        <w:t>b)</w:t>
      </w:r>
      <w:r w:rsidRPr="009B23AF">
        <w:rPr>
          <w:i/>
        </w:rPr>
        <w:tab/>
      </w:r>
      <w:r w:rsidRPr="009B23AF">
        <w:t xml:space="preserve">that International Mobile Telecommunications (IMT) systems have been the main method of delivering wide area mobile broadband applications; </w:t>
      </w:r>
    </w:p>
    <w:p w:rsidR="009B23AF" w:rsidRPr="009B23AF" w:rsidRDefault="009B23AF" w:rsidP="009B23AF">
      <w:r w:rsidRPr="009B23AF">
        <w:rPr>
          <w:i/>
        </w:rPr>
        <w:t>c)</w:t>
      </w:r>
      <w:r w:rsidRPr="009B23AF">
        <w:tab/>
        <w:t>that IMT and other mobile broadband systems contribute to global economic and social development by providing a wide range of multimedia applications, such as mobile telemedicine, teleworking, distance learning and other applications;</w:t>
      </w:r>
    </w:p>
    <w:p w:rsidR="009B23AF" w:rsidRPr="009B23AF" w:rsidRDefault="009B23AF" w:rsidP="009B23AF">
      <w:r w:rsidRPr="009B23AF">
        <w:rPr>
          <w:i/>
          <w:iCs/>
        </w:rPr>
        <w:t>d)</w:t>
      </w:r>
      <w:r w:rsidRPr="009B23AF">
        <w:tab/>
        <w:t>that in all countries where IMT systems are deployed there is a continuing significant growth in the number of users of IMT systems and in the quantity and rate of data carried, the latter being driven to a large extent by audiovisual content;</w:t>
      </w:r>
    </w:p>
    <w:p w:rsidR="009B23AF" w:rsidRPr="009B23AF" w:rsidRDefault="009B23AF" w:rsidP="009B23AF">
      <w:r w:rsidRPr="009B23AF">
        <w:rPr>
          <w:i/>
        </w:rPr>
        <w:t>e)</w:t>
      </w:r>
      <w:r w:rsidRPr="009B23AF">
        <w:tab/>
        <w:t>that IMT and other mobile broadband systems could help reduce the digital divide between urban and rural areas, including underserved communities;</w:t>
      </w:r>
    </w:p>
    <w:p w:rsidR="009B23AF" w:rsidRPr="009B23AF" w:rsidRDefault="009B23AF" w:rsidP="009B23AF">
      <w:r w:rsidRPr="009B23AF">
        <w:rPr>
          <w:i/>
        </w:rPr>
        <w:t>f)</w:t>
      </w:r>
      <w:r w:rsidRPr="009B23AF">
        <w:tab/>
        <w:t>that in many developing markets the main delivery mechanism for broadband access is expected to be through mobile devices;</w:t>
      </w:r>
    </w:p>
    <w:p w:rsidR="009B23AF" w:rsidRPr="009B23AF" w:rsidRDefault="009B23AF" w:rsidP="009B23AF">
      <w:r w:rsidRPr="009B23AF">
        <w:rPr>
          <w:i/>
        </w:rPr>
        <w:t>g)</w:t>
      </w:r>
      <w:r w:rsidRPr="009B23AF">
        <w:t xml:space="preserve"> </w:t>
      </w:r>
      <w:r w:rsidRPr="009B23AF">
        <w:tab/>
        <w:t>that other radiocommunication systems, such as radio local area networks (RLANs), support a wide range of mobile broadband applications;</w:t>
      </w:r>
    </w:p>
    <w:p w:rsidR="009B23AF" w:rsidRPr="009B23AF" w:rsidRDefault="009B23AF" w:rsidP="009B23AF">
      <w:r w:rsidRPr="009B23AF">
        <w:rPr>
          <w:i/>
        </w:rPr>
        <w:t>h)</w:t>
      </w:r>
      <w:r w:rsidRPr="009B23AF">
        <w:rPr>
          <w:i/>
        </w:rPr>
        <w:tab/>
      </w:r>
      <w:r w:rsidRPr="009B23AF">
        <w:t>that adequate and timely availability of spectrum and supporting regulatory provisions is essential to support future growth of IMT and other mobile broadband systems;</w:t>
      </w:r>
    </w:p>
    <w:p w:rsidR="009B23AF" w:rsidRPr="009B23AF" w:rsidRDefault="009B23AF" w:rsidP="009B23AF">
      <w:r w:rsidRPr="009B23AF">
        <w:rPr>
          <w:i/>
        </w:rPr>
        <w:t>i)</w:t>
      </w:r>
      <w:r w:rsidRPr="009B23AF">
        <w:tab/>
        <w:t>that there is a need to continually take advantage of technological developments in order to increase the efficient use of spectrum and facilitate spectrum access;</w:t>
      </w:r>
    </w:p>
    <w:p w:rsidR="009B23AF" w:rsidRPr="009B23AF" w:rsidRDefault="009B23AF" w:rsidP="009B23AF">
      <w:r w:rsidRPr="009B23AF">
        <w:rPr>
          <w:i/>
          <w:color w:val="000000" w:themeColor="text1"/>
        </w:rPr>
        <w:t>j)</w:t>
      </w:r>
      <w:r w:rsidRPr="009B23AF">
        <w:rPr>
          <w:i/>
          <w:color w:val="000000" w:themeColor="text1"/>
        </w:rPr>
        <w:tab/>
      </w:r>
      <w:r w:rsidRPr="009B23AF">
        <w:t xml:space="preserve">that harmonized worldwide bands and harmonized frequency arrangements for IMT and other mobile broadband systems are highly desirable in order to achieve global roaming and the benefits of economies of scale; </w:t>
      </w:r>
    </w:p>
    <w:p w:rsidR="009B23AF" w:rsidRPr="009B23AF" w:rsidRDefault="009B23AF" w:rsidP="009B23AF">
      <w:r w:rsidRPr="009B23AF">
        <w:rPr>
          <w:i/>
          <w:color w:val="000000" w:themeColor="text1"/>
        </w:rPr>
        <w:t>k)</w:t>
      </w:r>
      <w:r w:rsidRPr="009B23AF">
        <w:tab/>
        <w:t>that many countries have not yet made available spectrum already identified in the Radio Regulations for IMT, for various reasons, including the use of this spectrum by other systems and services;</w:t>
      </w:r>
    </w:p>
    <w:p w:rsidR="009B23AF" w:rsidRPr="009B23AF" w:rsidRDefault="009B23AF" w:rsidP="009B23AF">
      <w:r w:rsidRPr="009B23AF">
        <w:rPr>
          <w:i/>
        </w:rPr>
        <w:t>l)</w:t>
      </w:r>
      <w:r w:rsidRPr="009B23AF">
        <w:tab/>
        <w:t>that proximity to bands already identified for IMT may lead to reduced complexity in equipment design;</w:t>
      </w:r>
    </w:p>
    <w:p w:rsidR="009B23AF" w:rsidRPr="009B23AF" w:rsidRDefault="009B23AF" w:rsidP="009B23AF">
      <w:pPr>
        <w:rPr>
          <w:rFonts w:eastAsia="MS Mincho"/>
          <w:lang w:eastAsia="ja-JP"/>
        </w:rPr>
      </w:pPr>
      <w:r w:rsidRPr="009B23AF">
        <w:rPr>
          <w:rFonts w:eastAsia="MS Mincho"/>
          <w:i/>
          <w:lang w:eastAsia="ja-JP"/>
        </w:rPr>
        <w:t>m)</w:t>
      </w:r>
      <w:r w:rsidRPr="009B23AF">
        <w:rPr>
          <w:rFonts w:eastAsia="MS Mincho"/>
          <w:lang w:eastAsia="ja-JP"/>
        </w:rPr>
        <w:tab/>
        <w:t>the need to protect existing services when considering frequency bands for possible additional allocations to any service;</w:t>
      </w:r>
    </w:p>
    <w:p w:rsidR="009B23AF" w:rsidRPr="009B23AF" w:rsidRDefault="009B23AF" w:rsidP="009B23AF">
      <w:r w:rsidRPr="009B23AF">
        <w:rPr>
          <w:rFonts w:eastAsia="MS Mincho"/>
          <w:i/>
          <w:color w:val="000000" w:themeColor="text1"/>
          <w:lang w:eastAsia="ja-JP"/>
        </w:rPr>
        <w:t>n)</w:t>
      </w:r>
      <w:r w:rsidRPr="009B23AF">
        <w:rPr>
          <w:i/>
          <w:color w:val="000000" w:themeColor="text1"/>
        </w:rPr>
        <w:tab/>
      </w:r>
      <w:r w:rsidRPr="009B23AF">
        <w:t>that frequency-related matters for IMT in certain frequency bands below 6 GHz were studied in preparation for WRC</w:t>
      </w:r>
      <w:r w:rsidRPr="009B23AF">
        <w:noBreakHyphen/>
        <w:t>07, and WRC</w:t>
      </w:r>
      <w:r w:rsidRPr="009B23AF">
        <w:noBreakHyphen/>
        <w:t>07 decided upon technical conditions and regulatory procedures in some of these bands;</w:t>
      </w:r>
    </w:p>
    <w:p w:rsidR="009B23AF" w:rsidRPr="009B23AF" w:rsidRDefault="009B23AF" w:rsidP="009B23AF">
      <w:pPr>
        <w:rPr>
          <w:rFonts w:eastAsia="MS Mincho"/>
          <w:color w:val="000000" w:themeColor="text1"/>
          <w:lang w:eastAsia="ja-JP"/>
        </w:rPr>
      </w:pPr>
      <w:r w:rsidRPr="009B23AF">
        <w:rPr>
          <w:rFonts w:eastAsia="MS Mincho"/>
          <w:i/>
          <w:color w:val="000000" w:themeColor="text1"/>
          <w:lang w:eastAsia="ja-JP"/>
        </w:rPr>
        <w:t>o)</w:t>
      </w:r>
      <w:r w:rsidRPr="009B23AF">
        <w:rPr>
          <w:rFonts w:eastAsia="MS Mincho"/>
          <w:color w:val="000000" w:themeColor="text1"/>
          <w:lang w:eastAsia="ja-JP"/>
        </w:rPr>
        <w:tab/>
        <w:t>Report ITU</w:t>
      </w:r>
      <w:r w:rsidRPr="009B23AF">
        <w:rPr>
          <w:rFonts w:eastAsia="MS Mincho"/>
          <w:color w:val="000000" w:themeColor="text1"/>
          <w:lang w:eastAsia="ja-JP"/>
        </w:rPr>
        <w:noBreakHyphen/>
        <w:t>R M.2109, on sharing studies between IMT-Advanced systems and geostationary-satellite networks in the fixed-satellite service in the 3 400-4 200 and 4 500-4 800 MHz frequency bands;</w:t>
      </w:r>
    </w:p>
    <w:p w:rsidR="009B23AF" w:rsidRPr="009B23AF" w:rsidRDefault="009B23AF" w:rsidP="009B23AF">
      <w:pPr>
        <w:rPr>
          <w:rFonts w:eastAsia="MS Mincho"/>
          <w:color w:val="000000" w:themeColor="text1"/>
          <w:lang w:eastAsia="ja-JP"/>
        </w:rPr>
      </w:pPr>
      <w:r w:rsidRPr="009B23AF">
        <w:rPr>
          <w:rFonts w:eastAsia="MS Mincho"/>
          <w:i/>
          <w:color w:val="000000" w:themeColor="text1"/>
          <w:lang w:eastAsia="ja-JP"/>
        </w:rPr>
        <w:t>p)</w:t>
      </w:r>
      <w:r w:rsidRPr="009B23AF">
        <w:rPr>
          <w:rFonts w:eastAsia="MS Mincho"/>
          <w:color w:val="000000" w:themeColor="text1"/>
          <w:lang w:eastAsia="ja-JP"/>
        </w:rPr>
        <w:tab/>
        <w:t>Report ITU</w:t>
      </w:r>
      <w:r w:rsidRPr="009B23AF">
        <w:rPr>
          <w:rFonts w:eastAsia="MS Mincho"/>
          <w:color w:val="000000" w:themeColor="text1"/>
          <w:lang w:eastAsia="ja-JP"/>
        </w:rPr>
        <w:noBreakHyphen/>
        <w:t>R M.2110, on sharing studies between radiocommunication services and IMT systems operating in the 450-470 MHz band;</w:t>
      </w:r>
    </w:p>
    <w:p w:rsidR="009B23AF" w:rsidRPr="009B23AF" w:rsidRDefault="009B23AF" w:rsidP="009B23AF">
      <w:pPr>
        <w:rPr>
          <w:rFonts w:eastAsia="MS Mincho"/>
          <w:color w:val="000000" w:themeColor="text1"/>
          <w:lang w:eastAsia="ja-JP"/>
        </w:rPr>
      </w:pPr>
      <w:r w:rsidRPr="009B23AF">
        <w:rPr>
          <w:rFonts w:eastAsia="MS Mincho"/>
          <w:i/>
          <w:color w:val="000000" w:themeColor="text1"/>
          <w:lang w:eastAsia="ja-JP"/>
        </w:rPr>
        <w:t>q)</w:t>
      </w:r>
      <w:r w:rsidRPr="009B23AF">
        <w:rPr>
          <w:rFonts w:eastAsia="MS Mincho"/>
          <w:color w:val="000000" w:themeColor="text1"/>
          <w:lang w:eastAsia="ja-JP"/>
        </w:rPr>
        <w:tab/>
        <w:t>Report ITU</w:t>
      </w:r>
      <w:r w:rsidRPr="009B23AF">
        <w:rPr>
          <w:rFonts w:eastAsia="MS Mincho"/>
          <w:color w:val="000000" w:themeColor="text1"/>
          <w:lang w:eastAsia="ja-JP"/>
        </w:rPr>
        <w:noBreakHyphen/>
        <w:t>R M.2111, on sharing studies between IMT-Advanced and the radiolocation service in the 3 400-3 700 MHz bands;</w:t>
      </w:r>
    </w:p>
    <w:p w:rsidR="009B23AF" w:rsidRPr="009B23AF" w:rsidRDefault="009B23AF" w:rsidP="009B23AF">
      <w:r w:rsidRPr="009B23AF">
        <w:rPr>
          <w:rFonts w:eastAsia="MS Mincho"/>
          <w:i/>
          <w:color w:val="000000" w:themeColor="text1"/>
          <w:lang w:eastAsia="ja-JP"/>
        </w:rPr>
        <w:t>r)</w:t>
      </w:r>
      <w:r w:rsidRPr="009B23AF">
        <w:rPr>
          <w:rFonts w:eastAsia="MS Mincho"/>
          <w:color w:val="000000" w:themeColor="text1"/>
          <w:lang w:eastAsia="ja-JP"/>
        </w:rPr>
        <w:tab/>
        <w:t>Report ITU</w:t>
      </w:r>
      <w:r w:rsidRPr="009B23AF">
        <w:rPr>
          <w:rFonts w:eastAsia="MS Mincho"/>
          <w:color w:val="000000" w:themeColor="text1"/>
          <w:lang w:eastAsia="ja-JP"/>
        </w:rPr>
        <w:noBreakHyphen/>
        <w:t>R M.2112, on compatibility/sharing of airport surveillance radars and meteorological radar with IMT systems within the 2 700-2 900 MHz band,</w:t>
      </w:r>
    </w:p>
    <w:p w:rsidR="009B23AF" w:rsidRPr="009B23AF" w:rsidRDefault="009B23AF" w:rsidP="009B23AF">
      <w:pPr>
        <w:pStyle w:val="Call"/>
      </w:pPr>
      <w:proofErr w:type="gramStart"/>
      <w:r w:rsidRPr="009B23AF">
        <w:lastRenderedPageBreak/>
        <w:t>noting</w:t>
      </w:r>
      <w:proofErr w:type="gramEnd"/>
    </w:p>
    <w:p w:rsidR="009B23AF" w:rsidRPr="009B23AF" w:rsidRDefault="009B23AF" w:rsidP="009B23AF">
      <w:r w:rsidRPr="009B23AF">
        <w:rPr>
          <w:i/>
        </w:rPr>
        <w:t>a)</w:t>
      </w:r>
      <w:r w:rsidRPr="009B23AF">
        <w:t xml:space="preserve"> </w:t>
      </w:r>
      <w:r w:rsidRPr="009B23AF">
        <w:tab/>
        <w:t>that Report ITU</w:t>
      </w:r>
      <w:r w:rsidRPr="009B23AF">
        <w:noBreakHyphen/>
        <w:t>R M.2078, on spectrum estimates for IMT, approved in 2006, predicted total spectrum requirements for 2020 to be 1 280 MHz and 1 720 MHz for low and high user demand scenarios, respectively;</w:t>
      </w:r>
    </w:p>
    <w:p w:rsidR="009B23AF" w:rsidRPr="009B23AF" w:rsidRDefault="009B23AF" w:rsidP="009B23AF">
      <w:r w:rsidRPr="009B23AF">
        <w:rPr>
          <w:i/>
        </w:rPr>
        <w:t>b)</w:t>
      </w:r>
      <w:r w:rsidRPr="009B23AF">
        <w:tab/>
        <w:t>that Report ITU</w:t>
      </w:r>
      <w:r w:rsidRPr="009B23AF">
        <w:noBreakHyphen/>
        <w:t>R M.2243, approved in 2011, contains an assessment of the global mobile broadband deployments and forecasts for IMT;</w:t>
      </w:r>
    </w:p>
    <w:p w:rsidR="009B23AF" w:rsidRPr="009B23AF" w:rsidRDefault="009B23AF" w:rsidP="009B23AF">
      <w:pPr>
        <w:rPr>
          <w:lang w:eastAsia="nl-NL"/>
        </w:rPr>
      </w:pPr>
      <w:r w:rsidRPr="009B23AF">
        <w:rPr>
          <w:i/>
        </w:rPr>
        <w:t>c)</w:t>
      </w:r>
      <w:r w:rsidRPr="009B23AF">
        <w:tab/>
        <w:t>that IMT encompasses both IMT-2000 and IMT-Advanced collectively, as described in Resolution ITU</w:t>
      </w:r>
      <w:r w:rsidRPr="009B23AF">
        <w:noBreakHyphen/>
        <w:t>R 56;</w:t>
      </w:r>
    </w:p>
    <w:p w:rsidR="009B23AF" w:rsidRPr="009B23AF" w:rsidRDefault="009B23AF" w:rsidP="009B23AF">
      <w:r w:rsidRPr="009B23AF">
        <w:rPr>
          <w:i/>
        </w:rPr>
        <w:t>d)</w:t>
      </w:r>
      <w:r w:rsidRPr="009B23AF">
        <w:tab/>
        <w:t>that Resolution ITU</w:t>
      </w:r>
      <w:r w:rsidRPr="009B23AF">
        <w:noBreakHyphen/>
        <w:t>R 57 addresses the principles for the process of development of IMT-Advanced, and Question ITU</w:t>
      </w:r>
      <w:r w:rsidRPr="009B23AF">
        <w:noBreakHyphen/>
        <w:t>R 77</w:t>
      </w:r>
      <w:r w:rsidRPr="009B23AF">
        <w:noBreakHyphen/>
        <w:t>7/5 considers the needs of developing countries in the development and implementation of IMT;</w:t>
      </w:r>
    </w:p>
    <w:p w:rsidR="009B23AF" w:rsidRPr="009B23AF" w:rsidRDefault="009B23AF" w:rsidP="009B23AF">
      <w:pPr>
        <w:rPr>
          <w:lang w:eastAsia="nl-NL"/>
        </w:rPr>
      </w:pPr>
      <w:r w:rsidRPr="009B23AF">
        <w:rPr>
          <w:i/>
        </w:rPr>
        <w:t>e)</w:t>
      </w:r>
      <w:r w:rsidRPr="009B23AF">
        <w:tab/>
        <w:t>that Question ITU</w:t>
      </w:r>
      <w:r w:rsidRPr="009B23AF">
        <w:noBreakHyphen/>
        <w:t>R 229</w:t>
      </w:r>
      <w:r w:rsidRPr="009B23AF">
        <w:noBreakHyphen/>
        <w:t>3/5 seeks to address the further development of IMT;</w:t>
      </w:r>
    </w:p>
    <w:p w:rsidR="009B23AF" w:rsidRPr="009B23AF" w:rsidRDefault="009B23AF" w:rsidP="009B23AF">
      <w:pPr>
        <w:rPr>
          <w:lang w:eastAsia="nl-NL"/>
        </w:rPr>
      </w:pPr>
      <w:r w:rsidRPr="009B23AF">
        <w:rPr>
          <w:i/>
        </w:rPr>
        <w:t>f)</w:t>
      </w:r>
      <w:r w:rsidRPr="009B23AF">
        <w:rPr>
          <w:i/>
        </w:rPr>
        <w:tab/>
      </w:r>
      <w:r w:rsidRPr="009B23AF">
        <w:rPr>
          <w:rFonts w:eastAsia="Malgun Gothic"/>
          <w:lang w:eastAsia="ko-KR"/>
        </w:rPr>
        <w:t xml:space="preserve">that Recommendations </w:t>
      </w:r>
      <w:r w:rsidRPr="009B23AF">
        <w:rPr>
          <w:rFonts w:eastAsia="MS Mincho"/>
          <w:lang w:eastAsia="ja-JP"/>
        </w:rPr>
        <w:t>ITU</w:t>
      </w:r>
      <w:r w:rsidRPr="009B23AF">
        <w:rPr>
          <w:rFonts w:eastAsia="MS Mincho"/>
          <w:lang w:eastAsia="ja-JP"/>
        </w:rPr>
        <w:noBreakHyphen/>
        <w:t>R M.1457 and ITU</w:t>
      </w:r>
      <w:r w:rsidRPr="009B23AF">
        <w:rPr>
          <w:rFonts w:eastAsia="MS Mincho"/>
          <w:lang w:eastAsia="ja-JP"/>
        </w:rPr>
        <w:noBreakHyphen/>
        <w:t>R M.2012 contain</w:t>
      </w:r>
      <w:r w:rsidRPr="009B23AF">
        <w:rPr>
          <w:rFonts w:eastAsia="Malgun Gothic"/>
          <w:lang w:eastAsia="ko-KR"/>
        </w:rPr>
        <w:t xml:space="preserve"> detailed specifications of </w:t>
      </w:r>
      <w:r w:rsidRPr="009B23AF">
        <w:rPr>
          <w:rFonts w:eastAsia="MS Mincho"/>
          <w:lang w:eastAsia="ja-JP"/>
        </w:rPr>
        <w:t xml:space="preserve">the </w:t>
      </w:r>
      <w:r w:rsidRPr="009B23AF">
        <w:rPr>
          <w:rFonts w:eastAsia="Malgun Gothic"/>
          <w:lang w:eastAsia="ko-KR"/>
        </w:rPr>
        <w:t xml:space="preserve">terrestrial radio interfaces </w:t>
      </w:r>
      <w:r w:rsidRPr="009B23AF">
        <w:rPr>
          <w:rFonts w:eastAsia="MS Mincho"/>
          <w:lang w:eastAsia="ja-JP"/>
        </w:rPr>
        <w:t xml:space="preserve">of IMT-2000 and </w:t>
      </w:r>
      <w:r w:rsidRPr="009B23AF">
        <w:rPr>
          <w:rFonts w:eastAsia="Malgun Gothic"/>
          <w:lang w:eastAsia="ko-KR"/>
        </w:rPr>
        <w:t>IMT-Advanced</w:t>
      </w:r>
      <w:r w:rsidRPr="009B23AF">
        <w:rPr>
          <w:rFonts w:eastAsia="MS Mincho"/>
          <w:lang w:eastAsia="ja-JP"/>
        </w:rPr>
        <w:t>, respectively,</w:t>
      </w:r>
    </w:p>
    <w:p w:rsidR="009B23AF" w:rsidRPr="009B23AF" w:rsidRDefault="009B23AF" w:rsidP="009B23AF">
      <w:pPr>
        <w:pStyle w:val="Call"/>
      </w:pPr>
      <w:proofErr w:type="gramStart"/>
      <w:r w:rsidRPr="009B23AF">
        <w:t>recognizing</w:t>
      </w:r>
      <w:proofErr w:type="gramEnd"/>
    </w:p>
    <w:p w:rsidR="009B23AF" w:rsidRPr="009B23AF" w:rsidRDefault="009B23AF" w:rsidP="009B23AF">
      <w:r w:rsidRPr="009B23AF">
        <w:rPr>
          <w:rFonts w:cs="Arial"/>
          <w:i/>
          <w:color w:val="000000" w:themeColor="text1"/>
          <w:szCs w:val="24"/>
        </w:rPr>
        <w:t>a)</w:t>
      </w:r>
      <w:r w:rsidRPr="009B23AF">
        <w:tab/>
        <w:t xml:space="preserve">that there </w:t>
      </w:r>
      <w:r w:rsidRPr="009B23AF">
        <w:rPr>
          <w:lang w:eastAsia="ja-JP"/>
        </w:rPr>
        <w:t>i</w:t>
      </w:r>
      <w:r w:rsidRPr="009B23AF">
        <w:t>s a fairly long lead time between the identification of frequency bands by world radiocommunication conferences and the deployment of systems in those bands, and timely availability of spectrum is therefore important to support the development of IMT and other terrestrial mobile broadband applications;</w:t>
      </w:r>
    </w:p>
    <w:p w:rsidR="009B23AF" w:rsidRPr="009B23AF" w:rsidRDefault="009B23AF" w:rsidP="009B23AF">
      <w:r w:rsidRPr="009B23AF">
        <w:rPr>
          <w:rFonts w:cs="Arial"/>
          <w:i/>
          <w:color w:val="000000" w:themeColor="text1"/>
          <w:szCs w:val="24"/>
        </w:rPr>
        <w:t>b)</w:t>
      </w:r>
      <w:r w:rsidRPr="009B23AF">
        <w:tab/>
        <w:t>that IMT systems have been in operation since the year 2000;</w:t>
      </w:r>
    </w:p>
    <w:p w:rsidR="009B23AF" w:rsidRPr="009B23AF" w:rsidRDefault="009B23AF" w:rsidP="009B23AF">
      <w:r w:rsidRPr="009B23AF">
        <w:rPr>
          <w:rFonts w:cs="Arial"/>
          <w:i/>
          <w:color w:val="000000" w:themeColor="text1"/>
          <w:szCs w:val="24"/>
        </w:rPr>
        <w:t>c)</w:t>
      </w:r>
      <w:r w:rsidRPr="009B23AF">
        <w:rPr>
          <w:rFonts w:cs="Arial"/>
          <w:i/>
          <w:color w:val="000000" w:themeColor="text1"/>
          <w:szCs w:val="24"/>
        </w:rPr>
        <w:tab/>
      </w:r>
      <w:r w:rsidRPr="009B23AF">
        <w:rPr>
          <w:rFonts w:cs="Arial"/>
          <w:iCs/>
          <w:color w:val="000000" w:themeColor="text1"/>
          <w:szCs w:val="24"/>
        </w:rPr>
        <w:t xml:space="preserve">that </w:t>
      </w:r>
      <w:r w:rsidRPr="009B23AF">
        <w:t>the need for cost-effective implementation of IMT, particularly in many developing countries and countries with large areas of low population density, and the particular advantages of lower frequency bands for these purposes;</w:t>
      </w:r>
    </w:p>
    <w:p w:rsidR="009B23AF" w:rsidRPr="009B23AF" w:rsidRDefault="009B23AF" w:rsidP="009B23AF">
      <w:r w:rsidRPr="009B23AF">
        <w:rPr>
          <w:rFonts w:cs="Arial"/>
          <w:i/>
          <w:color w:val="000000" w:themeColor="text1"/>
          <w:szCs w:val="24"/>
        </w:rPr>
        <w:t>d)</w:t>
      </w:r>
      <w:r w:rsidRPr="009B23AF">
        <w:tab/>
        <w:t>that the advantages of the frequency bands below 1 GHz for wide coverage and those above 1 GHz for higher data rates with respect to use of IMT systems are noted in Resolutions </w:t>
      </w:r>
      <w:r w:rsidRPr="009B23AF">
        <w:rPr>
          <w:rFonts w:cs="Arial"/>
          <w:b/>
          <w:bCs/>
          <w:color w:val="000000" w:themeColor="text1"/>
          <w:szCs w:val="24"/>
        </w:rPr>
        <w:t>224 (Rev.WRC</w:t>
      </w:r>
      <w:r w:rsidRPr="009B23AF">
        <w:rPr>
          <w:rFonts w:cs="Arial"/>
          <w:b/>
          <w:bCs/>
          <w:color w:val="000000" w:themeColor="text1"/>
          <w:szCs w:val="24"/>
        </w:rPr>
        <w:noBreakHyphen/>
        <w:t>12)</w:t>
      </w:r>
      <w:r w:rsidRPr="009B23AF">
        <w:t xml:space="preserve"> and </w:t>
      </w:r>
      <w:r w:rsidRPr="009B23AF">
        <w:rPr>
          <w:rFonts w:cs="Arial"/>
          <w:b/>
          <w:bCs/>
          <w:color w:val="000000" w:themeColor="text1"/>
          <w:szCs w:val="24"/>
        </w:rPr>
        <w:t>223</w:t>
      </w:r>
      <w:r w:rsidRPr="009B23AF">
        <w:t xml:space="preserve"> </w:t>
      </w:r>
      <w:r w:rsidRPr="009B23AF">
        <w:rPr>
          <w:rFonts w:cs="Arial"/>
          <w:b/>
          <w:bCs/>
          <w:color w:val="000000" w:themeColor="text1"/>
          <w:szCs w:val="24"/>
        </w:rPr>
        <w:t>(Rev.WRC</w:t>
      </w:r>
      <w:r w:rsidRPr="009B23AF">
        <w:rPr>
          <w:rFonts w:cs="Arial"/>
          <w:b/>
          <w:bCs/>
          <w:color w:val="000000" w:themeColor="text1"/>
          <w:szCs w:val="24"/>
        </w:rPr>
        <w:noBreakHyphen/>
        <w:t>12)</w:t>
      </w:r>
      <w:r w:rsidRPr="009B23AF">
        <w:t>, respectively;</w:t>
      </w:r>
    </w:p>
    <w:p w:rsidR="009B23AF" w:rsidRPr="009B23AF" w:rsidRDefault="009B23AF" w:rsidP="009B23AF">
      <w:r w:rsidRPr="009B23AF">
        <w:rPr>
          <w:rFonts w:cs="Arial"/>
          <w:i/>
          <w:color w:val="000000" w:themeColor="text1"/>
          <w:szCs w:val="24"/>
        </w:rPr>
        <w:t>e)</w:t>
      </w:r>
      <w:r w:rsidRPr="009B23AF" w:rsidDel="000B560C">
        <w:rPr>
          <w:rFonts w:cs="Arial"/>
          <w:i/>
          <w:color w:val="000000" w:themeColor="text1"/>
          <w:szCs w:val="24"/>
        </w:rPr>
        <w:t xml:space="preserve"> </w:t>
      </w:r>
      <w:r w:rsidRPr="009B23AF">
        <w:rPr>
          <w:rFonts w:cs="Arial"/>
          <w:i/>
          <w:color w:val="000000" w:themeColor="text1"/>
          <w:szCs w:val="24"/>
        </w:rPr>
        <w:tab/>
      </w:r>
      <w:r w:rsidRPr="009B23AF">
        <w:t>the use of relevant parts of the spectrum by other radiocommunication services, many of which involve significant investment in infrastructure or represent significant societal benefit, and the evolving needs of these services,</w:t>
      </w:r>
    </w:p>
    <w:p w:rsidR="009B23AF" w:rsidRPr="009B23AF" w:rsidRDefault="009B23AF" w:rsidP="009B23AF">
      <w:pPr>
        <w:pStyle w:val="Call"/>
        <w:rPr>
          <w:sz w:val="32"/>
          <w:szCs w:val="32"/>
        </w:rPr>
      </w:pPr>
      <w:proofErr w:type="gramStart"/>
      <w:r w:rsidRPr="009B23AF">
        <w:rPr>
          <w:szCs w:val="24"/>
        </w:rPr>
        <w:t>resolves</w:t>
      </w:r>
      <w:proofErr w:type="gramEnd"/>
      <w:r w:rsidRPr="009B23AF">
        <w:t xml:space="preserve"> to invite ITU</w:t>
      </w:r>
      <w:r w:rsidRPr="009B23AF">
        <w:noBreakHyphen/>
        <w:t>R</w:t>
      </w:r>
    </w:p>
    <w:p w:rsidR="009B23AF" w:rsidRPr="009B23AF" w:rsidRDefault="009B23AF" w:rsidP="009B23AF">
      <w:pPr>
        <w:keepNext/>
      </w:pPr>
      <w:r w:rsidRPr="009B23AF">
        <w:t>1</w:t>
      </w:r>
      <w:r w:rsidRPr="009B23AF">
        <w:tab/>
        <w:t>to study additional spectrum requirements, taking into account:</w:t>
      </w:r>
    </w:p>
    <w:p w:rsidR="009B23AF" w:rsidRPr="009B23AF" w:rsidRDefault="009B23AF" w:rsidP="009B23AF">
      <w:pPr>
        <w:pStyle w:val="enumlev1"/>
      </w:pPr>
      <w:r w:rsidRPr="009B23AF">
        <w:t>–</w:t>
      </w:r>
      <w:r w:rsidRPr="009B23AF">
        <w:tab/>
      </w:r>
      <w:proofErr w:type="gramStart"/>
      <w:r w:rsidRPr="009B23AF">
        <w:t>technical</w:t>
      </w:r>
      <w:proofErr w:type="gramEnd"/>
      <w:r w:rsidRPr="009B23AF">
        <w:t xml:space="preserve"> and operational characteristics of IMT systems, including the evolution of IMT through advances in technology and spectrally-efficient techniques, and their deployment;</w:t>
      </w:r>
    </w:p>
    <w:p w:rsidR="009B23AF" w:rsidRPr="009B23AF" w:rsidRDefault="009B23AF" w:rsidP="009B23AF">
      <w:pPr>
        <w:pStyle w:val="enumlev1"/>
      </w:pPr>
      <w:r w:rsidRPr="009B23AF">
        <w:t>–</w:t>
      </w:r>
      <w:r w:rsidRPr="009B23AF">
        <w:tab/>
      </w:r>
      <w:proofErr w:type="gramStart"/>
      <w:r w:rsidRPr="009B23AF">
        <w:t>the</w:t>
      </w:r>
      <w:proofErr w:type="gramEnd"/>
      <w:r w:rsidRPr="009B23AF">
        <w:t xml:space="preserve"> bands currently identified for IMT, the technical conditions of their use, and the possibility of optimizing the use of these bands with a view to increasing spectrum efficiency;</w:t>
      </w:r>
    </w:p>
    <w:p w:rsidR="009B23AF" w:rsidRPr="009B23AF" w:rsidRDefault="009B23AF" w:rsidP="009B23AF">
      <w:pPr>
        <w:pStyle w:val="enumlev1"/>
      </w:pPr>
      <w:r w:rsidRPr="009B23AF">
        <w:t>–</w:t>
      </w:r>
      <w:r w:rsidRPr="009B23AF">
        <w:tab/>
      </w:r>
      <w:proofErr w:type="gramStart"/>
      <w:r w:rsidRPr="009B23AF">
        <w:t>the</w:t>
      </w:r>
      <w:proofErr w:type="gramEnd"/>
      <w:r w:rsidRPr="009B23AF">
        <w:t xml:space="preserve"> evolving needs, including user demand for IMT and other terrestrial mobile broadband applications;</w:t>
      </w:r>
    </w:p>
    <w:p w:rsidR="009B23AF" w:rsidRPr="009B23AF" w:rsidRDefault="009B23AF" w:rsidP="009B23AF">
      <w:pPr>
        <w:pStyle w:val="enumlev1"/>
      </w:pPr>
      <w:r w:rsidRPr="009B23AF">
        <w:t>–</w:t>
      </w:r>
      <w:r w:rsidRPr="009B23AF">
        <w:tab/>
      </w:r>
      <w:proofErr w:type="gramStart"/>
      <w:r w:rsidRPr="009B23AF">
        <w:t>the</w:t>
      </w:r>
      <w:proofErr w:type="gramEnd"/>
      <w:r w:rsidRPr="009B23AF">
        <w:t xml:space="preserve"> needs of developing countries;</w:t>
      </w:r>
    </w:p>
    <w:p w:rsidR="009B23AF" w:rsidRPr="009B23AF" w:rsidRDefault="009B23AF" w:rsidP="009B23AF">
      <w:pPr>
        <w:pStyle w:val="enumlev1"/>
      </w:pPr>
      <w:r w:rsidRPr="009B23AF">
        <w:t>–</w:t>
      </w:r>
      <w:r w:rsidRPr="009B23AF">
        <w:tab/>
      </w:r>
      <w:proofErr w:type="gramStart"/>
      <w:r w:rsidRPr="009B23AF">
        <w:t>the</w:t>
      </w:r>
      <w:proofErr w:type="gramEnd"/>
      <w:r w:rsidRPr="009B23AF">
        <w:t xml:space="preserve"> time-frame in which spectrum would be needed;</w:t>
      </w:r>
    </w:p>
    <w:p w:rsidR="009B23AF" w:rsidRPr="009B23AF" w:rsidRDefault="009B23AF" w:rsidP="009B23AF">
      <w:r w:rsidRPr="009B23AF">
        <w:t>2</w:t>
      </w:r>
      <w:r w:rsidRPr="009B23AF">
        <w:tab/>
        <w:t xml:space="preserve">to study potential candidate frequency bands, taking into account the results of the studies under </w:t>
      </w:r>
      <w:r w:rsidRPr="009B23AF">
        <w:rPr>
          <w:i/>
        </w:rPr>
        <w:t>resolves to invite ITU</w:t>
      </w:r>
      <w:r w:rsidRPr="009B23AF">
        <w:rPr>
          <w:i/>
        </w:rPr>
        <w:noBreakHyphen/>
        <w:t>R</w:t>
      </w:r>
      <w:r w:rsidRPr="009B23AF">
        <w:t xml:space="preserve"> 1, protection of existing services and the need for harmonization; </w:t>
      </w:r>
    </w:p>
    <w:p w:rsidR="009B23AF" w:rsidRPr="009B23AF" w:rsidRDefault="009B23AF" w:rsidP="009B23AF">
      <w:pPr>
        <w:pStyle w:val="Call"/>
      </w:pPr>
      <w:proofErr w:type="gramStart"/>
      <w:r w:rsidRPr="009B23AF">
        <w:t>further</w:t>
      </w:r>
      <w:proofErr w:type="gramEnd"/>
      <w:r w:rsidRPr="009B23AF">
        <w:t xml:space="preserve"> resolves</w:t>
      </w:r>
    </w:p>
    <w:p w:rsidR="009B23AF" w:rsidRPr="009B23AF" w:rsidRDefault="009B23AF" w:rsidP="009B23AF">
      <w:r w:rsidRPr="009B23AF">
        <w:t>1</w:t>
      </w:r>
      <w:r w:rsidRPr="009B23AF">
        <w:tab/>
        <w:t xml:space="preserve">that the studies referred to in </w:t>
      </w:r>
      <w:r w:rsidRPr="009B23AF">
        <w:rPr>
          <w:i/>
          <w:iCs/>
        </w:rPr>
        <w:t>resolves</w:t>
      </w:r>
      <w:r w:rsidRPr="009B23AF">
        <w:rPr>
          <w:i/>
        </w:rPr>
        <w:t xml:space="preserve"> to invite ITU</w:t>
      </w:r>
      <w:r w:rsidRPr="009B23AF">
        <w:rPr>
          <w:i/>
        </w:rPr>
        <w:noBreakHyphen/>
        <w:t>R</w:t>
      </w:r>
      <w:r w:rsidRPr="009B23AF">
        <w:t> 2 include sharing and compatibility studies with services already having allocations in the potential candidate bands and in adjacent bands, as appropriate, taking into account the current and planned use of these bands by the existing services, as well as the applicable studies already performed in ITU</w:t>
      </w:r>
      <w:r w:rsidRPr="009B23AF">
        <w:noBreakHyphen/>
        <w:t>R;</w:t>
      </w:r>
    </w:p>
    <w:p w:rsidR="009B23AF" w:rsidRPr="009B23AF" w:rsidRDefault="009B23AF" w:rsidP="009B23AF">
      <w:r w:rsidRPr="009B23AF">
        <w:lastRenderedPageBreak/>
        <w:t>2</w:t>
      </w:r>
      <w:r w:rsidRPr="009B23AF">
        <w:tab/>
        <w:t>to invite WRC</w:t>
      </w:r>
      <w:r w:rsidRPr="009B23AF">
        <w:noBreakHyphen/>
        <w:t>15 to consider the results of the above studies and take appropriate actions,</w:t>
      </w:r>
    </w:p>
    <w:p w:rsidR="009B23AF" w:rsidRPr="009B23AF" w:rsidRDefault="009B23AF" w:rsidP="009B23AF">
      <w:pPr>
        <w:pStyle w:val="Call"/>
        <w:rPr>
          <w:lang w:eastAsia="nl-NL"/>
        </w:rPr>
      </w:pPr>
      <w:proofErr w:type="gramStart"/>
      <w:r w:rsidRPr="009B23AF">
        <w:rPr>
          <w:lang w:eastAsia="nl-NL"/>
        </w:rPr>
        <w:t>encourages</w:t>
      </w:r>
      <w:proofErr w:type="gramEnd"/>
      <w:r w:rsidRPr="009B23AF">
        <w:rPr>
          <w:lang w:eastAsia="nl-NL"/>
        </w:rPr>
        <w:t xml:space="preserve"> administrations </w:t>
      </w:r>
    </w:p>
    <w:p w:rsidR="009B23AF" w:rsidRPr="009B23AF" w:rsidRDefault="009B23AF" w:rsidP="009B23AF">
      <w:pPr>
        <w:rPr>
          <w:i/>
          <w:lang w:eastAsia="nl-NL"/>
        </w:rPr>
      </w:pPr>
      <w:r w:rsidRPr="009B23AF">
        <w:rPr>
          <w:lang w:eastAsia="nl-NL"/>
        </w:rPr>
        <w:t>to submit contributions during the study period on their assessment of the impact on the existing services, based on the studies carried out under this Resolution,</w:t>
      </w:r>
    </w:p>
    <w:p w:rsidR="009B23AF" w:rsidRPr="009B23AF" w:rsidRDefault="009B23AF" w:rsidP="009B23AF">
      <w:pPr>
        <w:pStyle w:val="Call"/>
        <w:rPr>
          <w:lang w:eastAsia="nl-NL"/>
        </w:rPr>
      </w:pPr>
      <w:proofErr w:type="gramStart"/>
      <w:r w:rsidRPr="009B23AF">
        <w:rPr>
          <w:lang w:eastAsia="nl-NL"/>
        </w:rPr>
        <w:t>invites</w:t>
      </w:r>
      <w:proofErr w:type="gramEnd"/>
      <w:r w:rsidRPr="009B23AF">
        <w:rPr>
          <w:lang w:eastAsia="nl-NL"/>
        </w:rPr>
        <w:t xml:space="preserve"> administrations </w:t>
      </w:r>
    </w:p>
    <w:p w:rsidR="009B23AF" w:rsidRPr="00F33901" w:rsidRDefault="009B23AF" w:rsidP="009B23AF">
      <w:pPr>
        <w:rPr>
          <w:i/>
        </w:rPr>
      </w:pPr>
      <w:r w:rsidRPr="009B23AF">
        <w:rPr>
          <w:lang w:eastAsia="nl-NL"/>
        </w:rPr>
        <w:t>to participate in the studies by submitting contributions to ITU</w:t>
      </w:r>
      <w:r w:rsidRPr="009B23AF">
        <w:rPr>
          <w:lang w:eastAsia="nl-NL"/>
        </w:rPr>
        <w:noBreakHyphen/>
        <w:t>R.</w:t>
      </w:r>
      <w:r w:rsidRPr="00F33901">
        <w:rPr>
          <w:lang w:eastAsia="nl-NL"/>
        </w:rPr>
        <w:t xml:space="preserve"> </w:t>
      </w:r>
    </w:p>
    <w:p w:rsidR="00916F3B" w:rsidRDefault="00916F3B">
      <w:pPr>
        <w:overflowPunct/>
        <w:autoSpaceDE/>
        <w:autoSpaceDN/>
        <w:adjustRightInd/>
        <w:textAlignment w:val="auto"/>
      </w:pPr>
      <w:r>
        <w:br w:type="page"/>
      </w:r>
    </w:p>
    <w:tbl>
      <w:tblPr>
        <w:tblpPr w:leftFromText="180" w:rightFromText="180" w:horzAnchor="margin" w:tblpY="-687"/>
        <w:tblW w:w="10031" w:type="dxa"/>
        <w:tblLayout w:type="fixed"/>
        <w:tblLook w:val="0000" w:firstRow="0" w:lastRow="0" w:firstColumn="0" w:lastColumn="0" w:noHBand="0" w:noVBand="0"/>
      </w:tblPr>
      <w:tblGrid>
        <w:gridCol w:w="10031"/>
      </w:tblGrid>
      <w:tr w:rsidR="00916F3B" w:rsidTr="00A83AD5">
        <w:trPr>
          <w:cantSplit/>
        </w:trPr>
        <w:tc>
          <w:tcPr>
            <w:tcW w:w="10031" w:type="dxa"/>
          </w:tcPr>
          <w:p w:rsidR="00916F3B" w:rsidRPr="00482FAB" w:rsidRDefault="00916F3B" w:rsidP="00A83AD5">
            <w:pPr>
              <w:pStyle w:val="Title1"/>
            </w:pPr>
            <w:bookmarkStart w:id="1" w:name="drec" w:colFirst="0" w:colLast="0"/>
            <w:r>
              <w:lastRenderedPageBreak/>
              <w:t xml:space="preserve">CPM15-1 Decision on the </w:t>
            </w:r>
            <w:r>
              <w:rPr>
                <w:lang w:val="en-US"/>
              </w:rPr>
              <w:br/>
            </w:r>
            <w:r>
              <w:t xml:space="preserve">establishment and </w:t>
            </w:r>
            <w:r w:rsidRPr="00B102BA">
              <w:t>Terms of Reference</w:t>
            </w:r>
            <w:r>
              <w:t xml:space="preserve"> of </w:t>
            </w:r>
            <w:r>
              <w:rPr>
                <w:lang w:val="en-US"/>
              </w:rPr>
              <w:br/>
            </w:r>
            <w:r>
              <w:t xml:space="preserve">Joint Task Group </w:t>
            </w:r>
            <w:r w:rsidRPr="00B102BA">
              <w:t>4-5-6-7</w:t>
            </w:r>
          </w:p>
        </w:tc>
      </w:tr>
      <w:tr w:rsidR="00916F3B" w:rsidTr="00A83AD5">
        <w:trPr>
          <w:cantSplit/>
        </w:trPr>
        <w:tc>
          <w:tcPr>
            <w:tcW w:w="10031" w:type="dxa"/>
          </w:tcPr>
          <w:p w:rsidR="00916F3B" w:rsidRDefault="00916F3B" w:rsidP="00A83AD5">
            <w:pPr>
              <w:pStyle w:val="Title4"/>
            </w:pPr>
          </w:p>
        </w:tc>
      </w:tr>
    </w:tbl>
    <w:p w:rsidR="00916F3B" w:rsidRDefault="00916F3B" w:rsidP="00916F3B">
      <w:bookmarkStart w:id="2" w:name="dbreak"/>
      <w:bookmarkEnd w:id="1"/>
      <w:bookmarkEnd w:id="2"/>
    </w:p>
    <w:p w:rsidR="00916F3B" w:rsidRPr="00C0607E" w:rsidRDefault="00916F3B" w:rsidP="00916F3B">
      <w:r>
        <w:t>T</w:t>
      </w:r>
      <w:r w:rsidRPr="00C0607E">
        <w:t>he first session of the Conference Preparatory Meeting for WRC</w:t>
      </w:r>
      <w:r w:rsidRPr="00C0607E">
        <w:noBreakHyphen/>
        <w:t>15 (CPM15</w:t>
      </w:r>
      <w:r w:rsidRPr="00C0607E">
        <w:noBreakHyphen/>
        <w:t>1),</w:t>
      </w:r>
    </w:p>
    <w:p w:rsidR="00916F3B" w:rsidRPr="003E6225" w:rsidRDefault="00916F3B" w:rsidP="00916F3B">
      <w:pPr>
        <w:pStyle w:val="Call"/>
        <w:rPr>
          <w:szCs w:val="24"/>
        </w:rPr>
      </w:pPr>
      <w:proofErr w:type="gramStart"/>
      <w:r w:rsidRPr="003E6225">
        <w:rPr>
          <w:szCs w:val="24"/>
        </w:rPr>
        <w:t>considering</w:t>
      </w:r>
      <w:proofErr w:type="gramEnd"/>
    </w:p>
    <w:p w:rsidR="00916F3B" w:rsidRPr="00A36287" w:rsidRDefault="00916F3B" w:rsidP="00916F3B">
      <w:r w:rsidRPr="00A36287">
        <w:rPr>
          <w:i/>
          <w:iCs/>
          <w:szCs w:val="22"/>
        </w:rPr>
        <w:t>a)</w:t>
      </w:r>
      <w:r w:rsidRPr="00A36287">
        <w:rPr>
          <w:szCs w:val="22"/>
        </w:rPr>
        <w:tab/>
      </w:r>
      <w:r w:rsidRPr="00DD611E">
        <w:rPr>
          <w:sz w:val="24"/>
          <w:szCs w:val="24"/>
        </w:rPr>
        <w:t>that WRC</w:t>
      </w:r>
      <w:r w:rsidRPr="00170EC9">
        <w:rPr>
          <w:szCs w:val="24"/>
        </w:rPr>
        <w:noBreakHyphen/>
      </w:r>
      <w:r w:rsidRPr="00DD611E">
        <w:rPr>
          <w:sz w:val="24"/>
          <w:szCs w:val="24"/>
        </w:rPr>
        <w:t xml:space="preserve">12 by its Resolution </w:t>
      </w:r>
      <w:r w:rsidRPr="00DD611E">
        <w:rPr>
          <w:b/>
          <w:bCs/>
          <w:szCs w:val="24"/>
        </w:rPr>
        <w:t>COM</w:t>
      </w:r>
      <w:r w:rsidRPr="00DD611E">
        <w:rPr>
          <w:b/>
          <w:bCs/>
          <w:sz w:val="24"/>
          <w:szCs w:val="24"/>
        </w:rPr>
        <w:t>6</w:t>
      </w:r>
      <w:r w:rsidRPr="00DD611E">
        <w:rPr>
          <w:b/>
          <w:bCs/>
          <w:szCs w:val="24"/>
        </w:rPr>
        <w:t>/</w:t>
      </w:r>
      <w:r w:rsidRPr="00DD611E">
        <w:rPr>
          <w:b/>
          <w:bCs/>
          <w:sz w:val="24"/>
          <w:szCs w:val="24"/>
        </w:rPr>
        <w:t>6</w:t>
      </w:r>
      <w:r>
        <w:rPr>
          <w:b/>
          <w:bCs/>
          <w:szCs w:val="24"/>
        </w:rPr>
        <w:t xml:space="preserve"> </w:t>
      </w:r>
      <w:r w:rsidRPr="00DD611E">
        <w:rPr>
          <w:b/>
          <w:bCs/>
          <w:szCs w:val="24"/>
        </w:rPr>
        <w:t>(WRC-12)</w:t>
      </w:r>
      <w:r w:rsidRPr="00DD611E">
        <w:rPr>
          <w:sz w:val="24"/>
          <w:szCs w:val="24"/>
        </w:rPr>
        <w:t xml:space="preserve"> recommended to Council to include in the agenda of WRC</w:t>
      </w:r>
      <w:r w:rsidRPr="00170EC9">
        <w:rPr>
          <w:szCs w:val="24"/>
        </w:rPr>
        <w:noBreakHyphen/>
      </w:r>
      <w:r w:rsidRPr="00DD611E">
        <w:rPr>
          <w:sz w:val="24"/>
          <w:szCs w:val="24"/>
        </w:rPr>
        <w:t xml:space="preserve">15 (Agenda item 1.1) </w:t>
      </w:r>
      <w:r w:rsidRPr="00A36287">
        <w:t>“</w:t>
      </w:r>
      <w:r w:rsidRPr="00DD611E">
        <w:rPr>
          <w:i/>
          <w:iCs/>
        </w:rPr>
        <w:t xml:space="preserve">to consider additional spectrum allocations to the mobile service on a primary basis and identification of additional frequency bands for International Mobile Telecommunications (IMT) and related regulatory provisions, to facilitate the development of terrestrial mobile broadband applications, in accordance with Resolution </w:t>
      </w:r>
      <w:r w:rsidRPr="008B41C3">
        <w:rPr>
          <w:b/>
          <w:bCs/>
          <w:i/>
          <w:iCs/>
        </w:rPr>
        <w:t>COM6/8 (WRC</w:t>
      </w:r>
      <w:r w:rsidRPr="008B41C3">
        <w:rPr>
          <w:b/>
          <w:bCs/>
          <w:i/>
          <w:iCs/>
        </w:rPr>
        <w:noBreakHyphen/>
        <w:t>12)</w:t>
      </w:r>
      <w:r w:rsidRPr="00DD611E">
        <w:rPr>
          <w:b/>
          <w:bCs/>
        </w:rPr>
        <w:t>”</w:t>
      </w:r>
      <w:r w:rsidRPr="00DD611E">
        <w:t>;</w:t>
      </w:r>
    </w:p>
    <w:p w:rsidR="00916F3B" w:rsidRPr="00A36287" w:rsidRDefault="00916F3B" w:rsidP="00916F3B">
      <w:r w:rsidRPr="00DD611E">
        <w:rPr>
          <w:i/>
          <w:iCs/>
          <w:szCs w:val="22"/>
        </w:rPr>
        <w:t xml:space="preserve">b) </w:t>
      </w:r>
      <w:r w:rsidRPr="00170EC9">
        <w:rPr>
          <w:i/>
          <w:iCs/>
          <w:szCs w:val="22"/>
        </w:rPr>
        <w:tab/>
      </w:r>
      <w:r w:rsidRPr="00DD611E">
        <w:rPr>
          <w:iCs/>
          <w:szCs w:val="22"/>
        </w:rPr>
        <w:t xml:space="preserve">that WRC-12 </w:t>
      </w:r>
      <w:r w:rsidRPr="00DD611E">
        <w:rPr>
          <w:szCs w:val="22"/>
        </w:rPr>
        <w:t xml:space="preserve">by its Resolution </w:t>
      </w:r>
      <w:r w:rsidRPr="00DD611E">
        <w:rPr>
          <w:b/>
          <w:bCs/>
          <w:szCs w:val="22"/>
        </w:rPr>
        <w:t xml:space="preserve">COM 6/6 </w:t>
      </w:r>
      <w:r w:rsidRPr="00EE35E7">
        <w:rPr>
          <w:b/>
          <w:bCs/>
          <w:szCs w:val="24"/>
        </w:rPr>
        <w:t>(WRC</w:t>
      </w:r>
      <w:r w:rsidRPr="008B41C3">
        <w:rPr>
          <w:b/>
          <w:bCs/>
          <w:szCs w:val="24"/>
        </w:rPr>
        <w:t>-12)</w:t>
      </w:r>
      <w:r w:rsidRPr="00DD611E">
        <w:rPr>
          <w:szCs w:val="22"/>
        </w:rPr>
        <w:t xml:space="preserve"> </w:t>
      </w:r>
      <w:r w:rsidRPr="00DD611E">
        <w:rPr>
          <w:iCs/>
          <w:szCs w:val="22"/>
        </w:rPr>
        <w:t xml:space="preserve">recommended to Council to include in the agenda of WRC 15 (Agenda item 1.2) </w:t>
      </w:r>
      <w:r w:rsidRPr="00DD611E">
        <w:rPr>
          <w:i/>
          <w:szCs w:val="22"/>
        </w:rPr>
        <w:t>“</w:t>
      </w:r>
      <w:r w:rsidRPr="008B41C3">
        <w:rPr>
          <w:i/>
        </w:rPr>
        <w:t>to examine the results of ITU</w:t>
      </w:r>
      <w:r w:rsidRPr="008B41C3">
        <w:rPr>
          <w:i/>
        </w:rPr>
        <w:noBreakHyphen/>
        <w:t xml:space="preserve">R studies, in accordance with Resolution </w:t>
      </w:r>
      <w:r w:rsidRPr="008B41C3">
        <w:rPr>
          <w:b/>
          <w:bCs/>
          <w:i/>
        </w:rPr>
        <w:t>COM5/10 (WRC</w:t>
      </w:r>
      <w:r w:rsidRPr="008B41C3">
        <w:rPr>
          <w:b/>
          <w:bCs/>
          <w:i/>
        </w:rPr>
        <w:noBreakHyphen/>
        <w:t>12)</w:t>
      </w:r>
      <w:r w:rsidRPr="008B41C3">
        <w:rPr>
          <w:i/>
        </w:rPr>
        <w:t>, on the use of the frequency band 694-790 MHz by the mobile, except aeronautical mobile, service in Region 1 and take the appropriate measures.</w:t>
      </w:r>
      <w:r w:rsidRPr="00DD611E">
        <w:t>”</w:t>
      </w:r>
    </w:p>
    <w:p w:rsidR="00916F3B" w:rsidRPr="003E6225" w:rsidRDefault="00916F3B" w:rsidP="00916F3B">
      <w:pPr>
        <w:pStyle w:val="Call"/>
        <w:rPr>
          <w:szCs w:val="24"/>
        </w:rPr>
      </w:pPr>
      <w:proofErr w:type="gramStart"/>
      <w:r w:rsidRPr="003E6225">
        <w:rPr>
          <w:szCs w:val="24"/>
        </w:rPr>
        <w:t>decides</w:t>
      </w:r>
      <w:proofErr w:type="gramEnd"/>
      <w:r w:rsidRPr="003E6225">
        <w:rPr>
          <w:szCs w:val="24"/>
        </w:rPr>
        <w:t xml:space="preserve">  </w:t>
      </w:r>
    </w:p>
    <w:p w:rsidR="00916F3B" w:rsidRDefault="00916F3B" w:rsidP="00916F3B">
      <w:r>
        <w:t>1</w:t>
      </w:r>
      <w:r>
        <w:tab/>
        <w:t xml:space="preserve">to establish the Joint Task Group JTG 4-5-6-7 as the responsible group for the WRC-15 Agenda Items 1.1 and 1.2 with the terms of reference given below; </w:t>
      </w:r>
    </w:p>
    <w:p w:rsidR="00916F3B" w:rsidRPr="00C0607E" w:rsidRDefault="00916F3B" w:rsidP="00916F3B">
      <w:r>
        <w:t>2</w:t>
      </w:r>
      <w:r w:rsidRPr="00C0607E">
        <w:tab/>
        <w:t xml:space="preserve">that JTG 4-5-6-7 </w:t>
      </w:r>
      <w:r>
        <w:t>is</w:t>
      </w:r>
      <w:r w:rsidRPr="00C0607E">
        <w:t xml:space="preserve"> responsible for the development of draft CPM text under WRC</w:t>
      </w:r>
      <w:r w:rsidRPr="00C0607E">
        <w:noBreakHyphen/>
        <w:t xml:space="preserve">15 Agenda items 1.1 and 1.2 and that it will submit such text directly to </w:t>
      </w:r>
      <w:r>
        <w:t xml:space="preserve">the </w:t>
      </w:r>
      <w:r w:rsidRPr="00C0607E">
        <w:t>CPM15</w:t>
      </w:r>
      <w:r>
        <w:t xml:space="preserve"> process</w:t>
      </w:r>
      <w:r w:rsidRPr="00C0607E">
        <w:t xml:space="preserve"> in accordance with § 2.9 of Resolution ITU-R 1-6</w:t>
      </w:r>
      <w:r>
        <w:t xml:space="preserve"> and Resolution ITU-R 2-6;</w:t>
      </w:r>
    </w:p>
    <w:p w:rsidR="00916F3B" w:rsidRDefault="00916F3B" w:rsidP="00916F3B">
      <w:r>
        <w:t>3</w:t>
      </w:r>
      <w:r w:rsidRPr="00C0607E">
        <w:tab/>
        <w:t xml:space="preserve">that, in developing sharing studies and draft CPM text, JTG 4-5-6-7 </w:t>
      </w:r>
      <w:r>
        <w:t>is to</w:t>
      </w:r>
      <w:r w:rsidRPr="00C0607E">
        <w:t xml:space="preserve"> </w:t>
      </w:r>
      <w:r>
        <w:t xml:space="preserve">consider, in accordance </w:t>
      </w:r>
      <w:r w:rsidRPr="00D17374">
        <w:t>with WRC-12 Resolutions</w:t>
      </w:r>
      <w:r>
        <w:t xml:space="preserve"> </w:t>
      </w:r>
      <w:r w:rsidRPr="003E6225">
        <w:rPr>
          <w:b/>
          <w:bCs/>
        </w:rPr>
        <w:t>COM5/10</w:t>
      </w:r>
      <w:r>
        <w:rPr>
          <w:b/>
          <w:bCs/>
        </w:rPr>
        <w:t xml:space="preserve"> </w:t>
      </w:r>
      <w:r w:rsidRPr="00EE35E7">
        <w:rPr>
          <w:b/>
          <w:bCs/>
        </w:rPr>
        <w:t>(WRC-12)</w:t>
      </w:r>
      <w:r>
        <w:t xml:space="preserve"> and </w:t>
      </w:r>
      <w:r w:rsidRPr="003E6225">
        <w:rPr>
          <w:b/>
          <w:bCs/>
        </w:rPr>
        <w:t>COM 6/8</w:t>
      </w:r>
      <w:r>
        <w:rPr>
          <w:b/>
          <w:bCs/>
        </w:rPr>
        <w:t xml:space="preserve"> </w:t>
      </w:r>
      <w:r w:rsidRPr="00EE35E7">
        <w:rPr>
          <w:b/>
          <w:bCs/>
        </w:rPr>
        <w:t>(WRC-12)</w:t>
      </w:r>
      <w:r>
        <w:t xml:space="preserve">, the results of studies </w:t>
      </w:r>
      <w:r w:rsidRPr="00C0607E">
        <w:t>from Working Party</w:t>
      </w:r>
      <w:r>
        <w:t> </w:t>
      </w:r>
      <w:r w:rsidRPr="00C0607E">
        <w:t xml:space="preserve">5D on the spectrum requirements for </w:t>
      </w:r>
      <w:r>
        <w:t xml:space="preserve">the </w:t>
      </w:r>
      <w:r w:rsidRPr="00C0607E">
        <w:t>mobile service, including suitable frequency range</w:t>
      </w:r>
      <w:r>
        <w:t>s,</w:t>
      </w:r>
      <w:r w:rsidRPr="00C0607E">
        <w:t xml:space="preserve"> and other specific requirement</w:t>
      </w:r>
      <w:r>
        <w:t>s</w:t>
      </w:r>
      <w:r w:rsidRPr="00C0607E">
        <w:t xml:space="preserve"> as well as </w:t>
      </w:r>
      <w:r>
        <w:t>results of studies</w:t>
      </w:r>
      <w:r w:rsidRPr="00C0607E">
        <w:t xml:space="preserve"> from any concerned </w:t>
      </w:r>
      <w:r>
        <w:t>W</w:t>
      </w:r>
      <w:r w:rsidRPr="00C0607E">
        <w:t xml:space="preserve">orking </w:t>
      </w:r>
      <w:r>
        <w:t>P</w:t>
      </w:r>
      <w:r w:rsidRPr="00C0607E">
        <w:t xml:space="preserve">arties </w:t>
      </w:r>
      <w:r>
        <w:t xml:space="preserve">on </w:t>
      </w:r>
      <w:r w:rsidRPr="00C0607E">
        <w:t xml:space="preserve">technical </w:t>
      </w:r>
      <w:r>
        <w:t>and</w:t>
      </w:r>
      <w:r w:rsidRPr="00C0607E">
        <w:t xml:space="preserve"> operational characteristics</w:t>
      </w:r>
      <w:r>
        <w:t>, spectrum requirements</w:t>
      </w:r>
      <w:r w:rsidRPr="00C0607E">
        <w:t xml:space="preserve"> and performance objectives or protection requirements of other services;</w:t>
      </w:r>
    </w:p>
    <w:p w:rsidR="00916F3B" w:rsidRPr="00C0607E" w:rsidRDefault="00916F3B" w:rsidP="00916F3B">
      <w:r>
        <w:t>4</w:t>
      </w:r>
      <w:r w:rsidRPr="00C0607E">
        <w:tab/>
        <w:t>that JTG 4-5-6-7 may develop</w:t>
      </w:r>
      <w:r>
        <w:t>, as appropriate,</w:t>
      </w:r>
      <w:r w:rsidRPr="00C0607E">
        <w:t xml:space="preserve"> draft ITU-R Recommendations or Reports concerning the results of spectrum sharing and compatibility studies, </w:t>
      </w:r>
      <w:r>
        <w:t>where required for later submission to relevant Study Groups for adoption in accordance with Resolution ITU-R 1-6</w:t>
      </w:r>
      <w:r w:rsidRPr="00C0607E">
        <w:t>;</w:t>
      </w:r>
    </w:p>
    <w:p w:rsidR="00916F3B" w:rsidRPr="00C0607E" w:rsidRDefault="00916F3B" w:rsidP="00916F3B">
      <w:r>
        <w:t>5</w:t>
      </w:r>
      <w:r w:rsidRPr="00C0607E">
        <w:tab/>
        <w:t xml:space="preserve">that the studies relating to channelling arrangement referred to in the </w:t>
      </w:r>
      <w:r w:rsidRPr="00C0607E">
        <w:rPr>
          <w:i/>
        </w:rPr>
        <w:t xml:space="preserve">invites ITU-R </w:t>
      </w:r>
      <w:r w:rsidRPr="00C0607E">
        <w:t>2 and 3</w:t>
      </w:r>
      <w:r w:rsidRPr="00C0607E">
        <w:rPr>
          <w:i/>
        </w:rPr>
        <w:t xml:space="preserve"> </w:t>
      </w:r>
      <w:r w:rsidRPr="00C0607E">
        <w:t xml:space="preserve">of Resolution </w:t>
      </w:r>
      <w:r w:rsidRPr="00C0607E">
        <w:rPr>
          <w:b/>
          <w:bCs/>
        </w:rPr>
        <w:t>COM5/10</w:t>
      </w:r>
      <w:r w:rsidRPr="00C0607E">
        <w:t xml:space="preserve"> </w:t>
      </w:r>
      <w:r w:rsidRPr="00DD611E">
        <w:rPr>
          <w:b/>
          <w:bCs/>
        </w:rPr>
        <w:t>(WRC-12)</w:t>
      </w:r>
      <w:r>
        <w:t xml:space="preserve"> need to be</w:t>
      </w:r>
      <w:r w:rsidRPr="00C0607E">
        <w:t xml:space="preserve"> carried out in Working Party 5D;</w:t>
      </w:r>
    </w:p>
    <w:p w:rsidR="00916F3B" w:rsidRPr="00C0607E" w:rsidRDefault="00916F3B" w:rsidP="00916F3B">
      <w:r>
        <w:t>6</w:t>
      </w:r>
      <w:r>
        <w:tab/>
      </w:r>
      <w:r w:rsidRPr="00C0607E">
        <w:t xml:space="preserve">that the organization of the work of JTG 4-5-6-7 </w:t>
      </w:r>
      <w:r>
        <w:t xml:space="preserve">should </w:t>
      </w:r>
      <w:r w:rsidRPr="00C0607E">
        <w:t>be carried out making maximum use of modern means of communication, including remote participation</w:t>
      </w:r>
      <w:r>
        <w:t xml:space="preserve"> to the extent practicable</w:t>
      </w:r>
      <w:r w:rsidRPr="00C0607E">
        <w:t>;</w:t>
      </w:r>
    </w:p>
    <w:p w:rsidR="00916F3B" w:rsidRPr="00C0607E" w:rsidRDefault="00916F3B" w:rsidP="00916F3B">
      <w:r>
        <w:t>7</w:t>
      </w:r>
      <w:r w:rsidRPr="00C0607E">
        <w:tab/>
        <w:t xml:space="preserve">that meetings of JTG 4-5-6-7 </w:t>
      </w:r>
      <w:r>
        <w:t>should</w:t>
      </w:r>
      <w:r w:rsidRPr="00C0607E">
        <w:t xml:space="preserve"> be scheduled, as far as practicable, with no overlap with regularly scheduled meetings of the concerned Working Parties of Study Groups 4, 5, 6 and 7, but </w:t>
      </w:r>
      <w:r>
        <w:t>should</w:t>
      </w:r>
      <w:r w:rsidRPr="00C0607E">
        <w:t xml:space="preserve"> be scheduled at dates </w:t>
      </w:r>
      <w:r>
        <w:t xml:space="preserve">adjacent to </w:t>
      </w:r>
      <w:r w:rsidRPr="00C0607E">
        <w:t xml:space="preserve">and </w:t>
      </w:r>
      <w:r>
        <w:t>co-located</w:t>
      </w:r>
      <w:r w:rsidRPr="00C0607E">
        <w:t xml:space="preserve"> </w:t>
      </w:r>
      <w:r>
        <w:t>with</w:t>
      </w:r>
      <w:r w:rsidRPr="00C0607E">
        <w:t xml:space="preserve"> these working parties to facilitat</w:t>
      </w:r>
      <w:r>
        <w:t>e participation by delegations, to the maximum extent practicable .</w:t>
      </w:r>
    </w:p>
    <w:p w:rsidR="00916F3B" w:rsidRPr="003E6225" w:rsidRDefault="00916F3B" w:rsidP="00916F3B">
      <w:pPr>
        <w:rPr>
          <w:i/>
          <w:szCs w:val="24"/>
        </w:rPr>
      </w:pPr>
      <w:r w:rsidRPr="003E6225">
        <w:rPr>
          <w:i/>
          <w:szCs w:val="24"/>
        </w:rPr>
        <w:tab/>
        <w:t>further decides</w:t>
      </w:r>
    </w:p>
    <w:p w:rsidR="00916F3B" w:rsidRPr="00C0607E" w:rsidRDefault="00916F3B" w:rsidP="00916F3B">
      <w:r w:rsidRPr="00C0607E">
        <w:t>1</w:t>
      </w:r>
      <w:r w:rsidRPr="00C0607E">
        <w:tab/>
        <w:t>that in order to perform its work, JTG 4</w:t>
      </w:r>
      <w:r w:rsidRPr="00C0607E">
        <w:noBreakHyphen/>
        <w:t>5</w:t>
      </w:r>
      <w:r w:rsidRPr="00C0607E">
        <w:noBreakHyphen/>
        <w:t>6</w:t>
      </w:r>
      <w:r w:rsidRPr="00C0607E">
        <w:noBreakHyphen/>
        <w:t xml:space="preserve">7 </w:t>
      </w:r>
      <w:r>
        <w:t xml:space="preserve">may liaise, where required, </w:t>
      </w:r>
      <w:r w:rsidRPr="00C0607E">
        <w:t xml:space="preserve">with ITU-R Study Groups  and Working Parties in order to </w:t>
      </w:r>
      <w:r>
        <w:t>collect</w:t>
      </w:r>
      <w:r w:rsidRPr="00C0607E">
        <w:t xml:space="preserve"> necessary information;</w:t>
      </w:r>
    </w:p>
    <w:p w:rsidR="00916F3B" w:rsidRDefault="00916F3B" w:rsidP="00916F3B">
      <w:r w:rsidRPr="00C0607E">
        <w:t>2</w:t>
      </w:r>
      <w:r w:rsidRPr="00C0607E">
        <w:tab/>
        <w:t xml:space="preserve">that JTG 4-5-6-7 </w:t>
      </w:r>
      <w:r>
        <w:t>is to</w:t>
      </w:r>
      <w:r w:rsidRPr="00C0607E">
        <w:t xml:space="preserve"> conduct its work </w:t>
      </w:r>
      <w:r>
        <w:t>as a self-sufficient group</w:t>
      </w:r>
      <w:r w:rsidRPr="00C0607E">
        <w:t xml:space="preserve"> and </w:t>
      </w:r>
      <w:r>
        <w:t>does</w:t>
      </w:r>
      <w:r w:rsidRPr="00C0607E">
        <w:t xml:space="preserve"> not need to liaise the results of its studies to the other working parties</w:t>
      </w:r>
      <w:r>
        <w:t>;</w:t>
      </w:r>
      <w:r w:rsidRPr="00C0607E">
        <w:t xml:space="preserve"> </w:t>
      </w:r>
    </w:p>
    <w:p w:rsidR="00916F3B" w:rsidRPr="000E1C14" w:rsidRDefault="00916F3B" w:rsidP="00916F3B">
      <w:r>
        <w:t>3.</w:t>
      </w:r>
      <w:r>
        <w:tab/>
        <w:t>that w</w:t>
      </w:r>
      <w:r w:rsidRPr="000E1C14">
        <w:t xml:space="preserve">ith respect to the sharing studies being undertaken by JTG 4-5-6-7 in relation to Resolution </w:t>
      </w:r>
      <w:r w:rsidRPr="003E6225">
        <w:rPr>
          <w:b/>
          <w:bCs/>
        </w:rPr>
        <w:t>COM5/10</w:t>
      </w:r>
      <w:r>
        <w:rPr>
          <w:b/>
          <w:bCs/>
        </w:rPr>
        <w:t xml:space="preserve"> (WRC-12)</w:t>
      </w:r>
      <w:r w:rsidRPr="000E1C14">
        <w:t>, technical and operational characteristics</w:t>
      </w:r>
      <w:r>
        <w:t xml:space="preserve"> and</w:t>
      </w:r>
      <w:r w:rsidRPr="000E1C14">
        <w:t xml:space="preserve"> protection requirements </w:t>
      </w:r>
      <w:r>
        <w:t xml:space="preserve">from the concerned Working Parties </w:t>
      </w:r>
      <w:r w:rsidRPr="000E1C14">
        <w:t>as well as spectrum requirements from Working Parties 5D and 6A are to be submitted to</w:t>
      </w:r>
      <w:r>
        <w:t xml:space="preserve"> the</w:t>
      </w:r>
      <w:r w:rsidRPr="000E1C14">
        <w:t xml:space="preserve"> JTG before 31 December 2012</w:t>
      </w:r>
      <w:r>
        <w:t xml:space="preserve">; </w:t>
      </w:r>
    </w:p>
    <w:p w:rsidR="00916F3B" w:rsidRDefault="00916F3B" w:rsidP="00916F3B">
      <w:r>
        <w:lastRenderedPageBreak/>
        <w:t>4.</w:t>
      </w:r>
      <w:r>
        <w:tab/>
        <w:t>that w</w:t>
      </w:r>
      <w:r w:rsidRPr="000E1C14">
        <w:t>ith respect to the sharing studies being undertaken by JTG 4-5-6-7 in relation to Resolution</w:t>
      </w:r>
      <w:r>
        <w:t> </w:t>
      </w:r>
      <w:r w:rsidRPr="003E6225">
        <w:rPr>
          <w:b/>
          <w:bCs/>
        </w:rPr>
        <w:t>COM6/8</w:t>
      </w:r>
      <w:r>
        <w:rPr>
          <w:b/>
          <w:bCs/>
        </w:rPr>
        <w:t xml:space="preserve"> (WRC-12)</w:t>
      </w:r>
      <w:r w:rsidRPr="000E1C14">
        <w:t xml:space="preserve">, technical and operational characteristics, protection requirements </w:t>
      </w:r>
      <w:r>
        <w:t>and information on current and planned use from the concerned Working Parties as well as</w:t>
      </w:r>
      <w:r w:rsidRPr="000E1C14">
        <w:t xml:space="preserve"> spectrum requirements from the Working Parties </w:t>
      </w:r>
      <w:r>
        <w:t xml:space="preserve">5A and 5D </w:t>
      </w:r>
      <w:r w:rsidRPr="000E1C14">
        <w:t xml:space="preserve">are to be submitted to </w:t>
      </w:r>
      <w:r>
        <w:t xml:space="preserve">the </w:t>
      </w:r>
      <w:r w:rsidRPr="000E1C14">
        <w:t>JTG preferably by 31 July 2013</w:t>
      </w:r>
      <w:r>
        <w:t>;</w:t>
      </w:r>
    </w:p>
    <w:p w:rsidR="00916F3B" w:rsidRPr="00C0607E" w:rsidRDefault="00916F3B" w:rsidP="00916F3B">
      <w:r>
        <w:rPr>
          <w:rFonts w:cs="Calibri"/>
        </w:rPr>
        <w:t>5</w:t>
      </w:r>
      <w:r>
        <w:rPr>
          <w:rFonts w:cs="Calibri"/>
        </w:rPr>
        <w:tab/>
        <w:t xml:space="preserve">that JTG 4-5-6-7 conducts, with urgency, its studies in accordance with Resolution </w:t>
      </w:r>
      <w:r w:rsidRPr="003E6225">
        <w:rPr>
          <w:rFonts w:cs="Calibri"/>
          <w:b/>
          <w:bCs/>
        </w:rPr>
        <w:t>COM5/10 (WRC</w:t>
      </w:r>
      <w:r>
        <w:rPr>
          <w:rFonts w:cs="Calibri"/>
          <w:b/>
          <w:bCs/>
        </w:rPr>
        <w:noBreakHyphen/>
      </w:r>
      <w:r w:rsidRPr="003E6225">
        <w:rPr>
          <w:rFonts w:cs="Calibri"/>
          <w:b/>
          <w:bCs/>
        </w:rPr>
        <w:t>12)</w:t>
      </w:r>
      <w:r>
        <w:rPr>
          <w:rFonts w:cs="Calibri"/>
        </w:rPr>
        <w:t>.</w:t>
      </w:r>
    </w:p>
    <w:p w:rsidR="00916F3B" w:rsidRDefault="00916F3B" w:rsidP="00916F3B">
      <w:pPr>
        <w:rPr>
          <w:szCs w:val="22"/>
        </w:rPr>
      </w:pPr>
    </w:p>
    <w:p w:rsidR="00916F3B" w:rsidRDefault="00916F3B" w:rsidP="00916F3B">
      <w:pPr>
        <w:rPr>
          <w:szCs w:val="22"/>
        </w:rPr>
      </w:pPr>
    </w:p>
    <w:p w:rsidR="00916F3B" w:rsidRPr="009C7012" w:rsidRDefault="00916F3B" w:rsidP="00916F3B">
      <w:pPr>
        <w:rPr>
          <w:szCs w:val="24"/>
        </w:rPr>
      </w:pPr>
      <w:r w:rsidRPr="009C7012">
        <w:rPr>
          <w:szCs w:val="24"/>
        </w:rPr>
        <w:t xml:space="preserve">The Chairman of the group is </w:t>
      </w:r>
      <w:r>
        <w:rPr>
          <w:szCs w:val="24"/>
        </w:rPr>
        <w:t>Mr Thomas Ewers (D).</w:t>
      </w:r>
    </w:p>
    <w:p w:rsidR="00916F3B" w:rsidRPr="009C7012" w:rsidRDefault="00916F3B" w:rsidP="00916F3B">
      <w:pPr>
        <w:rPr>
          <w:szCs w:val="24"/>
        </w:rPr>
      </w:pPr>
      <w:r w:rsidRPr="009C7012">
        <w:rPr>
          <w:szCs w:val="24"/>
        </w:rPr>
        <w:t>The Vice-Chairmen</w:t>
      </w:r>
      <w:r>
        <w:rPr>
          <w:szCs w:val="24"/>
        </w:rPr>
        <w:t>: TBD.</w:t>
      </w:r>
    </w:p>
    <w:p w:rsidR="009B23AF" w:rsidRPr="009B23AF" w:rsidRDefault="009B23AF" w:rsidP="001F545D">
      <w:pPr>
        <w:jc w:val="center"/>
      </w:pPr>
    </w:p>
    <w:sectPr w:rsidR="009B23AF" w:rsidRPr="009B23AF" w:rsidSect="000B4CC0">
      <w:pgSz w:w="11906" w:h="16838"/>
      <w:pgMar w:top="1417" w:right="1417" w:bottom="1134" w:left="1417" w:header="720" w:footer="72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8705F" w:rsidRDefault="0048705F">
      <w:r>
        <w:separator/>
      </w:r>
    </w:p>
  </w:endnote>
  <w:endnote w:type="continuationSeparator" w:id="0">
    <w:p w:rsidR="0048705F" w:rsidRDefault="00487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20002A87" w:usb1="00000000" w:usb2="00000000"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2AF" w:usb1="09D77CFB" w:usb2="00000012" w:usb3="00000000" w:csb0="0008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8705F" w:rsidRDefault="0048705F">
      <w:r>
        <w:separator/>
      </w:r>
    </w:p>
  </w:footnote>
  <w:footnote w:type="continuationSeparator" w:id="0">
    <w:p w:rsidR="0048705F" w:rsidRDefault="0048705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500C61"/>
    <w:multiLevelType w:val="hybridMultilevel"/>
    <w:tmpl w:val="D7F0C46A"/>
    <w:lvl w:ilvl="0" w:tplc="040C0001">
      <w:start w:val="1"/>
      <w:numFmt w:val="bullet"/>
      <w:lvlText w:val=""/>
      <w:lvlJc w:val="left"/>
      <w:pPr>
        <w:tabs>
          <w:tab w:val="num" w:pos="294"/>
        </w:tabs>
        <w:ind w:left="294" w:hanging="360"/>
      </w:pPr>
      <w:rPr>
        <w:rFonts w:ascii="Symbol" w:hAnsi="Symbol" w:hint="default"/>
      </w:rPr>
    </w:lvl>
    <w:lvl w:ilvl="1" w:tplc="040C0003">
      <w:start w:val="1"/>
      <w:numFmt w:val="bullet"/>
      <w:lvlText w:val="o"/>
      <w:lvlJc w:val="left"/>
      <w:pPr>
        <w:tabs>
          <w:tab w:val="num" w:pos="1014"/>
        </w:tabs>
        <w:ind w:left="1014" w:hanging="360"/>
      </w:pPr>
      <w:rPr>
        <w:rFonts w:ascii="Courier New" w:hAnsi="Courier New" w:hint="default"/>
      </w:rPr>
    </w:lvl>
    <w:lvl w:ilvl="2" w:tplc="040C0005">
      <w:start w:val="1"/>
      <w:numFmt w:val="bullet"/>
      <w:lvlText w:val=""/>
      <w:lvlJc w:val="left"/>
      <w:pPr>
        <w:tabs>
          <w:tab w:val="num" w:pos="1734"/>
        </w:tabs>
        <w:ind w:left="1734" w:hanging="360"/>
      </w:pPr>
      <w:rPr>
        <w:rFonts w:ascii="Wingdings" w:hAnsi="Wingdings" w:hint="default"/>
      </w:rPr>
    </w:lvl>
    <w:lvl w:ilvl="3" w:tplc="040C0001" w:tentative="1">
      <w:start w:val="1"/>
      <w:numFmt w:val="bullet"/>
      <w:lvlText w:val=""/>
      <w:lvlJc w:val="left"/>
      <w:pPr>
        <w:tabs>
          <w:tab w:val="num" w:pos="2454"/>
        </w:tabs>
        <w:ind w:left="2454" w:hanging="360"/>
      </w:pPr>
      <w:rPr>
        <w:rFonts w:ascii="Symbol" w:hAnsi="Symbol" w:hint="default"/>
      </w:rPr>
    </w:lvl>
    <w:lvl w:ilvl="4" w:tplc="040C0003" w:tentative="1">
      <w:start w:val="1"/>
      <w:numFmt w:val="bullet"/>
      <w:lvlText w:val="o"/>
      <w:lvlJc w:val="left"/>
      <w:pPr>
        <w:tabs>
          <w:tab w:val="num" w:pos="3174"/>
        </w:tabs>
        <w:ind w:left="3174" w:hanging="360"/>
      </w:pPr>
      <w:rPr>
        <w:rFonts w:ascii="Courier New" w:hAnsi="Courier New" w:hint="default"/>
      </w:rPr>
    </w:lvl>
    <w:lvl w:ilvl="5" w:tplc="040C0005" w:tentative="1">
      <w:start w:val="1"/>
      <w:numFmt w:val="bullet"/>
      <w:lvlText w:val=""/>
      <w:lvlJc w:val="left"/>
      <w:pPr>
        <w:tabs>
          <w:tab w:val="num" w:pos="3894"/>
        </w:tabs>
        <w:ind w:left="3894" w:hanging="360"/>
      </w:pPr>
      <w:rPr>
        <w:rFonts w:ascii="Wingdings" w:hAnsi="Wingdings" w:hint="default"/>
      </w:rPr>
    </w:lvl>
    <w:lvl w:ilvl="6" w:tplc="040C0001" w:tentative="1">
      <w:start w:val="1"/>
      <w:numFmt w:val="bullet"/>
      <w:lvlText w:val=""/>
      <w:lvlJc w:val="left"/>
      <w:pPr>
        <w:tabs>
          <w:tab w:val="num" w:pos="4614"/>
        </w:tabs>
        <w:ind w:left="4614" w:hanging="360"/>
      </w:pPr>
      <w:rPr>
        <w:rFonts w:ascii="Symbol" w:hAnsi="Symbol" w:hint="default"/>
      </w:rPr>
    </w:lvl>
    <w:lvl w:ilvl="7" w:tplc="040C0003" w:tentative="1">
      <w:start w:val="1"/>
      <w:numFmt w:val="bullet"/>
      <w:lvlText w:val="o"/>
      <w:lvlJc w:val="left"/>
      <w:pPr>
        <w:tabs>
          <w:tab w:val="num" w:pos="5334"/>
        </w:tabs>
        <w:ind w:left="5334" w:hanging="360"/>
      </w:pPr>
      <w:rPr>
        <w:rFonts w:ascii="Courier New" w:hAnsi="Courier New" w:hint="default"/>
      </w:rPr>
    </w:lvl>
    <w:lvl w:ilvl="8" w:tplc="040C0005" w:tentative="1">
      <w:start w:val="1"/>
      <w:numFmt w:val="bullet"/>
      <w:lvlText w:val=""/>
      <w:lvlJc w:val="left"/>
      <w:pPr>
        <w:tabs>
          <w:tab w:val="num" w:pos="6054"/>
        </w:tabs>
        <w:ind w:left="6054" w:hanging="360"/>
      </w:pPr>
      <w:rPr>
        <w:rFonts w:ascii="Wingdings" w:hAnsi="Wingdings" w:hint="default"/>
      </w:rPr>
    </w:lvl>
  </w:abstractNum>
  <w:abstractNum w:abstractNumId="1">
    <w:nsid w:val="04D62740"/>
    <w:multiLevelType w:val="hybridMultilevel"/>
    <w:tmpl w:val="0706DCDA"/>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nsid w:val="08501D3B"/>
    <w:multiLevelType w:val="hybridMultilevel"/>
    <w:tmpl w:val="3E1AFBDC"/>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109442EE">
      <w:start w:val="1"/>
      <w:numFmt w:val="decimal"/>
      <w:lvlText w:val="%3)"/>
      <w:lvlJc w:val="left"/>
      <w:pPr>
        <w:tabs>
          <w:tab w:val="num" w:pos="2340"/>
        </w:tabs>
        <w:ind w:left="2340" w:hanging="360"/>
      </w:pPr>
      <w:rPr>
        <w:rFonts w:cs="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3">
    <w:nsid w:val="0E18733A"/>
    <w:multiLevelType w:val="hybridMultilevel"/>
    <w:tmpl w:val="BD52934A"/>
    <w:lvl w:ilvl="0" w:tplc="040C0001">
      <w:start w:val="1"/>
      <w:numFmt w:val="bullet"/>
      <w:lvlText w:val=""/>
      <w:lvlJc w:val="left"/>
      <w:pPr>
        <w:ind w:left="294" w:hanging="360"/>
      </w:pPr>
      <w:rPr>
        <w:rFonts w:ascii="Symbol" w:hAnsi="Symbol" w:hint="default"/>
      </w:rPr>
    </w:lvl>
    <w:lvl w:ilvl="1" w:tplc="040C0003">
      <w:start w:val="1"/>
      <w:numFmt w:val="bullet"/>
      <w:lvlText w:val="o"/>
      <w:lvlJc w:val="left"/>
      <w:pPr>
        <w:ind w:left="1014" w:hanging="360"/>
      </w:pPr>
      <w:rPr>
        <w:rFonts w:ascii="Courier New" w:hAnsi="Courier New" w:cs="Courier New" w:hint="default"/>
      </w:rPr>
    </w:lvl>
    <w:lvl w:ilvl="2" w:tplc="040C0005" w:tentative="1">
      <w:start w:val="1"/>
      <w:numFmt w:val="bullet"/>
      <w:lvlText w:val=""/>
      <w:lvlJc w:val="left"/>
      <w:pPr>
        <w:ind w:left="1734" w:hanging="360"/>
      </w:pPr>
      <w:rPr>
        <w:rFonts w:ascii="Wingdings" w:hAnsi="Wingdings" w:hint="default"/>
      </w:rPr>
    </w:lvl>
    <w:lvl w:ilvl="3" w:tplc="040C0001" w:tentative="1">
      <w:start w:val="1"/>
      <w:numFmt w:val="bullet"/>
      <w:lvlText w:val=""/>
      <w:lvlJc w:val="left"/>
      <w:pPr>
        <w:ind w:left="2454" w:hanging="360"/>
      </w:pPr>
      <w:rPr>
        <w:rFonts w:ascii="Symbol" w:hAnsi="Symbol" w:hint="default"/>
      </w:rPr>
    </w:lvl>
    <w:lvl w:ilvl="4" w:tplc="040C0003" w:tentative="1">
      <w:start w:val="1"/>
      <w:numFmt w:val="bullet"/>
      <w:lvlText w:val="o"/>
      <w:lvlJc w:val="left"/>
      <w:pPr>
        <w:ind w:left="3174" w:hanging="360"/>
      </w:pPr>
      <w:rPr>
        <w:rFonts w:ascii="Courier New" w:hAnsi="Courier New" w:cs="Courier New" w:hint="default"/>
      </w:rPr>
    </w:lvl>
    <w:lvl w:ilvl="5" w:tplc="040C0005" w:tentative="1">
      <w:start w:val="1"/>
      <w:numFmt w:val="bullet"/>
      <w:lvlText w:val=""/>
      <w:lvlJc w:val="left"/>
      <w:pPr>
        <w:ind w:left="3894" w:hanging="360"/>
      </w:pPr>
      <w:rPr>
        <w:rFonts w:ascii="Wingdings" w:hAnsi="Wingdings" w:hint="default"/>
      </w:rPr>
    </w:lvl>
    <w:lvl w:ilvl="6" w:tplc="040C0001" w:tentative="1">
      <w:start w:val="1"/>
      <w:numFmt w:val="bullet"/>
      <w:lvlText w:val=""/>
      <w:lvlJc w:val="left"/>
      <w:pPr>
        <w:ind w:left="4614" w:hanging="360"/>
      </w:pPr>
      <w:rPr>
        <w:rFonts w:ascii="Symbol" w:hAnsi="Symbol" w:hint="default"/>
      </w:rPr>
    </w:lvl>
    <w:lvl w:ilvl="7" w:tplc="040C0003" w:tentative="1">
      <w:start w:val="1"/>
      <w:numFmt w:val="bullet"/>
      <w:lvlText w:val="o"/>
      <w:lvlJc w:val="left"/>
      <w:pPr>
        <w:ind w:left="5334" w:hanging="360"/>
      </w:pPr>
      <w:rPr>
        <w:rFonts w:ascii="Courier New" w:hAnsi="Courier New" w:cs="Courier New" w:hint="default"/>
      </w:rPr>
    </w:lvl>
    <w:lvl w:ilvl="8" w:tplc="040C0005" w:tentative="1">
      <w:start w:val="1"/>
      <w:numFmt w:val="bullet"/>
      <w:lvlText w:val=""/>
      <w:lvlJc w:val="left"/>
      <w:pPr>
        <w:ind w:left="6054" w:hanging="360"/>
      </w:pPr>
      <w:rPr>
        <w:rFonts w:ascii="Wingdings" w:hAnsi="Wingdings" w:hint="default"/>
      </w:rPr>
    </w:lvl>
  </w:abstractNum>
  <w:abstractNum w:abstractNumId="4">
    <w:nsid w:val="1A851637"/>
    <w:multiLevelType w:val="hybridMultilevel"/>
    <w:tmpl w:val="CD5276FE"/>
    <w:lvl w:ilvl="0" w:tplc="040C0003">
      <w:start w:val="1"/>
      <w:numFmt w:val="bullet"/>
      <w:lvlText w:val="o"/>
      <w:lvlJc w:val="left"/>
      <w:pPr>
        <w:tabs>
          <w:tab w:val="num" w:pos="1068"/>
        </w:tabs>
        <w:ind w:left="1068" w:hanging="360"/>
      </w:pPr>
      <w:rPr>
        <w:rFonts w:ascii="Courier New" w:hAnsi="Courier New" w:hint="default"/>
      </w:rPr>
    </w:lvl>
    <w:lvl w:ilvl="1" w:tplc="040C000F">
      <w:start w:val="1"/>
      <w:numFmt w:val="decimal"/>
      <w:lvlText w:val="%2."/>
      <w:lvlJc w:val="left"/>
      <w:pPr>
        <w:tabs>
          <w:tab w:val="num" w:pos="1788"/>
        </w:tabs>
        <w:ind w:left="1788" w:hanging="360"/>
      </w:pPr>
      <w:rPr>
        <w:rFonts w:cs="Times New Roman" w:hint="default"/>
      </w:rPr>
    </w:lvl>
    <w:lvl w:ilvl="2" w:tplc="87568AE0">
      <w:start w:val="10"/>
      <w:numFmt w:val="decimal"/>
      <w:lvlText w:val="%3"/>
      <w:lvlJc w:val="left"/>
      <w:pPr>
        <w:tabs>
          <w:tab w:val="num" w:pos="2508"/>
        </w:tabs>
        <w:ind w:left="2508" w:hanging="360"/>
      </w:pPr>
      <w:rPr>
        <w:rFonts w:cs="Times New Roman" w:hint="default"/>
      </w:rPr>
    </w:lvl>
    <w:lvl w:ilvl="3" w:tplc="040C0001">
      <w:start w:val="1"/>
      <w:numFmt w:val="bullet"/>
      <w:lvlText w:val=""/>
      <w:lvlJc w:val="left"/>
      <w:pPr>
        <w:tabs>
          <w:tab w:val="num" w:pos="3228"/>
        </w:tabs>
        <w:ind w:left="3228" w:hanging="360"/>
      </w:pPr>
      <w:rPr>
        <w:rFonts w:ascii="Symbol" w:hAnsi="Symbol" w:hint="default"/>
      </w:rPr>
    </w:lvl>
    <w:lvl w:ilvl="4" w:tplc="040C0003" w:tentative="1">
      <w:start w:val="1"/>
      <w:numFmt w:val="bullet"/>
      <w:lvlText w:val="o"/>
      <w:lvlJc w:val="left"/>
      <w:pPr>
        <w:tabs>
          <w:tab w:val="num" w:pos="3948"/>
        </w:tabs>
        <w:ind w:left="3948" w:hanging="360"/>
      </w:pPr>
      <w:rPr>
        <w:rFonts w:ascii="Courier New" w:hAnsi="Courier New" w:hint="default"/>
      </w:rPr>
    </w:lvl>
    <w:lvl w:ilvl="5" w:tplc="040C0005" w:tentative="1">
      <w:start w:val="1"/>
      <w:numFmt w:val="bullet"/>
      <w:lvlText w:val=""/>
      <w:lvlJc w:val="left"/>
      <w:pPr>
        <w:tabs>
          <w:tab w:val="num" w:pos="4668"/>
        </w:tabs>
        <w:ind w:left="4668" w:hanging="360"/>
      </w:pPr>
      <w:rPr>
        <w:rFonts w:ascii="Wingdings" w:hAnsi="Wingdings" w:hint="default"/>
      </w:rPr>
    </w:lvl>
    <w:lvl w:ilvl="6" w:tplc="040C0001" w:tentative="1">
      <w:start w:val="1"/>
      <w:numFmt w:val="bullet"/>
      <w:lvlText w:val=""/>
      <w:lvlJc w:val="left"/>
      <w:pPr>
        <w:tabs>
          <w:tab w:val="num" w:pos="5388"/>
        </w:tabs>
        <w:ind w:left="5388" w:hanging="360"/>
      </w:pPr>
      <w:rPr>
        <w:rFonts w:ascii="Symbol" w:hAnsi="Symbol" w:hint="default"/>
      </w:rPr>
    </w:lvl>
    <w:lvl w:ilvl="7" w:tplc="040C0003" w:tentative="1">
      <w:start w:val="1"/>
      <w:numFmt w:val="bullet"/>
      <w:lvlText w:val="o"/>
      <w:lvlJc w:val="left"/>
      <w:pPr>
        <w:tabs>
          <w:tab w:val="num" w:pos="6108"/>
        </w:tabs>
        <w:ind w:left="6108" w:hanging="360"/>
      </w:pPr>
      <w:rPr>
        <w:rFonts w:ascii="Courier New" w:hAnsi="Courier New" w:hint="default"/>
      </w:rPr>
    </w:lvl>
    <w:lvl w:ilvl="8" w:tplc="040C0005" w:tentative="1">
      <w:start w:val="1"/>
      <w:numFmt w:val="bullet"/>
      <w:lvlText w:val=""/>
      <w:lvlJc w:val="left"/>
      <w:pPr>
        <w:tabs>
          <w:tab w:val="num" w:pos="6828"/>
        </w:tabs>
        <w:ind w:left="6828" w:hanging="360"/>
      </w:pPr>
      <w:rPr>
        <w:rFonts w:ascii="Wingdings" w:hAnsi="Wingdings" w:hint="default"/>
      </w:rPr>
    </w:lvl>
  </w:abstractNum>
  <w:abstractNum w:abstractNumId="5">
    <w:nsid w:val="1EDB700D"/>
    <w:multiLevelType w:val="hybridMultilevel"/>
    <w:tmpl w:val="9A04190A"/>
    <w:lvl w:ilvl="0" w:tplc="040C0001">
      <w:start w:val="1"/>
      <w:numFmt w:val="bullet"/>
      <w:lvlText w:val=""/>
      <w:lvlJc w:val="left"/>
      <w:pPr>
        <w:tabs>
          <w:tab w:val="num" w:pos="360"/>
        </w:tabs>
        <w:ind w:left="360" w:hanging="360"/>
      </w:pPr>
      <w:rPr>
        <w:rFonts w:ascii="Symbol" w:hAnsi="Symbol" w:hint="default"/>
      </w:rPr>
    </w:lvl>
    <w:lvl w:ilvl="1" w:tplc="040C0003">
      <w:start w:val="1"/>
      <w:numFmt w:val="bullet"/>
      <w:lvlText w:val="o"/>
      <w:lvlJc w:val="left"/>
      <w:pPr>
        <w:tabs>
          <w:tab w:val="num" w:pos="1080"/>
        </w:tabs>
        <w:ind w:left="1080" w:hanging="360"/>
      </w:pPr>
      <w:rPr>
        <w:rFonts w:ascii="Courier New" w:hAnsi="Courier New" w:hint="default"/>
      </w:rPr>
    </w:lvl>
    <w:lvl w:ilvl="2" w:tplc="040C0005">
      <w:start w:val="1"/>
      <w:numFmt w:val="bullet"/>
      <w:lvlText w:val=""/>
      <w:lvlJc w:val="left"/>
      <w:pPr>
        <w:tabs>
          <w:tab w:val="num" w:pos="1800"/>
        </w:tabs>
        <w:ind w:left="1800" w:hanging="360"/>
      </w:pPr>
      <w:rPr>
        <w:rFonts w:ascii="Wingdings" w:hAnsi="Wingdings" w:hint="default"/>
      </w:rPr>
    </w:lvl>
    <w:lvl w:ilvl="3" w:tplc="040C0001">
      <w:start w:val="1"/>
      <w:numFmt w:val="bullet"/>
      <w:lvlText w:val=""/>
      <w:lvlJc w:val="left"/>
      <w:pPr>
        <w:tabs>
          <w:tab w:val="num" w:pos="2520"/>
        </w:tabs>
        <w:ind w:left="2520" w:hanging="360"/>
      </w:pPr>
      <w:rPr>
        <w:rFonts w:ascii="Symbol" w:hAnsi="Symbol" w:hint="default"/>
      </w:rPr>
    </w:lvl>
    <w:lvl w:ilvl="4" w:tplc="040C0003">
      <w:start w:val="1"/>
      <w:numFmt w:val="bullet"/>
      <w:lvlText w:val="o"/>
      <w:lvlJc w:val="left"/>
      <w:pPr>
        <w:tabs>
          <w:tab w:val="num" w:pos="3240"/>
        </w:tabs>
        <w:ind w:left="3240" w:hanging="360"/>
      </w:pPr>
      <w:rPr>
        <w:rFonts w:ascii="Courier New" w:hAnsi="Courier New" w:hint="default"/>
      </w:rPr>
    </w:lvl>
    <w:lvl w:ilvl="5" w:tplc="040C0005">
      <w:start w:val="1"/>
      <w:numFmt w:val="bullet"/>
      <w:lvlText w:val=""/>
      <w:lvlJc w:val="left"/>
      <w:pPr>
        <w:tabs>
          <w:tab w:val="num" w:pos="3960"/>
        </w:tabs>
        <w:ind w:left="3960" w:hanging="360"/>
      </w:pPr>
      <w:rPr>
        <w:rFonts w:ascii="Wingdings" w:hAnsi="Wingdings" w:hint="default"/>
      </w:rPr>
    </w:lvl>
    <w:lvl w:ilvl="6" w:tplc="040C0001" w:tentative="1">
      <w:start w:val="1"/>
      <w:numFmt w:val="bullet"/>
      <w:lvlText w:val=""/>
      <w:lvlJc w:val="left"/>
      <w:pPr>
        <w:tabs>
          <w:tab w:val="num" w:pos="4680"/>
        </w:tabs>
        <w:ind w:left="4680" w:hanging="360"/>
      </w:pPr>
      <w:rPr>
        <w:rFonts w:ascii="Symbol" w:hAnsi="Symbol" w:hint="default"/>
      </w:rPr>
    </w:lvl>
    <w:lvl w:ilvl="7" w:tplc="040C0003" w:tentative="1">
      <w:start w:val="1"/>
      <w:numFmt w:val="bullet"/>
      <w:lvlText w:val="o"/>
      <w:lvlJc w:val="left"/>
      <w:pPr>
        <w:tabs>
          <w:tab w:val="num" w:pos="5400"/>
        </w:tabs>
        <w:ind w:left="5400" w:hanging="360"/>
      </w:pPr>
      <w:rPr>
        <w:rFonts w:ascii="Courier New" w:hAnsi="Courier New" w:hint="default"/>
      </w:rPr>
    </w:lvl>
    <w:lvl w:ilvl="8" w:tplc="040C0005" w:tentative="1">
      <w:start w:val="1"/>
      <w:numFmt w:val="bullet"/>
      <w:lvlText w:val=""/>
      <w:lvlJc w:val="left"/>
      <w:pPr>
        <w:tabs>
          <w:tab w:val="num" w:pos="6120"/>
        </w:tabs>
        <w:ind w:left="6120" w:hanging="360"/>
      </w:pPr>
      <w:rPr>
        <w:rFonts w:ascii="Wingdings" w:hAnsi="Wingdings" w:hint="default"/>
      </w:rPr>
    </w:lvl>
  </w:abstractNum>
  <w:abstractNum w:abstractNumId="6">
    <w:nsid w:val="33AB56AD"/>
    <w:multiLevelType w:val="hybridMultilevel"/>
    <w:tmpl w:val="B6AA2452"/>
    <w:lvl w:ilvl="0" w:tplc="040C0001">
      <w:start w:val="1"/>
      <w:numFmt w:val="bullet"/>
      <w:lvlText w:val=""/>
      <w:lvlJc w:val="left"/>
      <w:pPr>
        <w:tabs>
          <w:tab w:val="num" w:pos="720"/>
        </w:tabs>
        <w:ind w:left="720" w:hanging="360"/>
      </w:pPr>
      <w:rPr>
        <w:rFonts w:ascii="Symbol" w:hAnsi="Symbol" w:hint="default"/>
      </w:rPr>
    </w:lvl>
    <w:lvl w:ilvl="1" w:tplc="040C0001">
      <w:start w:val="1"/>
      <w:numFmt w:val="bullet"/>
      <w:lvlText w:val=""/>
      <w:lvlJc w:val="left"/>
      <w:pPr>
        <w:tabs>
          <w:tab w:val="num" w:pos="1440"/>
        </w:tabs>
        <w:ind w:left="1440" w:hanging="360"/>
      </w:pPr>
      <w:rPr>
        <w:rFonts w:ascii="Symbol" w:hAnsi="Symbol" w:hint="default"/>
      </w:rPr>
    </w:lvl>
    <w:lvl w:ilvl="2" w:tplc="109442EE">
      <w:start w:val="1"/>
      <w:numFmt w:val="decimal"/>
      <w:lvlText w:val="%3)"/>
      <w:lvlJc w:val="left"/>
      <w:pPr>
        <w:tabs>
          <w:tab w:val="num" w:pos="2340"/>
        </w:tabs>
        <w:ind w:left="2340" w:hanging="360"/>
      </w:pPr>
      <w:rPr>
        <w:rFonts w:cs="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7">
    <w:nsid w:val="33E637B0"/>
    <w:multiLevelType w:val="hybridMultilevel"/>
    <w:tmpl w:val="559242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nsid w:val="36743476"/>
    <w:multiLevelType w:val="hybridMultilevel"/>
    <w:tmpl w:val="A4F854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nsid w:val="45C85D10"/>
    <w:multiLevelType w:val="hybridMultilevel"/>
    <w:tmpl w:val="E4DC9032"/>
    <w:lvl w:ilvl="0" w:tplc="040C0001">
      <w:start w:val="1"/>
      <w:numFmt w:val="bullet"/>
      <w:lvlText w:val=""/>
      <w:lvlJc w:val="left"/>
      <w:pPr>
        <w:tabs>
          <w:tab w:val="num" w:pos="1014"/>
        </w:tabs>
        <w:ind w:left="1014" w:hanging="360"/>
      </w:pPr>
      <w:rPr>
        <w:rFonts w:ascii="Symbol" w:hAnsi="Symbol" w:hint="default"/>
      </w:rPr>
    </w:lvl>
    <w:lvl w:ilvl="1" w:tplc="040C0003" w:tentative="1">
      <w:start w:val="1"/>
      <w:numFmt w:val="bullet"/>
      <w:lvlText w:val="o"/>
      <w:lvlJc w:val="left"/>
      <w:pPr>
        <w:tabs>
          <w:tab w:val="num" w:pos="1734"/>
        </w:tabs>
        <w:ind w:left="1734" w:hanging="360"/>
      </w:pPr>
      <w:rPr>
        <w:rFonts w:ascii="Courier New" w:hAnsi="Courier New" w:hint="default"/>
      </w:rPr>
    </w:lvl>
    <w:lvl w:ilvl="2" w:tplc="040C0005" w:tentative="1">
      <w:start w:val="1"/>
      <w:numFmt w:val="bullet"/>
      <w:lvlText w:val=""/>
      <w:lvlJc w:val="left"/>
      <w:pPr>
        <w:tabs>
          <w:tab w:val="num" w:pos="2454"/>
        </w:tabs>
        <w:ind w:left="2454" w:hanging="360"/>
      </w:pPr>
      <w:rPr>
        <w:rFonts w:ascii="Wingdings" w:hAnsi="Wingdings" w:hint="default"/>
      </w:rPr>
    </w:lvl>
    <w:lvl w:ilvl="3" w:tplc="040C0001" w:tentative="1">
      <w:start w:val="1"/>
      <w:numFmt w:val="bullet"/>
      <w:lvlText w:val=""/>
      <w:lvlJc w:val="left"/>
      <w:pPr>
        <w:tabs>
          <w:tab w:val="num" w:pos="3174"/>
        </w:tabs>
        <w:ind w:left="3174" w:hanging="360"/>
      </w:pPr>
      <w:rPr>
        <w:rFonts w:ascii="Symbol" w:hAnsi="Symbol" w:hint="default"/>
      </w:rPr>
    </w:lvl>
    <w:lvl w:ilvl="4" w:tplc="040C0003" w:tentative="1">
      <w:start w:val="1"/>
      <w:numFmt w:val="bullet"/>
      <w:lvlText w:val="o"/>
      <w:lvlJc w:val="left"/>
      <w:pPr>
        <w:tabs>
          <w:tab w:val="num" w:pos="3894"/>
        </w:tabs>
        <w:ind w:left="3894" w:hanging="360"/>
      </w:pPr>
      <w:rPr>
        <w:rFonts w:ascii="Courier New" w:hAnsi="Courier New" w:hint="default"/>
      </w:rPr>
    </w:lvl>
    <w:lvl w:ilvl="5" w:tplc="040C0005" w:tentative="1">
      <w:start w:val="1"/>
      <w:numFmt w:val="bullet"/>
      <w:lvlText w:val=""/>
      <w:lvlJc w:val="left"/>
      <w:pPr>
        <w:tabs>
          <w:tab w:val="num" w:pos="4614"/>
        </w:tabs>
        <w:ind w:left="4614" w:hanging="360"/>
      </w:pPr>
      <w:rPr>
        <w:rFonts w:ascii="Wingdings" w:hAnsi="Wingdings" w:hint="default"/>
      </w:rPr>
    </w:lvl>
    <w:lvl w:ilvl="6" w:tplc="040C0001" w:tentative="1">
      <w:start w:val="1"/>
      <w:numFmt w:val="bullet"/>
      <w:lvlText w:val=""/>
      <w:lvlJc w:val="left"/>
      <w:pPr>
        <w:tabs>
          <w:tab w:val="num" w:pos="5334"/>
        </w:tabs>
        <w:ind w:left="5334" w:hanging="360"/>
      </w:pPr>
      <w:rPr>
        <w:rFonts w:ascii="Symbol" w:hAnsi="Symbol" w:hint="default"/>
      </w:rPr>
    </w:lvl>
    <w:lvl w:ilvl="7" w:tplc="040C0003" w:tentative="1">
      <w:start w:val="1"/>
      <w:numFmt w:val="bullet"/>
      <w:lvlText w:val="o"/>
      <w:lvlJc w:val="left"/>
      <w:pPr>
        <w:tabs>
          <w:tab w:val="num" w:pos="6054"/>
        </w:tabs>
        <w:ind w:left="6054" w:hanging="360"/>
      </w:pPr>
      <w:rPr>
        <w:rFonts w:ascii="Courier New" w:hAnsi="Courier New" w:hint="default"/>
      </w:rPr>
    </w:lvl>
    <w:lvl w:ilvl="8" w:tplc="040C0005" w:tentative="1">
      <w:start w:val="1"/>
      <w:numFmt w:val="bullet"/>
      <w:lvlText w:val=""/>
      <w:lvlJc w:val="left"/>
      <w:pPr>
        <w:tabs>
          <w:tab w:val="num" w:pos="6774"/>
        </w:tabs>
        <w:ind w:left="6774" w:hanging="360"/>
      </w:pPr>
      <w:rPr>
        <w:rFonts w:ascii="Wingdings" w:hAnsi="Wingdings" w:hint="default"/>
      </w:rPr>
    </w:lvl>
  </w:abstractNum>
  <w:abstractNum w:abstractNumId="10">
    <w:nsid w:val="4D6271D6"/>
    <w:multiLevelType w:val="hybridMultilevel"/>
    <w:tmpl w:val="4D24E0FA"/>
    <w:lvl w:ilvl="0" w:tplc="A51A417A">
      <w:start w:val="4"/>
      <w:numFmt w:val="bullet"/>
      <w:lvlText w:val=""/>
      <w:lvlJc w:val="left"/>
      <w:pPr>
        <w:tabs>
          <w:tab w:val="num" w:pos="1184"/>
        </w:tabs>
        <w:ind w:left="1184" w:hanging="390"/>
      </w:pPr>
      <w:rPr>
        <w:rFonts w:ascii="Wingdings" w:eastAsia="MS Mincho" w:hAnsi="Wingdings" w:hint="default"/>
      </w:rPr>
    </w:lvl>
    <w:lvl w:ilvl="1" w:tplc="10090003" w:tentative="1">
      <w:start w:val="1"/>
      <w:numFmt w:val="bullet"/>
      <w:lvlText w:val="o"/>
      <w:lvlJc w:val="left"/>
      <w:pPr>
        <w:tabs>
          <w:tab w:val="num" w:pos="1874"/>
        </w:tabs>
        <w:ind w:left="1874" w:hanging="360"/>
      </w:pPr>
      <w:rPr>
        <w:rFonts w:ascii="Courier New" w:hAnsi="Courier New" w:hint="default"/>
      </w:rPr>
    </w:lvl>
    <w:lvl w:ilvl="2" w:tplc="10090005" w:tentative="1">
      <w:start w:val="1"/>
      <w:numFmt w:val="bullet"/>
      <w:lvlText w:val=""/>
      <w:lvlJc w:val="left"/>
      <w:pPr>
        <w:tabs>
          <w:tab w:val="num" w:pos="2594"/>
        </w:tabs>
        <w:ind w:left="2594" w:hanging="360"/>
      </w:pPr>
      <w:rPr>
        <w:rFonts w:ascii="Wingdings" w:hAnsi="Wingdings" w:hint="default"/>
      </w:rPr>
    </w:lvl>
    <w:lvl w:ilvl="3" w:tplc="10090001" w:tentative="1">
      <w:start w:val="1"/>
      <w:numFmt w:val="bullet"/>
      <w:lvlText w:val=""/>
      <w:lvlJc w:val="left"/>
      <w:pPr>
        <w:tabs>
          <w:tab w:val="num" w:pos="3314"/>
        </w:tabs>
        <w:ind w:left="3314" w:hanging="360"/>
      </w:pPr>
      <w:rPr>
        <w:rFonts w:ascii="Symbol" w:hAnsi="Symbol" w:hint="default"/>
      </w:rPr>
    </w:lvl>
    <w:lvl w:ilvl="4" w:tplc="10090003" w:tentative="1">
      <w:start w:val="1"/>
      <w:numFmt w:val="bullet"/>
      <w:lvlText w:val="o"/>
      <w:lvlJc w:val="left"/>
      <w:pPr>
        <w:tabs>
          <w:tab w:val="num" w:pos="4034"/>
        </w:tabs>
        <w:ind w:left="4034" w:hanging="360"/>
      </w:pPr>
      <w:rPr>
        <w:rFonts w:ascii="Courier New" w:hAnsi="Courier New" w:hint="default"/>
      </w:rPr>
    </w:lvl>
    <w:lvl w:ilvl="5" w:tplc="10090005" w:tentative="1">
      <w:start w:val="1"/>
      <w:numFmt w:val="bullet"/>
      <w:lvlText w:val=""/>
      <w:lvlJc w:val="left"/>
      <w:pPr>
        <w:tabs>
          <w:tab w:val="num" w:pos="4754"/>
        </w:tabs>
        <w:ind w:left="4754" w:hanging="360"/>
      </w:pPr>
      <w:rPr>
        <w:rFonts w:ascii="Wingdings" w:hAnsi="Wingdings" w:hint="default"/>
      </w:rPr>
    </w:lvl>
    <w:lvl w:ilvl="6" w:tplc="10090001" w:tentative="1">
      <w:start w:val="1"/>
      <w:numFmt w:val="bullet"/>
      <w:lvlText w:val=""/>
      <w:lvlJc w:val="left"/>
      <w:pPr>
        <w:tabs>
          <w:tab w:val="num" w:pos="5474"/>
        </w:tabs>
        <w:ind w:left="5474" w:hanging="360"/>
      </w:pPr>
      <w:rPr>
        <w:rFonts w:ascii="Symbol" w:hAnsi="Symbol" w:hint="default"/>
      </w:rPr>
    </w:lvl>
    <w:lvl w:ilvl="7" w:tplc="10090003" w:tentative="1">
      <w:start w:val="1"/>
      <w:numFmt w:val="bullet"/>
      <w:lvlText w:val="o"/>
      <w:lvlJc w:val="left"/>
      <w:pPr>
        <w:tabs>
          <w:tab w:val="num" w:pos="6194"/>
        </w:tabs>
        <w:ind w:left="6194" w:hanging="360"/>
      </w:pPr>
      <w:rPr>
        <w:rFonts w:ascii="Courier New" w:hAnsi="Courier New" w:hint="default"/>
      </w:rPr>
    </w:lvl>
    <w:lvl w:ilvl="8" w:tplc="10090005" w:tentative="1">
      <w:start w:val="1"/>
      <w:numFmt w:val="bullet"/>
      <w:lvlText w:val=""/>
      <w:lvlJc w:val="left"/>
      <w:pPr>
        <w:tabs>
          <w:tab w:val="num" w:pos="6914"/>
        </w:tabs>
        <w:ind w:left="6914" w:hanging="360"/>
      </w:pPr>
      <w:rPr>
        <w:rFonts w:ascii="Wingdings" w:hAnsi="Wingdings" w:hint="default"/>
      </w:rPr>
    </w:lvl>
  </w:abstractNum>
  <w:abstractNum w:abstractNumId="11">
    <w:nsid w:val="50977DC2"/>
    <w:multiLevelType w:val="hybridMultilevel"/>
    <w:tmpl w:val="C092463C"/>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2">
    <w:nsid w:val="528D3BA5"/>
    <w:multiLevelType w:val="hybridMultilevel"/>
    <w:tmpl w:val="25241776"/>
    <w:lvl w:ilvl="0" w:tplc="7DA0F19A">
      <w:start w:val="1"/>
      <w:numFmt w:val="decimal"/>
      <w:lvlText w:val="%1-"/>
      <w:lvlJc w:val="left"/>
      <w:pPr>
        <w:ind w:left="-66" w:hanging="360"/>
      </w:pPr>
      <w:rPr>
        <w:rFonts w:hint="default"/>
        <w:u w:val="single"/>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abstractNum w:abstractNumId="13">
    <w:nsid w:val="56E1497B"/>
    <w:multiLevelType w:val="multilevel"/>
    <w:tmpl w:val="679677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B812802"/>
    <w:multiLevelType w:val="hybridMultilevel"/>
    <w:tmpl w:val="28B87356"/>
    <w:lvl w:ilvl="0" w:tplc="040C000F">
      <w:start w:val="1"/>
      <w:numFmt w:val="decimal"/>
      <w:lvlText w:val="%1."/>
      <w:lvlJc w:val="left"/>
      <w:pPr>
        <w:tabs>
          <w:tab w:val="num" w:pos="720"/>
        </w:tabs>
        <w:ind w:left="720" w:hanging="360"/>
      </w:pPr>
      <w:rPr>
        <w:rFonts w:cs="Times New Roman" w:hint="default"/>
      </w:rPr>
    </w:lvl>
    <w:lvl w:ilvl="1" w:tplc="040C0001">
      <w:start w:val="1"/>
      <w:numFmt w:val="bullet"/>
      <w:lvlText w:val=""/>
      <w:lvlJc w:val="left"/>
      <w:pPr>
        <w:tabs>
          <w:tab w:val="num" w:pos="1440"/>
        </w:tabs>
        <w:ind w:left="1440" w:hanging="360"/>
      </w:pPr>
      <w:rPr>
        <w:rFonts w:ascii="Symbol" w:hAnsi="Symbol" w:hint="default"/>
      </w:rPr>
    </w:lvl>
    <w:lvl w:ilvl="2" w:tplc="109442EE">
      <w:start w:val="1"/>
      <w:numFmt w:val="decimal"/>
      <w:lvlText w:val="%3)"/>
      <w:lvlJc w:val="left"/>
      <w:pPr>
        <w:tabs>
          <w:tab w:val="num" w:pos="2340"/>
        </w:tabs>
        <w:ind w:left="2340" w:hanging="360"/>
      </w:pPr>
      <w:rPr>
        <w:rFonts w:cs="Times New Roman" w:hint="default"/>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5">
    <w:nsid w:val="678B0D7F"/>
    <w:multiLevelType w:val="hybridMultilevel"/>
    <w:tmpl w:val="9CD8AEEE"/>
    <w:lvl w:ilvl="0" w:tplc="10090001">
      <w:start w:val="1"/>
      <w:numFmt w:val="bullet"/>
      <w:lvlText w:val=""/>
      <w:lvlJc w:val="left"/>
      <w:pPr>
        <w:tabs>
          <w:tab w:val="num" w:pos="720"/>
        </w:tabs>
        <w:ind w:left="720" w:hanging="360"/>
      </w:pPr>
      <w:rPr>
        <w:rFonts w:ascii="Symbol" w:hAnsi="Symbol" w:hint="default"/>
      </w:rPr>
    </w:lvl>
    <w:lvl w:ilvl="1" w:tplc="10090003">
      <w:start w:val="1"/>
      <w:numFmt w:val="bullet"/>
      <w:lvlText w:val="o"/>
      <w:lvlJc w:val="left"/>
      <w:pPr>
        <w:tabs>
          <w:tab w:val="num" w:pos="1440"/>
        </w:tabs>
        <w:ind w:left="1440" w:hanging="360"/>
      </w:pPr>
      <w:rPr>
        <w:rFonts w:ascii="Courier New" w:hAnsi="Courier New" w:hint="default"/>
      </w:rPr>
    </w:lvl>
    <w:lvl w:ilvl="2" w:tplc="10090005">
      <w:start w:val="1"/>
      <w:numFmt w:val="bullet"/>
      <w:lvlText w:val=""/>
      <w:lvlJc w:val="left"/>
      <w:pPr>
        <w:tabs>
          <w:tab w:val="num" w:pos="2160"/>
        </w:tabs>
        <w:ind w:left="2160" w:hanging="360"/>
      </w:pPr>
      <w:rPr>
        <w:rFonts w:ascii="Wingdings" w:hAnsi="Wingdings" w:hint="default"/>
      </w:rPr>
    </w:lvl>
    <w:lvl w:ilvl="3" w:tplc="10090001">
      <w:start w:val="1"/>
      <w:numFmt w:val="bullet"/>
      <w:lvlText w:val=""/>
      <w:lvlJc w:val="left"/>
      <w:pPr>
        <w:tabs>
          <w:tab w:val="num" w:pos="2880"/>
        </w:tabs>
        <w:ind w:left="2880" w:hanging="360"/>
      </w:pPr>
      <w:rPr>
        <w:rFonts w:ascii="Symbol" w:hAnsi="Symbol" w:hint="default"/>
      </w:rPr>
    </w:lvl>
    <w:lvl w:ilvl="4" w:tplc="10090003">
      <w:start w:val="1"/>
      <w:numFmt w:val="bullet"/>
      <w:lvlText w:val="o"/>
      <w:lvlJc w:val="left"/>
      <w:pPr>
        <w:tabs>
          <w:tab w:val="num" w:pos="3600"/>
        </w:tabs>
        <w:ind w:left="3600" w:hanging="360"/>
      </w:pPr>
      <w:rPr>
        <w:rFonts w:ascii="Courier New" w:hAnsi="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16">
    <w:nsid w:val="75D52EAA"/>
    <w:multiLevelType w:val="hybridMultilevel"/>
    <w:tmpl w:val="E4FC4E96"/>
    <w:lvl w:ilvl="0" w:tplc="040C000F">
      <w:start w:val="1"/>
      <w:numFmt w:val="decimal"/>
      <w:lvlText w:val="%1."/>
      <w:lvlJc w:val="left"/>
      <w:pPr>
        <w:tabs>
          <w:tab w:val="num" w:pos="720"/>
        </w:tabs>
        <w:ind w:left="720" w:hanging="360"/>
      </w:pPr>
      <w:rPr>
        <w:rFonts w:cs="Times New Roman"/>
      </w:rPr>
    </w:lvl>
    <w:lvl w:ilvl="1" w:tplc="040C0019" w:tentative="1">
      <w:start w:val="1"/>
      <w:numFmt w:val="lowerLetter"/>
      <w:lvlText w:val="%2."/>
      <w:lvlJc w:val="left"/>
      <w:pPr>
        <w:tabs>
          <w:tab w:val="num" w:pos="1440"/>
        </w:tabs>
        <w:ind w:left="1440" w:hanging="360"/>
      </w:pPr>
      <w:rPr>
        <w:rFonts w:cs="Times New Roman"/>
      </w:rPr>
    </w:lvl>
    <w:lvl w:ilvl="2" w:tplc="040C001B" w:tentative="1">
      <w:start w:val="1"/>
      <w:numFmt w:val="lowerRoman"/>
      <w:lvlText w:val="%3."/>
      <w:lvlJc w:val="right"/>
      <w:pPr>
        <w:tabs>
          <w:tab w:val="num" w:pos="2160"/>
        </w:tabs>
        <w:ind w:left="2160" w:hanging="180"/>
      </w:pPr>
      <w:rPr>
        <w:rFonts w:cs="Times New Roman"/>
      </w:rPr>
    </w:lvl>
    <w:lvl w:ilvl="3" w:tplc="040C000F" w:tentative="1">
      <w:start w:val="1"/>
      <w:numFmt w:val="decimal"/>
      <w:lvlText w:val="%4."/>
      <w:lvlJc w:val="left"/>
      <w:pPr>
        <w:tabs>
          <w:tab w:val="num" w:pos="2880"/>
        </w:tabs>
        <w:ind w:left="2880" w:hanging="360"/>
      </w:pPr>
      <w:rPr>
        <w:rFonts w:cs="Times New Roman"/>
      </w:rPr>
    </w:lvl>
    <w:lvl w:ilvl="4" w:tplc="040C0019" w:tentative="1">
      <w:start w:val="1"/>
      <w:numFmt w:val="lowerLetter"/>
      <w:lvlText w:val="%5."/>
      <w:lvlJc w:val="left"/>
      <w:pPr>
        <w:tabs>
          <w:tab w:val="num" w:pos="3600"/>
        </w:tabs>
        <w:ind w:left="3600" w:hanging="360"/>
      </w:pPr>
      <w:rPr>
        <w:rFonts w:cs="Times New Roman"/>
      </w:rPr>
    </w:lvl>
    <w:lvl w:ilvl="5" w:tplc="040C001B" w:tentative="1">
      <w:start w:val="1"/>
      <w:numFmt w:val="lowerRoman"/>
      <w:lvlText w:val="%6."/>
      <w:lvlJc w:val="right"/>
      <w:pPr>
        <w:tabs>
          <w:tab w:val="num" w:pos="4320"/>
        </w:tabs>
        <w:ind w:left="4320" w:hanging="180"/>
      </w:pPr>
      <w:rPr>
        <w:rFonts w:cs="Times New Roman"/>
      </w:rPr>
    </w:lvl>
    <w:lvl w:ilvl="6" w:tplc="040C000F" w:tentative="1">
      <w:start w:val="1"/>
      <w:numFmt w:val="decimal"/>
      <w:lvlText w:val="%7."/>
      <w:lvlJc w:val="left"/>
      <w:pPr>
        <w:tabs>
          <w:tab w:val="num" w:pos="5040"/>
        </w:tabs>
        <w:ind w:left="5040" w:hanging="360"/>
      </w:pPr>
      <w:rPr>
        <w:rFonts w:cs="Times New Roman"/>
      </w:rPr>
    </w:lvl>
    <w:lvl w:ilvl="7" w:tplc="040C0019" w:tentative="1">
      <w:start w:val="1"/>
      <w:numFmt w:val="lowerLetter"/>
      <w:lvlText w:val="%8."/>
      <w:lvlJc w:val="left"/>
      <w:pPr>
        <w:tabs>
          <w:tab w:val="num" w:pos="5760"/>
        </w:tabs>
        <w:ind w:left="5760" w:hanging="360"/>
      </w:pPr>
      <w:rPr>
        <w:rFonts w:cs="Times New Roman"/>
      </w:rPr>
    </w:lvl>
    <w:lvl w:ilvl="8" w:tplc="040C001B" w:tentative="1">
      <w:start w:val="1"/>
      <w:numFmt w:val="lowerRoman"/>
      <w:lvlText w:val="%9."/>
      <w:lvlJc w:val="right"/>
      <w:pPr>
        <w:tabs>
          <w:tab w:val="num" w:pos="6480"/>
        </w:tabs>
        <w:ind w:left="6480" w:hanging="180"/>
      </w:pPr>
      <w:rPr>
        <w:rFonts w:cs="Times New Roman"/>
      </w:rPr>
    </w:lvl>
  </w:abstractNum>
  <w:abstractNum w:abstractNumId="17">
    <w:nsid w:val="7AE16B0A"/>
    <w:multiLevelType w:val="hybridMultilevel"/>
    <w:tmpl w:val="35EE67B4"/>
    <w:lvl w:ilvl="0" w:tplc="F2E0045A">
      <w:start w:val="1"/>
      <w:numFmt w:val="decimal"/>
      <w:lvlText w:val="%1-"/>
      <w:lvlJc w:val="left"/>
      <w:pPr>
        <w:ind w:left="-66" w:hanging="360"/>
      </w:pPr>
      <w:rPr>
        <w:rFonts w:hint="default"/>
      </w:rPr>
    </w:lvl>
    <w:lvl w:ilvl="1" w:tplc="040C0019" w:tentative="1">
      <w:start w:val="1"/>
      <w:numFmt w:val="lowerLetter"/>
      <w:lvlText w:val="%2."/>
      <w:lvlJc w:val="left"/>
      <w:pPr>
        <w:ind w:left="654" w:hanging="360"/>
      </w:pPr>
    </w:lvl>
    <w:lvl w:ilvl="2" w:tplc="040C001B" w:tentative="1">
      <w:start w:val="1"/>
      <w:numFmt w:val="lowerRoman"/>
      <w:lvlText w:val="%3."/>
      <w:lvlJc w:val="right"/>
      <w:pPr>
        <w:ind w:left="1374" w:hanging="180"/>
      </w:pPr>
    </w:lvl>
    <w:lvl w:ilvl="3" w:tplc="040C000F" w:tentative="1">
      <w:start w:val="1"/>
      <w:numFmt w:val="decimal"/>
      <w:lvlText w:val="%4."/>
      <w:lvlJc w:val="left"/>
      <w:pPr>
        <w:ind w:left="2094" w:hanging="360"/>
      </w:pPr>
    </w:lvl>
    <w:lvl w:ilvl="4" w:tplc="040C0019" w:tentative="1">
      <w:start w:val="1"/>
      <w:numFmt w:val="lowerLetter"/>
      <w:lvlText w:val="%5."/>
      <w:lvlJc w:val="left"/>
      <w:pPr>
        <w:ind w:left="2814" w:hanging="360"/>
      </w:pPr>
    </w:lvl>
    <w:lvl w:ilvl="5" w:tplc="040C001B" w:tentative="1">
      <w:start w:val="1"/>
      <w:numFmt w:val="lowerRoman"/>
      <w:lvlText w:val="%6."/>
      <w:lvlJc w:val="right"/>
      <w:pPr>
        <w:ind w:left="3534" w:hanging="180"/>
      </w:pPr>
    </w:lvl>
    <w:lvl w:ilvl="6" w:tplc="040C000F" w:tentative="1">
      <w:start w:val="1"/>
      <w:numFmt w:val="decimal"/>
      <w:lvlText w:val="%7."/>
      <w:lvlJc w:val="left"/>
      <w:pPr>
        <w:ind w:left="4254" w:hanging="360"/>
      </w:pPr>
    </w:lvl>
    <w:lvl w:ilvl="7" w:tplc="040C0019" w:tentative="1">
      <w:start w:val="1"/>
      <w:numFmt w:val="lowerLetter"/>
      <w:lvlText w:val="%8."/>
      <w:lvlJc w:val="left"/>
      <w:pPr>
        <w:ind w:left="4974" w:hanging="360"/>
      </w:pPr>
    </w:lvl>
    <w:lvl w:ilvl="8" w:tplc="040C001B" w:tentative="1">
      <w:start w:val="1"/>
      <w:numFmt w:val="lowerRoman"/>
      <w:lvlText w:val="%9."/>
      <w:lvlJc w:val="right"/>
      <w:pPr>
        <w:ind w:left="5694" w:hanging="180"/>
      </w:pPr>
    </w:lvl>
  </w:abstractNum>
  <w:num w:numId="1">
    <w:abstractNumId w:val="5"/>
  </w:num>
  <w:num w:numId="2">
    <w:abstractNumId w:val="0"/>
  </w:num>
  <w:num w:numId="3">
    <w:abstractNumId w:val="13"/>
  </w:num>
  <w:num w:numId="4">
    <w:abstractNumId w:val="9"/>
  </w:num>
  <w:num w:numId="5">
    <w:abstractNumId w:val="16"/>
  </w:num>
  <w:num w:numId="6">
    <w:abstractNumId w:val="4"/>
  </w:num>
  <w:num w:numId="7">
    <w:abstractNumId w:val="14"/>
  </w:num>
  <w:num w:numId="8">
    <w:abstractNumId w:val="11"/>
  </w:num>
  <w:num w:numId="9">
    <w:abstractNumId w:val="15"/>
  </w:num>
  <w:num w:numId="10">
    <w:abstractNumId w:val="10"/>
  </w:num>
  <w:num w:numId="11">
    <w:abstractNumId w:val="6"/>
  </w:num>
  <w:num w:numId="12">
    <w:abstractNumId w:val="2"/>
  </w:num>
  <w:num w:numId="13">
    <w:abstractNumId w:val="17"/>
  </w:num>
  <w:num w:numId="14">
    <w:abstractNumId w:val="12"/>
  </w:num>
  <w:num w:numId="15">
    <w:abstractNumId w:val="1"/>
  </w:num>
  <w:num w:numId="16">
    <w:abstractNumId w:val="8"/>
  </w:num>
  <w:num w:numId="17">
    <w:abstractNumId w:val="7"/>
  </w:num>
  <w:num w:numId="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0"/>
  <w:doNotDisplayPageBoundarie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1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4CC0"/>
    <w:rsid w:val="000031C6"/>
    <w:rsid w:val="00013049"/>
    <w:rsid w:val="00021873"/>
    <w:rsid w:val="00025EA3"/>
    <w:rsid w:val="00025F4B"/>
    <w:rsid w:val="0005126B"/>
    <w:rsid w:val="00055FFF"/>
    <w:rsid w:val="000616A0"/>
    <w:rsid w:val="00061CDF"/>
    <w:rsid w:val="000724FA"/>
    <w:rsid w:val="0007628A"/>
    <w:rsid w:val="0008279A"/>
    <w:rsid w:val="00083612"/>
    <w:rsid w:val="000838A3"/>
    <w:rsid w:val="000856DD"/>
    <w:rsid w:val="00086C2C"/>
    <w:rsid w:val="000A3A98"/>
    <w:rsid w:val="000A71CF"/>
    <w:rsid w:val="000B4CC0"/>
    <w:rsid w:val="000B7FB8"/>
    <w:rsid w:val="000C1BF2"/>
    <w:rsid w:val="000D10A4"/>
    <w:rsid w:val="000F1BAE"/>
    <w:rsid w:val="000F2AAC"/>
    <w:rsid w:val="000F4AD6"/>
    <w:rsid w:val="000F5C90"/>
    <w:rsid w:val="00100DA6"/>
    <w:rsid w:val="00110841"/>
    <w:rsid w:val="001139FE"/>
    <w:rsid w:val="001321E5"/>
    <w:rsid w:val="0013649C"/>
    <w:rsid w:val="00140F18"/>
    <w:rsid w:val="00143B15"/>
    <w:rsid w:val="00146410"/>
    <w:rsid w:val="00171B82"/>
    <w:rsid w:val="00175400"/>
    <w:rsid w:val="001803FC"/>
    <w:rsid w:val="001822E9"/>
    <w:rsid w:val="001871DD"/>
    <w:rsid w:val="001874C0"/>
    <w:rsid w:val="00191AC9"/>
    <w:rsid w:val="00195BF6"/>
    <w:rsid w:val="001A22CF"/>
    <w:rsid w:val="001A2A25"/>
    <w:rsid w:val="001B1995"/>
    <w:rsid w:val="001C3E92"/>
    <w:rsid w:val="001D6B94"/>
    <w:rsid w:val="001F545D"/>
    <w:rsid w:val="001F67F1"/>
    <w:rsid w:val="00227053"/>
    <w:rsid w:val="002368C9"/>
    <w:rsid w:val="00236A4A"/>
    <w:rsid w:val="00236BD1"/>
    <w:rsid w:val="00240793"/>
    <w:rsid w:val="0024722F"/>
    <w:rsid w:val="00270D16"/>
    <w:rsid w:val="00275A5D"/>
    <w:rsid w:val="002764E0"/>
    <w:rsid w:val="0028394F"/>
    <w:rsid w:val="00285E60"/>
    <w:rsid w:val="00292673"/>
    <w:rsid w:val="002A39C1"/>
    <w:rsid w:val="002A6635"/>
    <w:rsid w:val="002D173E"/>
    <w:rsid w:val="002D7486"/>
    <w:rsid w:val="002E781B"/>
    <w:rsid w:val="00306031"/>
    <w:rsid w:val="00316A6F"/>
    <w:rsid w:val="003252A7"/>
    <w:rsid w:val="003445E1"/>
    <w:rsid w:val="00344881"/>
    <w:rsid w:val="0034750E"/>
    <w:rsid w:val="00356AE8"/>
    <w:rsid w:val="00365A8D"/>
    <w:rsid w:val="00370F0C"/>
    <w:rsid w:val="003847AF"/>
    <w:rsid w:val="003A14AB"/>
    <w:rsid w:val="003C4858"/>
    <w:rsid w:val="003D21B0"/>
    <w:rsid w:val="003D4577"/>
    <w:rsid w:val="003D7A98"/>
    <w:rsid w:val="003F4DF5"/>
    <w:rsid w:val="003F7313"/>
    <w:rsid w:val="00401760"/>
    <w:rsid w:val="004070AE"/>
    <w:rsid w:val="00411E4C"/>
    <w:rsid w:val="0041338E"/>
    <w:rsid w:val="004350D3"/>
    <w:rsid w:val="004410CC"/>
    <w:rsid w:val="00441ADC"/>
    <w:rsid w:val="0048705F"/>
    <w:rsid w:val="004930BA"/>
    <w:rsid w:val="00494C9A"/>
    <w:rsid w:val="00496153"/>
    <w:rsid w:val="004A4AA0"/>
    <w:rsid w:val="004A56DD"/>
    <w:rsid w:val="004B3A38"/>
    <w:rsid w:val="004E1792"/>
    <w:rsid w:val="004E73C6"/>
    <w:rsid w:val="004E7C61"/>
    <w:rsid w:val="00505053"/>
    <w:rsid w:val="00520EE6"/>
    <w:rsid w:val="0052264B"/>
    <w:rsid w:val="0052434E"/>
    <w:rsid w:val="00535F62"/>
    <w:rsid w:val="005464C0"/>
    <w:rsid w:val="00547F7B"/>
    <w:rsid w:val="005503A1"/>
    <w:rsid w:val="00550956"/>
    <w:rsid w:val="005509C0"/>
    <w:rsid w:val="005540CD"/>
    <w:rsid w:val="00570F4A"/>
    <w:rsid w:val="00573344"/>
    <w:rsid w:val="00582BA8"/>
    <w:rsid w:val="005838CC"/>
    <w:rsid w:val="00587EFA"/>
    <w:rsid w:val="00591AFF"/>
    <w:rsid w:val="00591E28"/>
    <w:rsid w:val="00593F17"/>
    <w:rsid w:val="0059424A"/>
    <w:rsid w:val="00597498"/>
    <w:rsid w:val="005A24C7"/>
    <w:rsid w:val="005A3B75"/>
    <w:rsid w:val="005A50B3"/>
    <w:rsid w:val="005A56C8"/>
    <w:rsid w:val="005B1BEF"/>
    <w:rsid w:val="005D14F6"/>
    <w:rsid w:val="005E0D76"/>
    <w:rsid w:val="005E1F52"/>
    <w:rsid w:val="005E2735"/>
    <w:rsid w:val="005E4501"/>
    <w:rsid w:val="005E4D9A"/>
    <w:rsid w:val="005F0B91"/>
    <w:rsid w:val="00601895"/>
    <w:rsid w:val="006171DD"/>
    <w:rsid w:val="00623EBE"/>
    <w:rsid w:val="00631130"/>
    <w:rsid w:val="00636279"/>
    <w:rsid w:val="00642E80"/>
    <w:rsid w:val="006441BA"/>
    <w:rsid w:val="00646D05"/>
    <w:rsid w:val="00647B09"/>
    <w:rsid w:val="00647ED1"/>
    <w:rsid w:val="006517F1"/>
    <w:rsid w:val="00653588"/>
    <w:rsid w:val="00654CC6"/>
    <w:rsid w:val="00671F6D"/>
    <w:rsid w:val="00676AD6"/>
    <w:rsid w:val="00677EF8"/>
    <w:rsid w:val="00681E2E"/>
    <w:rsid w:val="00683F14"/>
    <w:rsid w:val="00692151"/>
    <w:rsid w:val="00692D64"/>
    <w:rsid w:val="006A4D05"/>
    <w:rsid w:val="006B0552"/>
    <w:rsid w:val="006B44DC"/>
    <w:rsid w:val="006B4895"/>
    <w:rsid w:val="006B5425"/>
    <w:rsid w:val="006B67A6"/>
    <w:rsid w:val="006B7C20"/>
    <w:rsid w:val="006D4B1C"/>
    <w:rsid w:val="006E6066"/>
    <w:rsid w:val="006F0640"/>
    <w:rsid w:val="00732219"/>
    <w:rsid w:val="00741452"/>
    <w:rsid w:val="0074723F"/>
    <w:rsid w:val="0075156C"/>
    <w:rsid w:val="00770F1A"/>
    <w:rsid w:val="00775E4D"/>
    <w:rsid w:val="00791749"/>
    <w:rsid w:val="007B0A73"/>
    <w:rsid w:val="007B317A"/>
    <w:rsid w:val="007C2F50"/>
    <w:rsid w:val="007C7CF9"/>
    <w:rsid w:val="007F11B4"/>
    <w:rsid w:val="007F692A"/>
    <w:rsid w:val="008271FA"/>
    <w:rsid w:val="0083531A"/>
    <w:rsid w:val="00836D38"/>
    <w:rsid w:val="00842ED5"/>
    <w:rsid w:val="00856B69"/>
    <w:rsid w:val="00870A3E"/>
    <w:rsid w:val="00883FFB"/>
    <w:rsid w:val="00892430"/>
    <w:rsid w:val="008A4C94"/>
    <w:rsid w:val="008B6269"/>
    <w:rsid w:val="008E05BC"/>
    <w:rsid w:val="008E25A2"/>
    <w:rsid w:val="008E7922"/>
    <w:rsid w:val="008E7E18"/>
    <w:rsid w:val="008F2A83"/>
    <w:rsid w:val="0090138D"/>
    <w:rsid w:val="0090561F"/>
    <w:rsid w:val="00916F3B"/>
    <w:rsid w:val="00922FEB"/>
    <w:rsid w:val="00927C10"/>
    <w:rsid w:val="0094291F"/>
    <w:rsid w:val="00943494"/>
    <w:rsid w:val="00954B98"/>
    <w:rsid w:val="00956C68"/>
    <w:rsid w:val="00957506"/>
    <w:rsid w:val="00965540"/>
    <w:rsid w:val="00965D03"/>
    <w:rsid w:val="00970615"/>
    <w:rsid w:val="00970FF3"/>
    <w:rsid w:val="0097116A"/>
    <w:rsid w:val="00974BB9"/>
    <w:rsid w:val="00992B54"/>
    <w:rsid w:val="009A4205"/>
    <w:rsid w:val="009A683B"/>
    <w:rsid w:val="009B23AF"/>
    <w:rsid w:val="009C56E5"/>
    <w:rsid w:val="009D6803"/>
    <w:rsid w:val="009E5FD1"/>
    <w:rsid w:val="009F595E"/>
    <w:rsid w:val="00A15928"/>
    <w:rsid w:val="00A23996"/>
    <w:rsid w:val="00A36782"/>
    <w:rsid w:val="00A555C5"/>
    <w:rsid w:val="00A63066"/>
    <w:rsid w:val="00A64481"/>
    <w:rsid w:val="00A65910"/>
    <w:rsid w:val="00A820FD"/>
    <w:rsid w:val="00A83693"/>
    <w:rsid w:val="00A83AD5"/>
    <w:rsid w:val="00AA2BED"/>
    <w:rsid w:val="00AA6054"/>
    <w:rsid w:val="00AB23EA"/>
    <w:rsid w:val="00AB419A"/>
    <w:rsid w:val="00AB500C"/>
    <w:rsid w:val="00AB5205"/>
    <w:rsid w:val="00AC6175"/>
    <w:rsid w:val="00AD4109"/>
    <w:rsid w:val="00AE4883"/>
    <w:rsid w:val="00AE7B02"/>
    <w:rsid w:val="00B01149"/>
    <w:rsid w:val="00B022C1"/>
    <w:rsid w:val="00B04DDF"/>
    <w:rsid w:val="00B119FE"/>
    <w:rsid w:val="00B121CE"/>
    <w:rsid w:val="00B2714B"/>
    <w:rsid w:val="00B525E6"/>
    <w:rsid w:val="00B5287B"/>
    <w:rsid w:val="00B66CEF"/>
    <w:rsid w:val="00B80089"/>
    <w:rsid w:val="00B85426"/>
    <w:rsid w:val="00B91DC8"/>
    <w:rsid w:val="00BA4F34"/>
    <w:rsid w:val="00BB42B7"/>
    <w:rsid w:val="00BC13B4"/>
    <w:rsid w:val="00BC733C"/>
    <w:rsid w:val="00BC7647"/>
    <w:rsid w:val="00BD0DB8"/>
    <w:rsid w:val="00BD4CA3"/>
    <w:rsid w:val="00BD7B9D"/>
    <w:rsid w:val="00BF2801"/>
    <w:rsid w:val="00C04F8F"/>
    <w:rsid w:val="00C05809"/>
    <w:rsid w:val="00C24E3D"/>
    <w:rsid w:val="00C251B4"/>
    <w:rsid w:val="00C25522"/>
    <w:rsid w:val="00C328BE"/>
    <w:rsid w:val="00C34B12"/>
    <w:rsid w:val="00C514B6"/>
    <w:rsid w:val="00C53CDA"/>
    <w:rsid w:val="00C936BE"/>
    <w:rsid w:val="00C96F4C"/>
    <w:rsid w:val="00CB22D1"/>
    <w:rsid w:val="00CB602A"/>
    <w:rsid w:val="00CD117B"/>
    <w:rsid w:val="00CE0CD1"/>
    <w:rsid w:val="00CE5DEE"/>
    <w:rsid w:val="00CF4985"/>
    <w:rsid w:val="00CF5DCE"/>
    <w:rsid w:val="00D037B2"/>
    <w:rsid w:val="00D053C7"/>
    <w:rsid w:val="00D253F7"/>
    <w:rsid w:val="00D370F1"/>
    <w:rsid w:val="00D4310E"/>
    <w:rsid w:val="00D46662"/>
    <w:rsid w:val="00D746CF"/>
    <w:rsid w:val="00D91B86"/>
    <w:rsid w:val="00D951E2"/>
    <w:rsid w:val="00DA3BEB"/>
    <w:rsid w:val="00DB12C7"/>
    <w:rsid w:val="00DD45BF"/>
    <w:rsid w:val="00DF06F5"/>
    <w:rsid w:val="00DF0DC2"/>
    <w:rsid w:val="00DF7417"/>
    <w:rsid w:val="00DF78F3"/>
    <w:rsid w:val="00E029AC"/>
    <w:rsid w:val="00E12475"/>
    <w:rsid w:val="00E22229"/>
    <w:rsid w:val="00E27A36"/>
    <w:rsid w:val="00E35B91"/>
    <w:rsid w:val="00E5577E"/>
    <w:rsid w:val="00E71DD0"/>
    <w:rsid w:val="00E7373D"/>
    <w:rsid w:val="00EA25E9"/>
    <w:rsid w:val="00EB0B96"/>
    <w:rsid w:val="00EB1BAA"/>
    <w:rsid w:val="00EB44A1"/>
    <w:rsid w:val="00EC16FE"/>
    <w:rsid w:val="00EC6384"/>
    <w:rsid w:val="00EE0DBD"/>
    <w:rsid w:val="00EE1315"/>
    <w:rsid w:val="00EF4E01"/>
    <w:rsid w:val="00EF50DD"/>
    <w:rsid w:val="00F04876"/>
    <w:rsid w:val="00F15DC3"/>
    <w:rsid w:val="00F21127"/>
    <w:rsid w:val="00F21840"/>
    <w:rsid w:val="00F365C6"/>
    <w:rsid w:val="00F64733"/>
    <w:rsid w:val="00F656ED"/>
    <w:rsid w:val="00F70469"/>
    <w:rsid w:val="00F913A7"/>
    <w:rsid w:val="00F91BE1"/>
    <w:rsid w:val="00F92F3C"/>
    <w:rsid w:val="00FA05E6"/>
    <w:rsid w:val="00FA0E8D"/>
    <w:rsid w:val="00FA6E8C"/>
    <w:rsid w:val="00FB55F4"/>
    <w:rsid w:val="00FC5DD7"/>
    <w:rsid w:val="00FC788F"/>
    <w:rsid w:val="00FD5B6E"/>
    <w:rsid w:val="00FE01D1"/>
    <w:rsid w:val="00FE1D40"/>
    <w:rsid w:val="00FF2B8A"/>
    <w:rsid w:val="00FF3666"/>
    <w:rsid w:val="00FF7F85"/>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D1"/>
    <w:pPr>
      <w:overflowPunct w:val="0"/>
      <w:autoSpaceDE w:val="0"/>
      <w:autoSpaceDN w:val="0"/>
      <w:adjustRightInd w:val="0"/>
      <w:textAlignment w:val="baseline"/>
    </w:pPr>
    <w:rPr>
      <w:rFonts w:ascii="Arial" w:hAnsi="Arial"/>
      <w:szCs w:val="20"/>
      <w:lang w:val="de-DE" w:eastAsia="de-DE"/>
    </w:rPr>
  </w:style>
  <w:style w:type="paragraph" w:styleId="Titre1">
    <w:name w:val="heading 1"/>
    <w:basedOn w:val="Normal"/>
    <w:next w:val="Normal"/>
    <w:link w:val="Titre1Car"/>
    <w:qFormat/>
    <w:locked/>
    <w:rsid w:val="00916F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9"/>
    <w:qFormat/>
    <w:rsid w:val="000B4CC0"/>
    <w:pPr>
      <w:keepNext/>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9"/>
    <w:semiHidden/>
    <w:locked/>
    <w:rsid w:val="001874C0"/>
    <w:rPr>
      <w:rFonts w:ascii="Calibri" w:hAnsi="Calibri" w:cs="Times New Roman"/>
      <w:b/>
      <w:bCs/>
      <w:sz w:val="28"/>
      <w:szCs w:val="28"/>
      <w:lang w:val="de-DE" w:eastAsia="de-DE"/>
    </w:rPr>
  </w:style>
  <w:style w:type="paragraph" w:styleId="Textedebulles">
    <w:name w:val="Balloon Text"/>
    <w:basedOn w:val="Normal"/>
    <w:link w:val="TextedebullesCar"/>
    <w:uiPriority w:val="99"/>
    <w:semiHidden/>
    <w:pPr>
      <w:overflowPunct/>
      <w:autoSpaceDE/>
      <w:autoSpaceDN/>
      <w:adjustRightInd/>
      <w:textAlignment w:val="auto"/>
    </w:pPr>
    <w:rPr>
      <w:rFonts w:ascii="Tahoma" w:hAnsi="Tahoma" w:cs="Tahoma"/>
      <w:sz w:val="16"/>
      <w:szCs w:val="16"/>
      <w:lang w:val="fr-FR" w:eastAsia="fr-FR"/>
    </w:rPr>
  </w:style>
  <w:style w:type="character" w:customStyle="1" w:styleId="TextedebullesCar">
    <w:name w:val="Texte de bulles Car"/>
    <w:basedOn w:val="Policepardfaut"/>
    <w:link w:val="Textedebulles"/>
    <w:uiPriority w:val="99"/>
    <w:semiHidden/>
    <w:rsid w:val="00FB4F9A"/>
    <w:rPr>
      <w:sz w:val="0"/>
      <w:szCs w:val="0"/>
      <w:lang w:val="de-DE" w:eastAsia="de-DE"/>
    </w:rPr>
  </w:style>
  <w:style w:type="paragraph" w:customStyle="1" w:styleId="PT1Head">
    <w:name w:val="PT1_Head"/>
    <w:basedOn w:val="Titre4"/>
    <w:next w:val="Normal"/>
    <w:uiPriority w:val="99"/>
    <w:rsid w:val="000B4CC0"/>
    <w:pPr>
      <w:overflowPunct/>
      <w:autoSpaceDE/>
      <w:autoSpaceDN/>
      <w:adjustRightInd/>
      <w:spacing w:before="0" w:after="0"/>
      <w:textAlignment w:val="auto"/>
    </w:pPr>
    <w:rPr>
      <w:rFonts w:ascii="Arial" w:hAnsi="Arial"/>
      <w:bCs w:val="0"/>
      <w:sz w:val="24"/>
      <w:szCs w:val="20"/>
      <w:lang w:val="en-GB" w:eastAsia="en-IE"/>
    </w:rPr>
  </w:style>
  <w:style w:type="paragraph" w:customStyle="1" w:styleId="PT1Headrechts">
    <w:name w:val="PT1_Head_rechts"/>
    <w:basedOn w:val="PT1Head"/>
    <w:next w:val="PT1Head"/>
    <w:uiPriority w:val="99"/>
    <w:rsid w:val="000B4CC0"/>
    <w:pPr>
      <w:jc w:val="right"/>
    </w:pPr>
    <w:rPr>
      <w:lang w:val="de-DE"/>
    </w:rPr>
  </w:style>
  <w:style w:type="character" w:styleId="Lienhypertexte">
    <w:name w:val="Hyperlink"/>
    <w:basedOn w:val="Policepardfaut"/>
    <w:uiPriority w:val="99"/>
    <w:rsid w:val="00BF2801"/>
    <w:rPr>
      <w:rFonts w:cs="Times New Roman"/>
      <w:color w:val="0000FF"/>
      <w:u w:val="single"/>
    </w:rPr>
  </w:style>
  <w:style w:type="character" w:styleId="Lienhypertextesuivivisit">
    <w:name w:val="FollowedHyperlink"/>
    <w:basedOn w:val="Policepardfaut"/>
    <w:uiPriority w:val="99"/>
    <w:rsid w:val="00F15DC3"/>
    <w:rPr>
      <w:rFonts w:cs="Times New Roman"/>
      <w:color w:val="800080"/>
      <w:u w:val="single"/>
    </w:rPr>
  </w:style>
  <w:style w:type="paragraph" w:styleId="NormalWeb">
    <w:name w:val="Normal (Web)"/>
    <w:basedOn w:val="Normal"/>
    <w:uiPriority w:val="99"/>
    <w:rsid w:val="00573344"/>
    <w:pPr>
      <w:overflowPunct/>
      <w:autoSpaceDE/>
      <w:autoSpaceDN/>
      <w:adjustRightInd/>
      <w:spacing w:before="100" w:beforeAutospacing="1" w:after="100" w:afterAutospacing="1"/>
      <w:textAlignment w:val="auto"/>
    </w:pPr>
    <w:rPr>
      <w:rFonts w:ascii="Times New Roman" w:hAnsi="Times New Roman"/>
      <w:sz w:val="24"/>
      <w:szCs w:val="24"/>
      <w:lang w:val="fr-FR" w:eastAsia="fr-FR"/>
    </w:rPr>
  </w:style>
  <w:style w:type="character" w:styleId="Appelnotedebasdep">
    <w:name w:val="footnote reference"/>
    <w:basedOn w:val="Policepardfaut"/>
    <w:uiPriority w:val="99"/>
    <w:rsid w:val="006517F1"/>
    <w:rPr>
      <w:rFonts w:cs="Times New Roman"/>
      <w:position w:val="6"/>
      <w:sz w:val="18"/>
    </w:rPr>
  </w:style>
  <w:style w:type="paragraph" w:styleId="Notedebasdepage">
    <w:name w:val="footnote text"/>
    <w:basedOn w:val="Normal"/>
    <w:link w:val="NotedebasdepageCar"/>
    <w:uiPriority w:val="99"/>
    <w:rsid w:val="006517F1"/>
    <w:pPr>
      <w:keepLines/>
      <w:tabs>
        <w:tab w:val="left" w:pos="255"/>
        <w:tab w:val="left" w:pos="1134"/>
        <w:tab w:val="left" w:pos="1871"/>
        <w:tab w:val="left" w:pos="2268"/>
      </w:tabs>
      <w:spacing w:before="120"/>
    </w:pPr>
    <w:rPr>
      <w:rFonts w:ascii="Times New Roman" w:hAnsi="Times New Roman"/>
      <w:sz w:val="24"/>
      <w:lang w:val="en-GB" w:eastAsia="en-US"/>
    </w:rPr>
  </w:style>
  <w:style w:type="character" w:customStyle="1" w:styleId="NotedebasdepageCar">
    <w:name w:val="Note de bas de page Car"/>
    <w:basedOn w:val="Policepardfaut"/>
    <w:link w:val="Notedebasdepage"/>
    <w:uiPriority w:val="99"/>
    <w:locked/>
    <w:rsid w:val="006517F1"/>
    <w:rPr>
      <w:rFonts w:cs="Times New Roman"/>
      <w:sz w:val="24"/>
      <w:lang w:val="en-GB" w:eastAsia="en-US" w:bidi="ar-SA"/>
    </w:rPr>
  </w:style>
  <w:style w:type="paragraph" w:customStyle="1" w:styleId="Tabletext">
    <w:name w:val="Table_text"/>
    <w:basedOn w:val="Normal"/>
    <w:link w:val="TabletextChar"/>
    <w:uiPriority w:val="99"/>
    <w:rsid w:val="00BD7B9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ascii="Times New Roman" w:hAnsi="Times New Roman"/>
      <w:sz w:val="20"/>
      <w:lang w:val="en-GB" w:eastAsia="en-US"/>
    </w:rPr>
  </w:style>
  <w:style w:type="character" w:customStyle="1" w:styleId="observation">
    <w:name w:val="observation"/>
    <w:basedOn w:val="Policepardfaut"/>
    <w:uiPriority w:val="99"/>
    <w:rsid w:val="00677EF8"/>
    <w:rPr>
      <w:rFonts w:cs="Times New Roman"/>
    </w:rPr>
  </w:style>
  <w:style w:type="character" w:customStyle="1" w:styleId="TabletextChar">
    <w:name w:val="Table_text Char"/>
    <w:basedOn w:val="Policepardfaut"/>
    <w:link w:val="Tabletext"/>
    <w:uiPriority w:val="99"/>
    <w:locked/>
    <w:rsid w:val="00DB12C7"/>
    <w:rPr>
      <w:rFonts w:cs="Times New Roman"/>
      <w:lang w:val="en-GB" w:eastAsia="en-US" w:bidi="ar-SA"/>
    </w:rPr>
  </w:style>
  <w:style w:type="paragraph" w:customStyle="1" w:styleId="Annextitle">
    <w:name w:val="Annex_title"/>
    <w:basedOn w:val="Normal"/>
    <w:next w:val="Normal"/>
    <w:uiPriority w:val="99"/>
    <w:rsid w:val="00306031"/>
    <w:pPr>
      <w:keepNext/>
      <w:keepLines/>
      <w:tabs>
        <w:tab w:val="left" w:pos="1134"/>
        <w:tab w:val="left" w:pos="1871"/>
        <w:tab w:val="left" w:pos="2268"/>
      </w:tabs>
      <w:spacing w:before="240" w:after="280"/>
      <w:jc w:val="center"/>
    </w:pPr>
    <w:rPr>
      <w:rFonts w:ascii="Times New Roman Bold" w:hAnsi="Times New Roman Bold"/>
      <w:b/>
      <w:sz w:val="28"/>
      <w:lang w:val="en-GB" w:eastAsia="en-US"/>
    </w:rPr>
  </w:style>
  <w:style w:type="paragraph" w:customStyle="1" w:styleId="enumlev1">
    <w:name w:val="enumlev1"/>
    <w:basedOn w:val="Normal"/>
    <w:link w:val="enumlev1Char"/>
    <w:rsid w:val="00306031"/>
    <w:pPr>
      <w:tabs>
        <w:tab w:val="left" w:pos="794"/>
        <w:tab w:val="left" w:pos="1191"/>
        <w:tab w:val="left" w:pos="1588"/>
        <w:tab w:val="left" w:pos="1985"/>
      </w:tabs>
      <w:spacing w:before="80"/>
      <w:ind w:left="794" w:hanging="794"/>
    </w:pPr>
    <w:rPr>
      <w:rFonts w:ascii="Times New Roman" w:eastAsia="MS Mincho" w:hAnsi="Times New Roman"/>
      <w:sz w:val="24"/>
      <w:lang w:val="en-GB" w:eastAsia="en-US"/>
    </w:rPr>
  </w:style>
  <w:style w:type="paragraph" w:customStyle="1" w:styleId="enumlev2">
    <w:name w:val="enumlev2"/>
    <w:basedOn w:val="enumlev1"/>
    <w:uiPriority w:val="99"/>
    <w:rsid w:val="00306031"/>
    <w:pPr>
      <w:ind w:left="1191" w:hanging="397"/>
    </w:pPr>
  </w:style>
  <w:style w:type="character" w:customStyle="1" w:styleId="enumlev1Char">
    <w:name w:val="enumlev1 Char"/>
    <w:basedOn w:val="Policepardfaut"/>
    <w:link w:val="enumlev1"/>
    <w:uiPriority w:val="99"/>
    <w:locked/>
    <w:rsid w:val="00306031"/>
    <w:rPr>
      <w:rFonts w:eastAsia="MS Mincho" w:cs="Times New Roman"/>
      <w:sz w:val="24"/>
      <w:lang w:val="en-GB" w:eastAsia="en-US" w:bidi="ar-SA"/>
    </w:rPr>
  </w:style>
  <w:style w:type="character" w:styleId="lev">
    <w:name w:val="Strong"/>
    <w:basedOn w:val="Policepardfaut"/>
    <w:uiPriority w:val="22"/>
    <w:qFormat/>
    <w:rsid w:val="006F0640"/>
    <w:rPr>
      <w:rFonts w:cs="Times New Roman"/>
      <w:b/>
      <w:bCs/>
    </w:rPr>
  </w:style>
  <w:style w:type="paragraph" w:styleId="Textebrut">
    <w:name w:val="Plain Text"/>
    <w:basedOn w:val="Normal"/>
    <w:link w:val="TextebrutCar"/>
    <w:uiPriority w:val="99"/>
    <w:semiHidden/>
    <w:unhideWhenUsed/>
    <w:rsid w:val="006B7C20"/>
    <w:pPr>
      <w:overflowPunct/>
      <w:autoSpaceDE/>
      <w:autoSpaceDN/>
      <w:adjustRightInd/>
      <w:textAlignment w:val="auto"/>
    </w:pPr>
    <w:rPr>
      <w:rFonts w:ascii="Calibri" w:eastAsiaTheme="minorHAnsi" w:hAnsi="Calibri" w:cstheme="minorBidi"/>
      <w:szCs w:val="21"/>
      <w:lang w:val="fr-FR" w:eastAsia="en-US"/>
    </w:rPr>
  </w:style>
  <w:style w:type="character" w:customStyle="1" w:styleId="TextebrutCar">
    <w:name w:val="Texte brut Car"/>
    <w:basedOn w:val="Policepardfaut"/>
    <w:link w:val="Textebrut"/>
    <w:uiPriority w:val="99"/>
    <w:semiHidden/>
    <w:rsid w:val="006B7C20"/>
    <w:rPr>
      <w:rFonts w:ascii="Calibri" w:eastAsiaTheme="minorHAnsi" w:hAnsi="Calibri" w:cstheme="minorBidi"/>
      <w:szCs w:val="21"/>
      <w:lang w:eastAsia="en-US"/>
    </w:rPr>
  </w:style>
  <w:style w:type="paragraph" w:styleId="Paragraphedeliste">
    <w:name w:val="List Paragraph"/>
    <w:basedOn w:val="Normal"/>
    <w:uiPriority w:val="34"/>
    <w:qFormat/>
    <w:rsid w:val="00EC16FE"/>
    <w:pPr>
      <w:ind w:left="720"/>
      <w:contextualSpacing/>
    </w:pPr>
  </w:style>
  <w:style w:type="paragraph" w:customStyle="1" w:styleId="Call">
    <w:name w:val="Call"/>
    <w:basedOn w:val="Normal"/>
    <w:next w:val="Normal"/>
    <w:link w:val="CallChar"/>
    <w:uiPriority w:val="99"/>
    <w:rsid w:val="009B23AF"/>
    <w:pPr>
      <w:keepNext/>
      <w:keepLines/>
      <w:tabs>
        <w:tab w:val="left" w:pos="1134"/>
        <w:tab w:val="left" w:pos="1871"/>
        <w:tab w:val="left" w:pos="2268"/>
      </w:tabs>
      <w:spacing w:before="160"/>
      <w:ind w:left="1134"/>
    </w:pPr>
    <w:rPr>
      <w:rFonts w:ascii="Times New Roman" w:hAnsi="Times New Roman"/>
      <w:i/>
      <w:sz w:val="24"/>
      <w:lang w:val="en-GB" w:eastAsia="en-US"/>
    </w:rPr>
  </w:style>
  <w:style w:type="paragraph" w:customStyle="1" w:styleId="Normalaftertitle">
    <w:name w:val="Normal after title"/>
    <w:basedOn w:val="Normal"/>
    <w:next w:val="Normal"/>
    <w:rsid w:val="009B23AF"/>
    <w:pPr>
      <w:tabs>
        <w:tab w:val="left" w:pos="1134"/>
        <w:tab w:val="left" w:pos="1871"/>
        <w:tab w:val="left" w:pos="2268"/>
      </w:tabs>
      <w:spacing w:before="280"/>
    </w:pPr>
    <w:rPr>
      <w:rFonts w:ascii="Times New Roman" w:hAnsi="Times New Roman"/>
      <w:sz w:val="24"/>
      <w:lang w:val="en-GB" w:eastAsia="en-US"/>
    </w:rPr>
  </w:style>
  <w:style w:type="paragraph" w:customStyle="1" w:styleId="ResNo">
    <w:name w:val="Res_No"/>
    <w:basedOn w:val="Normal"/>
    <w:next w:val="Normal"/>
    <w:rsid w:val="009B23AF"/>
    <w:pPr>
      <w:keepNext/>
      <w:keepLines/>
      <w:tabs>
        <w:tab w:val="left" w:pos="1134"/>
        <w:tab w:val="left" w:pos="1871"/>
        <w:tab w:val="left" w:pos="2268"/>
      </w:tabs>
      <w:spacing w:before="480"/>
      <w:jc w:val="center"/>
    </w:pPr>
    <w:rPr>
      <w:rFonts w:ascii="Times New Roman" w:hAnsi="Times New Roman"/>
      <w:caps/>
      <w:sz w:val="28"/>
      <w:lang w:val="en-GB" w:eastAsia="en-US"/>
    </w:rPr>
  </w:style>
  <w:style w:type="paragraph" w:customStyle="1" w:styleId="Restitle">
    <w:name w:val="Res_title"/>
    <w:basedOn w:val="Normal"/>
    <w:next w:val="Normal"/>
    <w:rsid w:val="009B23AF"/>
    <w:pPr>
      <w:keepNext/>
      <w:keepLines/>
      <w:tabs>
        <w:tab w:val="left" w:pos="1134"/>
        <w:tab w:val="left" w:pos="1871"/>
        <w:tab w:val="left" w:pos="2268"/>
      </w:tabs>
      <w:spacing w:before="240"/>
      <w:jc w:val="center"/>
    </w:pPr>
    <w:rPr>
      <w:rFonts w:ascii="Times New Roman Bold" w:hAnsi="Times New Roman Bold"/>
      <w:b/>
      <w:sz w:val="28"/>
      <w:lang w:val="en-GB" w:eastAsia="en-US"/>
    </w:rPr>
  </w:style>
  <w:style w:type="character" w:customStyle="1" w:styleId="Artdef">
    <w:name w:val="Art_def"/>
    <w:basedOn w:val="Policepardfaut"/>
    <w:rsid w:val="009B23AF"/>
    <w:rPr>
      <w:rFonts w:ascii="Times New Roman" w:hAnsi="Times New Roman"/>
      <w:b/>
    </w:rPr>
  </w:style>
  <w:style w:type="paragraph" w:customStyle="1" w:styleId="Reasons">
    <w:name w:val="Reasons"/>
    <w:basedOn w:val="Normal"/>
    <w:qFormat/>
    <w:rsid w:val="009B23AF"/>
    <w:pPr>
      <w:tabs>
        <w:tab w:val="left" w:pos="1134"/>
        <w:tab w:val="left" w:pos="1588"/>
        <w:tab w:val="left" w:pos="1985"/>
      </w:tabs>
      <w:spacing w:before="120"/>
    </w:pPr>
    <w:rPr>
      <w:rFonts w:ascii="Times New Roman" w:hAnsi="Times New Roman"/>
      <w:sz w:val="24"/>
      <w:lang w:val="en-GB" w:eastAsia="en-US"/>
    </w:rPr>
  </w:style>
  <w:style w:type="paragraph" w:customStyle="1" w:styleId="Note">
    <w:name w:val="Note"/>
    <w:basedOn w:val="Normal"/>
    <w:next w:val="Normal"/>
    <w:link w:val="NoteChar"/>
    <w:rsid w:val="009B23AF"/>
    <w:pPr>
      <w:tabs>
        <w:tab w:val="left" w:pos="284"/>
        <w:tab w:val="left" w:pos="1134"/>
        <w:tab w:val="left" w:pos="1871"/>
        <w:tab w:val="left" w:pos="2268"/>
      </w:tabs>
      <w:spacing w:before="80"/>
    </w:pPr>
    <w:rPr>
      <w:rFonts w:ascii="Times New Roman" w:hAnsi="Times New Roman"/>
      <w:sz w:val="24"/>
      <w:lang w:val="en-GB" w:eastAsia="en-US"/>
    </w:rPr>
  </w:style>
  <w:style w:type="character" w:customStyle="1" w:styleId="NoteChar">
    <w:name w:val="Note Char"/>
    <w:basedOn w:val="Policepardfaut"/>
    <w:link w:val="Note"/>
    <w:locked/>
    <w:rsid w:val="009B23AF"/>
    <w:rPr>
      <w:sz w:val="24"/>
      <w:szCs w:val="20"/>
      <w:lang w:val="en-GB" w:eastAsia="en-US"/>
    </w:rPr>
  </w:style>
  <w:style w:type="paragraph" w:customStyle="1" w:styleId="Title1">
    <w:name w:val="Title 1"/>
    <w:basedOn w:val="Normal"/>
    <w:next w:val="Normal"/>
    <w:uiPriority w:val="99"/>
    <w:rsid w:val="00916F3B"/>
    <w:pPr>
      <w:tabs>
        <w:tab w:val="left" w:pos="567"/>
        <w:tab w:val="left" w:pos="1134"/>
        <w:tab w:val="left" w:pos="1701"/>
        <w:tab w:val="left" w:pos="1871"/>
        <w:tab w:val="left" w:pos="2268"/>
        <w:tab w:val="left" w:pos="2835"/>
      </w:tabs>
      <w:spacing w:before="240"/>
      <w:jc w:val="center"/>
    </w:pPr>
    <w:rPr>
      <w:rFonts w:ascii="Times New Roman" w:hAnsi="Times New Roman"/>
      <w:caps/>
      <w:sz w:val="28"/>
      <w:lang w:val="en-GB" w:eastAsia="en-US"/>
    </w:rPr>
  </w:style>
  <w:style w:type="paragraph" w:customStyle="1" w:styleId="Title4">
    <w:name w:val="Title 4"/>
    <w:basedOn w:val="Normal"/>
    <w:next w:val="Titre1"/>
    <w:uiPriority w:val="99"/>
    <w:rsid w:val="00916F3B"/>
    <w:pPr>
      <w:tabs>
        <w:tab w:val="left" w:pos="1134"/>
        <w:tab w:val="left" w:pos="1871"/>
        <w:tab w:val="left" w:pos="2268"/>
      </w:tabs>
      <w:overflowPunct/>
      <w:autoSpaceDE/>
      <w:autoSpaceDN/>
      <w:adjustRightInd/>
      <w:spacing w:before="240"/>
      <w:jc w:val="center"/>
      <w:textAlignment w:val="auto"/>
    </w:pPr>
    <w:rPr>
      <w:rFonts w:ascii="Times New Roman" w:hAnsi="Times New Roman"/>
      <w:b/>
      <w:sz w:val="28"/>
      <w:lang w:val="en-GB" w:eastAsia="en-US"/>
    </w:rPr>
  </w:style>
  <w:style w:type="character" w:customStyle="1" w:styleId="CallChar">
    <w:name w:val="Call Char"/>
    <w:link w:val="Call"/>
    <w:uiPriority w:val="99"/>
    <w:locked/>
    <w:rsid w:val="00916F3B"/>
    <w:rPr>
      <w:i/>
      <w:sz w:val="24"/>
      <w:szCs w:val="20"/>
      <w:lang w:val="en-GB" w:eastAsia="en-US"/>
    </w:rPr>
  </w:style>
  <w:style w:type="character" w:customStyle="1" w:styleId="Titre1Car">
    <w:name w:val="Titre 1 Car"/>
    <w:basedOn w:val="Policepardfaut"/>
    <w:link w:val="Titre1"/>
    <w:rsid w:val="00916F3B"/>
    <w:rPr>
      <w:rFonts w:asciiTheme="majorHAnsi" w:eastAsiaTheme="majorEastAsia" w:hAnsiTheme="majorHAnsi" w:cstheme="majorBidi"/>
      <w:b/>
      <w:bCs/>
      <w:color w:val="365F91" w:themeColor="accent1" w:themeShade="BF"/>
      <w:sz w:val="28"/>
      <w:szCs w:val="28"/>
      <w:lang w:val="de-DE" w:eastAsia="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fr-FR" w:eastAsia="fr-FR"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22"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0CD1"/>
    <w:pPr>
      <w:overflowPunct w:val="0"/>
      <w:autoSpaceDE w:val="0"/>
      <w:autoSpaceDN w:val="0"/>
      <w:adjustRightInd w:val="0"/>
      <w:textAlignment w:val="baseline"/>
    </w:pPr>
    <w:rPr>
      <w:rFonts w:ascii="Arial" w:hAnsi="Arial"/>
      <w:szCs w:val="20"/>
      <w:lang w:val="de-DE" w:eastAsia="de-DE"/>
    </w:rPr>
  </w:style>
  <w:style w:type="paragraph" w:styleId="Titre1">
    <w:name w:val="heading 1"/>
    <w:basedOn w:val="Normal"/>
    <w:next w:val="Normal"/>
    <w:link w:val="Titre1Car"/>
    <w:qFormat/>
    <w:locked/>
    <w:rsid w:val="00916F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Titre4">
    <w:name w:val="heading 4"/>
    <w:basedOn w:val="Normal"/>
    <w:next w:val="Normal"/>
    <w:link w:val="Titre4Car"/>
    <w:uiPriority w:val="99"/>
    <w:qFormat/>
    <w:rsid w:val="000B4CC0"/>
    <w:pPr>
      <w:keepNext/>
      <w:spacing w:before="240" w:after="60"/>
      <w:outlineLvl w:val="3"/>
    </w:pPr>
    <w:rPr>
      <w:rFonts w:ascii="Times New Roman" w:hAnsi="Times New Roman"/>
      <w:b/>
      <w:bCs/>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4Car">
    <w:name w:val="Titre 4 Car"/>
    <w:basedOn w:val="Policepardfaut"/>
    <w:link w:val="Titre4"/>
    <w:uiPriority w:val="99"/>
    <w:semiHidden/>
    <w:locked/>
    <w:rsid w:val="001874C0"/>
    <w:rPr>
      <w:rFonts w:ascii="Calibri" w:hAnsi="Calibri" w:cs="Times New Roman"/>
      <w:b/>
      <w:bCs/>
      <w:sz w:val="28"/>
      <w:szCs w:val="28"/>
      <w:lang w:val="de-DE" w:eastAsia="de-DE"/>
    </w:rPr>
  </w:style>
  <w:style w:type="paragraph" w:styleId="Textedebulles">
    <w:name w:val="Balloon Text"/>
    <w:basedOn w:val="Normal"/>
    <w:link w:val="TextedebullesCar"/>
    <w:uiPriority w:val="99"/>
    <w:semiHidden/>
    <w:pPr>
      <w:overflowPunct/>
      <w:autoSpaceDE/>
      <w:autoSpaceDN/>
      <w:adjustRightInd/>
      <w:textAlignment w:val="auto"/>
    </w:pPr>
    <w:rPr>
      <w:rFonts w:ascii="Tahoma" w:hAnsi="Tahoma" w:cs="Tahoma"/>
      <w:sz w:val="16"/>
      <w:szCs w:val="16"/>
      <w:lang w:val="fr-FR" w:eastAsia="fr-FR"/>
    </w:rPr>
  </w:style>
  <w:style w:type="character" w:customStyle="1" w:styleId="TextedebullesCar">
    <w:name w:val="Texte de bulles Car"/>
    <w:basedOn w:val="Policepardfaut"/>
    <w:link w:val="Textedebulles"/>
    <w:uiPriority w:val="99"/>
    <w:semiHidden/>
    <w:rsid w:val="00FB4F9A"/>
    <w:rPr>
      <w:sz w:val="0"/>
      <w:szCs w:val="0"/>
      <w:lang w:val="de-DE" w:eastAsia="de-DE"/>
    </w:rPr>
  </w:style>
  <w:style w:type="paragraph" w:customStyle="1" w:styleId="PT1Head">
    <w:name w:val="PT1_Head"/>
    <w:basedOn w:val="Titre4"/>
    <w:next w:val="Normal"/>
    <w:uiPriority w:val="99"/>
    <w:rsid w:val="000B4CC0"/>
    <w:pPr>
      <w:overflowPunct/>
      <w:autoSpaceDE/>
      <w:autoSpaceDN/>
      <w:adjustRightInd/>
      <w:spacing w:before="0" w:after="0"/>
      <w:textAlignment w:val="auto"/>
    </w:pPr>
    <w:rPr>
      <w:rFonts w:ascii="Arial" w:hAnsi="Arial"/>
      <w:bCs w:val="0"/>
      <w:sz w:val="24"/>
      <w:szCs w:val="20"/>
      <w:lang w:val="en-GB" w:eastAsia="en-IE"/>
    </w:rPr>
  </w:style>
  <w:style w:type="paragraph" w:customStyle="1" w:styleId="PT1Headrechts">
    <w:name w:val="PT1_Head_rechts"/>
    <w:basedOn w:val="PT1Head"/>
    <w:next w:val="PT1Head"/>
    <w:uiPriority w:val="99"/>
    <w:rsid w:val="000B4CC0"/>
    <w:pPr>
      <w:jc w:val="right"/>
    </w:pPr>
    <w:rPr>
      <w:lang w:val="de-DE"/>
    </w:rPr>
  </w:style>
  <w:style w:type="character" w:styleId="Lienhypertexte">
    <w:name w:val="Hyperlink"/>
    <w:basedOn w:val="Policepardfaut"/>
    <w:uiPriority w:val="99"/>
    <w:rsid w:val="00BF2801"/>
    <w:rPr>
      <w:rFonts w:cs="Times New Roman"/>
      <w:color w:val="0000FF"/>
      <w:u w:val="single"/>
    </w:rPr>
  </w:style>
  <w:style w:type="character" w:styleId="Lienhypertextesuivivisit">
    <w:name w:val="FollowedHyperlink"/>
    <w:basedOn w:val="Policepardfaut"/>
    <w:uiPriority w:val="99"/>
    <w:rsid w:val="00F15DC3"/>
    <w:rPr>
      <w:rFonts w:cs="Times New Roman"/>
      <w:color w:val="800080"/>
      <w:u w:val="single"/>
    </w:rPr>
  </w:style>
  <w:style w:type="paragraph" w:styleId="NormalWeb">
    <w:name w:val="Normal (Web)"/>
    <w:basedOn w:val="Normal"/>
    <w:uiPriority w:val="99"/>
    <w:rsid w:val="00573344"/>
    <w:pPr>
      <w:overflowPunct/>
      <w:autoSpaceDE/>
      <w:autoSpaceDN/>
      <w:adjustRightInd/>
      <w:spacing w:before="100" w:beforeAutospacing="1" w:after="100" w:afterAutospacing="1"/>
      <w:textAlignment w:val="auto"/>
    </w:pPr>
    <w:rPr>
      <w:rFonts w:ascii="Times New Roman" w:hAnsi="Times New Roman"/>
      <w:sz w:val="24"/>
      <w:szCs w:val="24"/>
      <w:lang w:val="fr-FR" w:eastAsia="fr-FR"/>
    </w:rPr>
  </w:style>
  <w:style w:type="character" w:styleId="Appelnotedebasdep">
    <w:name w:val="footnote reference"/>
    <w:basedOn w:val="Policepardfaut"/>
    <w:uiPriority w:val="99"/>
    <w:rsid w:val="006517F1"/>
    <w:rPr>
      <w:rFonts w:cs="Times New Roman"/>
      <w:position w:val="6"/>
      <w:sz w:val="18"/>
    </w:rPr>
  </w:style>
  <w:style w:type="paragraph" w:styleId="Notedebasdepage">
    <w:name w:val="footnote text"/>
    <w:basedOn w:val="Normal"/>
    <w:link w:val="NotedebasdepageCar"/>
    <w:uiPriority w:val="99"/>
    <w:rsid w:val="006517F1"/>
    <w:pPr>
      <w:keepLines/>
      <w:tabs>
        <w:tab w:val="left" w:pos="255"/>
        <w:tab w:val="left" w:pos="1134"/>
        <w:tab w:val="left" w:pos="1871"/>
        <w:tab w:val="left" w:pos="2268"/>
      </w:tabs>
      <w:spacing w:before="120"/>
    </w:pPr>
    <w:rPr>
      <w:rFonts w:ascii="Times New Roman" w:hAnsi="Times New Roman"/>
      <w:sz w:val="24"/>
      <w:lang w:val="en-GB" w:eastAsia="en-US"/>
    </w:rPr>
  </w:style>
  <w:style w:type="character" w:customStyle="1" w:styleId="NotedebasdepageCar">
    <w:name w:val="Note de bas de page Car"/>
    <w:basedOn w:val="Policepardfaut"/>
    <w:link w:val="Notedebasdepage"/>
    <w:uiPriority w:val="99"/>
    <w:locked/>
    <w:rsid w:val="006517F1"/>
    <w:rPr>
      <w:rFonts w:cs="Times New Roman"/>
      <w:sz w:val="24"/>
      <w:lang w:val="en-GB" w:eastAsia="en-US" w:bidi="ar-SA"/>
    </w:rPr>
  </w:style>
  <w:style w:type="paragraph" w:customStyle="1" w:styleId="Tabletext">
    <w:name w:val="Table_text"/>
    <w:basedOn w:val="Normal"/>
    <w:link w:val="TabletextChar"/>
    <w:uiPriority w:val="99"/>
    <w:rsid w:val="00BD7B9D"/>
    <w:pPr>
      <w:tabs>
        <w:tab w:val="left" w:pos="284"/>
        <w:tab w:val="left" w:pos="567"/>
        <w:tab w:val="left" w:pos="851"/>
        <w:tab w:val="left" w:pos="1134"/>
        <w:tab w:val="left" w:pos="1418"/>
        <w:tab w:val="left" w:pos="1701"/>
        <w:tab w:val="left" w:pos="1871"/>
        <w:tab w:val="left" w:pos="1985"/>
        <w:tab w:val="left" w:pos="2268"/>
        <w:tab w:val="left" w:pos="2552"/>
        <w:tab w:val="left" w:pos="2835"/>
        <w:tab w:val="left" w:pos="3119"/>
        <w:tab w:val="left" w:pos="3402"/>
        <w:tab w:val="left" w:pos="3686"/>
        <w:tab w:val="left" w:pos="3969"/>
      </w:tabs>
      <w:spacing w:before="40" w:after="40"/>
    </w:pPr>
    <w:rPr>
      <w:rFonts w:ascii="Times New Roman" w:hAnsi="Times New Roman"/>
      <w:sz w:val="20"/>
      <w:lang w:val="en-GB" w:eastAsia="en-US"/>
    </w:rPr>
  </w:style>
  <w:style w:type="character" w:customStyle="1" w:styleId="observation">
    <w:name w:val="observation"/>
    <w:basedOn w:val="Policepardfaut"/>
    <w:uiPriority w:val="99"/>
    <w:rsid w:val="00677EF8"/>
    <w:rPr>
      <w:rFonts w:cs="Times New Roman"/>
    </w:rPr>
  </w:style>
  <w:style w:type="character" w:customStyle="1" w:styleId="TabletextChar">
    <w:name w:val="Table_text Char"/>
    <w:basedOn w:val="Policepardfaut"/>
    <w:link w:val="Tabletext"/>
    <w:uiPriority w:val="99"/>
    <w:locked/>
    <w:rsid w:val="00DB12C7"/>
    <w:rPr>
      <w:rFonts w:cs="Times New Roman"/>
      <w:lang w:val="en-GB" w:eastAsia="en-US" w:bidi="ar-SA"/>
    </w:rPr>
  </w:style>
  <w:style w:type="paragraph" w:customStyle="1" w:styleId="Annextitle">
    <w:name w:val="Annex_title"/>
    <w:basedOn w:val="Normal"/>
    <w:next w:val="Normal"/>
    <w:uiPriority w:val="99"/>
    <w:rsid w:val="00306031"/>
    <w:pPr>
      <w:keepNext/>
      <w:keepLines/>
      <w:tabs>
        <w:tab w:val="left" w:pos="1134"/>
        <w:tab w:val="left" w:pos="1871"/>
        <w:tab w:val="left" w:pos="2268"/>
      </w:tabs>
      <w:spacing w:before="240" w:after="280"/>
      <w:jc w:val="center"/>
    </w:pPr>
    <w:rPr>
      <w:rFonts w:ascii="Times New Roman Bold" w:hAnsi="Times New Roman Bold"/>
      <w:b/>
      <w:sz w:val="28"/>
      <w:lang w:val="en-GB" w:eastAsia="en-US"/>
    </w:rPr>
  </w:style>
  <w:style w:type="paragraph" w:customStyle="1" w:styleId="enumlev1">
    <w:name w:val="enumlev1"/>
    <w:basedOn w:val="Normal"/>
    <w:link w:val="enumlev1Char"/>
    <w:rsid w:val="00306031"/>
    <w:pPr>
      <w:tabs>
        <w:tab w:val="left" w:pos="794"/>
        <w:tab w:val="left" w:pos="1191"/>
        <w:tab w:val="left" w:pos="1588"/>
        <w:tab w:val="left" w:pos="1985"/>
      </w:tabs>
      <w:spacing w:before="80"/>
      <w:ind w:left="794" w:hanging="794"/>
    </w:pPr>
    <w:rPr>
      <w:rFonts w:ascii="Times New Roman" w:eastAsia="MS Mincho" w:hAnsi="Times New Roman"/>
      <w:sz w:val="24"/>
      <w:lang w:val="en-GB" w:eastAsia="en-US"/>
    </w:rPr>
  </w:style>
  <w:style w:type="paragraph" w:customStyle="1" w:styleId="enumlev2">
    <w:name w:val="enumlev2"/>
    <w:basedOn w:val="enumlev1"/>
    <w:uiPriority w:val="99"/>
    <w:rsid w:val="00306031"/>
    <w:pPr>
      <w:ind w:left="1191" w:hanging="397"/>
    </w:pPr>
  </w:style>
  <w:style w:type="character" w:customStyle="1" w:styleId="enumlev1Char">
    <w:name w:val="enumlev1 Char"/>
    <w:basedOn w:val="Policepardfaut"/>
    <w:link w:val="enumlev1"/>
    <w:uiPriority w:val="99"/>
    <w:locked/>
    <w:rsid w:val="00306031"/>
    <w:rPr>
      <w:rFonts w:eastAsia="MS Mincho" w:cs="Times New Roman"/>
      <w:sz w:val="24"/>
      <w:lang w:val="en-GB" w:eastAsia="en-US" w:bidi="ar-SA"/>
    </w:rPr>
  </w:style>
  <w:style w:type="character" w:styleId="lev">
    <w:name w:val="Strong"/>
    <w:basedOn w:val="Policepardfaut"/>
    <w:uiPriority w:val="22"/>
    <w:qFormat/>
    <w:rsid w:val="006F0640"/>
    <w:rPr>
      <w:rFonts w:cs="Times New Roman"/>
      <w:b/>
      <w:bCs/>
    </w:rPr>
  </w:style>
  <w:style w:type="paragraph" w:styleId="Textebrut">
    <w:name w:val="Plain Text"/>
    <w:basedOn w:val="Normal"/>
    <w:link w:val="TextebrutCar"/>
    <w:uiPriority w:val="99"/>
    <w:semiHidden/>
    <w:unhideWhenUsed/>
    <w:rsid w:val="006B7C20"/>
    <w:pPr>
      <w:overflowPunct/>
      <w:autoSpaceDE/>
      <w:autoSpaceDN/>
      <w:adjustRightInd/>
      <w:textAlignment w:val="auto"/>
    </w:pPr>
    <w:rPr>
      <w:rFonts w:ascii="Calibri" w:eastAsiaTheme="minorHAnsi" w:hAnsi="Calibri" w:cstheme="minorBidi"/>
      <w:szCs w:val="21"/>
      <w:lang w:val="fr-FR" w:eastAsia="en-US"/>
    </w:rPr>
  </w:style>
  <w:style w:type="character" w:customStyle="1" w:styleId="TextebrutCar">
    <w:name w:val="Texte brut Car"/>
    <w:basedOn w:val="Policepardfaut"/>
    <w:link w:val="Textebrut"/>
    <w:uiPriority w:val="99"/>
    <w:semiHidden/>
    <w:rsid w:val="006B7C20"/>
    <w:rPr>
      <w:rFonts w:ascii="Calibri" w:eastAsiaTheme="minorHAnsi" w:hAnsi="Calibri" w:cstheme="minorBidi"/>
      <w:szCs w:val="21"/>
      <w:lang w:eastAsia="en-US"/>
    </w:rPr>
  </w:style>
  <w:style w:type="paragraph" w:styleId="Paragraphedeliste">
    <w:name w:val="List Paragraph"/>
    <w:basedOn w:val="Normal"/>
    <w:uiPriority w:val="34"/>
    <w:qFormat/>
    <w:rsid w:val="00EC16FE"/>
    <w:pPr>
      <w:ind w:left="720"/>
      <w:contextualSpacing/>
    </w:pPr>
  </w:style>
  <w:style w:type="paragraph" w:customStyle="1" w:styleId="Call">
    <w:name w:val="Call"/>
    <w:basedOn w:val="Normal"/>
    <w:next w:val="Normal"/>
    <w:link w:val="CallChar"/>
    <w:uiPriority w:val="99"/>
    <w:rsid w:val="009B23AF"/>
    <w:pPr>
      <w:keepNext/>
      <w:keepLines/>
      <w:tabs>
        <w:tab w:val="left" w:pos="1134"/>
        <w:tab w:val="left" w:pos="1871"/>
        <w:tab w:val="left" w:pos="2268"/>
      </w:tabs>
      <w:spacing w:before="160"/>
      <w:ind w:left="1134"/>
    </w:pPr>
    <w:rPr>
      <w:rFonts w:ascii="Times New Roman" w:hAnsi="Times New Roman"/>
      <w:i/>
      <w:sz w:val="24"/>
      <w:lang w:val="en-GB" w:eastAsia="en-US"/>
    </w:rPr>
  </w:style>
  <w:style w:type="paragraph" w:customStyle="1" w:styleId="Normalaftertitle">
    <w:name w:val="Normal after title"/>
    <w:basedOn w:val="Normal"/>
    <w:next w:val="Normal"/>
    <w:rsid w:val="009B23AF"/>
    <w:pPr>
      <w:tabs>
        <w:tab w:val="left" w:pos="1134"/>
        <w:tab w:val="left" w:pos="1871"/>
        <w:tab w:val="left" w:pos="2268"/>
      </w:tabs>
      <w:spacing w:before="280"/>
    </w:pPr>
    <w:rPr>
      <w:rFonts w:ascii="Times New Roman" w:hAnsi="Times New Roman"/>
      <w:sz w:val="24"/>
      <w:lang w:val="en-GB" w:eastAsia="en-US"/>
    </w:rPr>
  </w:style>
  <w:style w:type="paragraph" w:customStyle="1" w:styleId="ResNo">
    <w:name w:val="Res_No"/>
    <w:basedOn w:val="Normal"/>
    <w:next w:val="Normal"/>
    <w:rsid w:val="009B23AF"/>
    <w:pPr>
      <w:keepNext/>
      <w:keepLines/>
      <w:tabs>
        <w:tab w:val="left" w:pos="1134"/>
        <w:tab w:val="left" w:pos="1871"/>
        <w:tab w:val="left" w:pos="2268"/>
      </w:tabs>
      <w:spacing w:before="480"/>
      <w:jc w:val="center"/>
    </w:pPr>
    <w:rPr>
      <w:rFonts w:ascii="Times New Roman" w:hAnsi="Times New Roman"/>
      <w:caps/>
      <w:sz w:val="28"/>
      <w:lang w:val="en-GB" w:eastAsia="en-US"/>
    </w:rPr>
  </w:style>
  <w:style w:type="paragraph" w:customStyle="1" w:styleId="Restitle">
    <w:name w:val="Res_title"/>
    <w:basedOn w:val="Normal"/>
    <w:next w:val="Normal"/>
    <w:rsid w:val="009B23AF"/>
    <w:pPr>
      <w:keepNext/>
      <w:keepLines/>
      <w:tabs>
        <w:tab w:val="left" w:pos="1134"/>
        <w:tab w:val="left" w:pos="1871"/>
        <w:tab w:val="left" w:pos="2268"/>
      </w:tabs>
      <w:spacing w:before="240"/>
      <w:jc w:val="center"/>
    </w:pPr>
    <w:rPr>
      <w:rFonts w:ascii="Times New Roman Bold" w:hAnsi="Times New Roman Bold"/>
      <w:b/>
      <w:sz w:val="28"/>
      <w:lang w:val="en-GB" w:eastAsia="en-US"/>
    </w:rPr>
  </w:style>
  <w:style w:type="character" w:customStyle="1" w:styleId="Artdef">
    <w:name w:val="Art_def"/>
    <w:basedOn w:val="Policepardfaut"/>
    <w:rsid w:val="009B23AF"/>
    <w:rPr>
      <w:rFonts w:ascii="Times New Roman" w:hAnsi="Times New Roman"/>
      <w:b/>
    </w:rPr>
  </w:style>
  <w:style w:type="paragraph" w:customStyle="1" w:styleId="Reasons">
    <w:name w:val="Reasons"/>
    <w:basedOn w:val="Normal"/>
    <w:qFormat/>
    <w:rsid w:val="009B23AF"/>
    <w:pPr>
      <w:tabs>
        <w:tab w:val="left" w:pos="1134"/>
        <w:tab w:val="left" w:pos="1588"/>
        <w:tab w:val="left" w:pos="1985"/>
      </w:tabs>
      <w:spacing w:before="120"/>
    </w:pPr>
    <w:rPr>
      <w:rFonts w:ascii="Times New Roman" w:hAnsi="Times New Roman"/>
      <w:sz w:val="24"/>
      <w:lang w:val="en-GB" w:eastAsia="en-US"/>
    </w:rPr>
  </w:style>
  <w:style w:type="paragraph" w:customStyle="1" w:styleId="Note">
    <w:name w:val="Note"/>
    <w:basedOn w:val="Normal"/>
    <w:next w:val="Normal"/>
    <w:link w:val="NoteChar"/>
    <w:rsid w:val="009B23AF"/>
    <w:pPr>
      <w:tabs>
        <w:tab w:val="left" w:pos="284"/>
        <w:tab w:val="left" w:pos="1134"/>
        <w:tab w:val="left" w:pos="1871"/>
        <w:tab w:val="left" w:pos="2268"/>
      </w:tabs>
      <w:spacing w:before="80"/>
    </w:pPr>
    <w:rPr>
      <w:rFonts w:ascii="Times New Roman" w:hAnsi="Times New Roman"/>
      <w:sz w:val="24"/>
      <w:lang w:val="en-GB" w:eastAsia="en-US"/>
    </w:rPr>
  </w:style>
  <w:style w:type="character" w:customStyle="1" w:styleId="NoteChar">
    <w:name w:val="Note Char"/>
    <w:basedOn w:val="Policepardfaut"/>
    <w:link w:val="Note"/>
    <w:locked/>
    <w:rsid w:val="009B23AF"/>
    <w:rPr>
      <w:sz w:val="24"/>
      <w:szCs w:val="20"/>
      <w:lang w:val="en-GB" w:eastAsia="en-US"/>
    </w:rPr>
  </w:style>
  <w:style w:type="paragraph" w:customStyle="1" w:styleId="Title1">
    <w:name w:val="Title 1"/>
    <w:basedOn w:val="Normal"/>
    <w:next w:val="Normal"/>
    <w:uiPriority w:val="99"/>
    <w:rsid w:val="00916F3B"/>
    <w:pPr>
      <w:tabs>
        <w:tab w:val="left" w:pos="567"/>
        <w:tab w:val="left" w:pos="1134"/>
        <w:tab w:val="left" w:pos="1701"/>
        <w:tab w:val="left" w:pos="1871"/>
        <w:tab w:val="left" w:pos="2268"/>
        <w:tab w:val="left" w:pos="2835"/>
      </w:tabs>
      <w:spacing w:before="240"/>
      <w:jc w:val="center"/>
    </w:pPr>
    <w:rPr>
      <w:rFonts w:ascii="Times New Roman" w:hAnsi="Times New Roman"/>
      <w:caps/>
      <w:sz w:val="28"/>
      <w:lang w:val="en-GB" w:eastAsia="en-US"/>
    </w:rPr>
  </w:style>
  <w:style w:type="paragraph" w:customStyle="1" w:styleId="Title4">
    <w:name w:val="Title 4"/>
    <w:basedOn w:val="Normal"/>
    <w:next w:val="Titre1"/>
    <w:uiPriority w:val="99"/>
    <w:rsid w:val="00916F3B"/>
    <w:pPr>
      <w:tabs>
        <w:tab w:val="left" w:pos="1134"/>
        <w:tab w:val="left" w:pos="1871"/>
        <w:tab w:val="left" w:pos="2268"/>
      </w:tabs>
      <w:overflowPunct/>
      <w:autoSpaceDE/>
      <w:autoSpaceDN/>
      <w:adjustRightInd/>
      <w:spacing w:before="240"/>
      <w:jc w:val="center"/>
      <w:textAlignment w:val="auto"/>
    </w:pPr>
    <w:rPr>
      <w:rFonts w:ascii="Times New Roman" w:hAnsi="Times New Roman"/>
      <w:b/>
      <w:sz w:val="28"/>
      <w:lang w:val="en-GB" w:eastAsia="en-US"/>
    </w:rPr>
  </w:style>
  <w:style w:type="character" w:customStyle="1" w:styleId="CallChar">
    <w:name w:val="Call Char"/>
    <w:link w:val="Call"/>
    <w:uiPriority w:val="99"/>
    <w:locked/>
    <w:rsid w:val="00916F3B"/>
    <w:rPr>
      <w:i/>
      <w:sz w:val="24"/>
      <w:szCs w:val="20"/>
      <w:lang w:val="en-GB" w:eastAsia="en-US"/>
    </w:rPr>
  </w:style>
  <w:style w:type="character" w:customStyle="1" w:styleId="Titre1Car">
    <w:name w:val="Titre 1 Car"/>
    <w:basedOn w:val="Policepardfaut"/>
    <w:link w:val="Titre1"/>
    <w:rsid w:val="00916F3B"/>
    <w:rPr>
      <w:rFonts w:asciiTheme="majorHAnsi" w:eastAsiaTheme="majorEastAsia" w:hAnsiTheme="majorHAnsi" w:cstheme="majorBidi"/>
      <w:b/>
      <w:bCs/>
      <w:color w:val="365F91" w:themeColor="accent1" w:themeShade="BF"/>
      <w:sz w:val="28"/>
      <w:szCs w:val="28"/>
      <w:lang w:val="de-DE"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9822880">
      <w:marLeft w:val="0"/>
      <w:marRight w:val="0"/>
      <w:marTop w:val="0"/>
      <w:marBottom w:val="0"/>
      <w:divBdr>
        <w:top w:val="none" w:sz="0" w:space="0" w:color="auto"/>
        <w:left w:val="none" w:sz="0" w:space="0" w:color="auto"/>
        <w:bottom w:val="none" w:sz="0" w:space="0" w:color="auto"/>
        <w:right w:val="none" w:sz="0" w:space="0" w:color="auto"/>
      </w:divBdr>
    </w:div>
    <w:div w:id="289822881">
      <w:marLeft w:val="0"/>
      <w:marRight w:val="0"/>
      <w:marTop w:val="0"/>
      <w:marBottom w:val="0"/>
      <w:divBdr>
        <w:top w:val="none" w:sz="0" w:space="0" w:color="auto"/>
        <w:left w:val="none" w:sz="0" w:space="0" w:color="auto"/>
        <w:bottom w:val="none" w:sz="0" w:space="0" w:color="auto"/>
        <w:right w:val="none" w:sz="0" w:space="0" w:color="auto"/>
      </w:divBdr>
      <w:divsChild>
        <w:div w:id="289822884">
          <w:marLeft w:val="0"/>
          <w:marRight w:val="0"/>
          <w:marTop w:val="0"/>
          <w:marBottom w:val="0"/>
          <w:divBdr>
            <w:top w:val="none" w:sz="0" w:space="0" w:color="auto"/>
            <w:left w:val="none" w:sz="0" w:space="0" w:color="auto"/>
            <w:bottom w:val="none" w:sz="0" w:space="0" w:color="auto"/>
            <w:right w:val="none" w:sz="0" w:space="0" w:color="auto"/>
          </w:divBdr>
        </w:div>
      </w:divsChild>
    </w:div>
    <w:div w:id="289822883">
      <w:marLeft w:val="0"/>
      <w:marRight w:val="0"/>
      <w:marTop w:val="0"/>
      <w:marBottom w:val="0"/>
      <w:divBdr>
        <w:top w:val="none" w:sz="0" w:space="0" w:color="auto"/>
        <w:left w:val="none" w:sz="0" w:space="0" w:color="auto"/>
        <w:bottom w:val="none" w:sz="0" w:space="0" w:color="auto"/>
        <w:right w:val="none" w:sz="0" w:space="0" w:color="auto"/>
      </w:divBdr>
    </w:div>
    <w:div w:id="289822885">
      <w:marLeft w:val="0"/>
      <w:marRight w:val="0"/>
      <w:marTop w:val="0"/>
      <w:marBottom w:val="0"/>
      <w:divBdr>
        <w:top w:val="none" w:sz="0" w:space="0" w:color="auto"/>
        <w:left w:val="none" w:sz="0" w:space="0" w:color="auto"/>
        <w:bottom w:val="none" w:sz="0" w:space="0" w:color="auto"/>
        <w:right w:val="none" w:sz="0" w:space="0" w:color="auto"/>
      </w:divBdr>
      <w:divsChild>
        <w:div w:id="289822882">
          <w:marLeft w:val="0"/>
          <w:marRight w:val="0"/>
          <w:marTop w:val="0"/>
          <w:marBottom w:val="0"/>
          <w:divBdr>
            <w:top w:val="none" w:sz="0" w:space="0" w:color="auto"/>
            <w:left w:val="none" w:sz="0" w:space="0" w:color="auto"/>
            <w:bottom w:val="none" w:sz="0" w:space="0" w:color="auto"/>
            <w:right w:val="none" w:sz="0" w:space="0" w:color="auto"/>
          </w:divBdr>
        </w:div>
      </w:divsChild>
    </w:div>
    <w:div w:id="1235162834">
      <w:bodyDiv w:val="1"/>
      <w:marLeft w:val="0"/>
      <w:marRight w:val="0"/>
      <w:marTop w:val="0"/>
      <w:marBottom w:val="0"/>
      <w:divBdr>
        <w:top w:val="none" w:sz="0" w:space="0" w:color="auto"/>
        <w:left w:val="none" w:sz="0" w:space="0" w:color="auto"/>
        <w:bottom w:val="none" w:sz="0" w:space="0" w:color="auto"/>
        <w:right w:val="none" w:sz="0" w:space="0" w:color="auto"/>
      </w:divBdr>
    </w:div>
    <w:div w:id="1613786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tu.int/md/R07-SG05-C-0275/en" TargetMode="External"/><Relationship Id="rId13" Type="http://schemas.openxmlformats.org/officeDocument/2006/relationships/hyperlink" Target="http://www.itu.int/md/R07-SG05-C-0270/en" TargetMode="External"/><Relationship Id="rId18" Type="http://schemas.openxmlformats.org/officeDocument/2006/relationships/hyperlink" Target="http://www.itu.int/md/R07-SG05-C-0273/en" TargetMode="External"/><Relationship Id="rId26" Type="http://schemas.openxmlformats.org/officeDocument/2006/relationships/hyperlink" Target="http://www.itu.int/md/R07-SG05-C-0274/en" TargetMode="External"/><Relationship Id="rId39" Type="http://schemas.openxmlformats.org/officeDocument/2006/relationships/hyperlink" Target="http://www.itu.int/md/R07-SG05-C-0282/en" TargetMode="External"/><Relationship Id="rId3" Type="http://schemas.microsoft.com/office/2007/relationships/stylesWithEffects" Target="stylesWithEffects.xml"/><Relationship Id="rId21" Type="http://schemas.openxmlformats.org/officeDocument/2006/relationships/hyperlink" Target="http://www.itu.int/md/R07-SG05-C-0276/en" TargetMode="External"/><Relationship Id="rId34" Type="http://schemas.openxmlformats.org/officeDocument/2006/relationships/hyperlink" Target="http://www.itu.int/md/R07-SG05-C-0285/en" TargetMode="External"/><Relationship Id="rId7" Type="http://schemas.openxmlformats.org/officeDocument/2006/relationships/endnotes" Target="endnotes.xml"/><Relationship Id="rId12" Type="http://schemas.openxmlformats.org/officeDocument/2006/relationships/hyperlink" Target="http://www.itu.int/md/R07-WP5D-C-1163/en" TargetMode="External"/><Relationship Id="rId17" Type="http://schemas.openxmlformats.org/officeDocument/2006/relationships/hyperlink" Target="http://www.itu.int/md/R07-SG05-C-0274/en" TargetMode="External"/><Relationship Id="rId25" Type="http://schemas.openxmlformats.org/officeDocument/2006/relationships/hyperlink" Target="http://www.itu.int/md/R07-SG05-C-0277/en" TargetMode="External"/><Relationship Id="rId33" Type="http://schemas.openxmlformats.org/officeDocument/2006/relationships/hyperlink" Target="http://www.itu.int/md/R07-SG05-C-0284/en" TargetMode="External"/><Relationship Id="rId38" Type="http://schemas.openxmlformats.org/officeDocument/2006/relationships/hyperlink" Target="http://www.itu.int/md/R07-SG05-C-0281/en" TargetMode="External"/><Relationship Id="rId2" Type="http://schemas.openxmlformats.org/officeDocument/2006/relationships/styles" Target="styles.xml"/><Relationship Id="rId16" Type="http://schemas.openxmlformats.org/officeDocument/2006/relationships/hyperlink" Target="http://www.itu.int/md/R07-SG05-C-0277/en" TargetMode="External"/><Relationship Id="rId20" Type="http://schemas.openxmlformats.org/officeDocument/2006/relationships/hyperlink" Target="http://www.itu.int/md/R07-SG05-C-0286/en" TargetMode="External"/><Relationship Id="rId29" Type="http://schemas.openxmlformats.org/officeDocument/2006/relationships/hyperlink" Target="http://www.itu.int/md/R07-SG05-C-0252/en"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itu.int/md/R07-WP5D-C-1163/en" TargetMode="External"/><Relationship Id="rId24" Type="http://schemas.openxmlformats.org/officeDocument/2006/relationships/hyperlink" Target="http://www.itu.int/md/R07-SG05-C-0271/en" TargetMode="External"/><Relationship Id="rId32" Type="http://schemas.openxmlformats.org/officeDocument/2006/relationships/hyperlink" Target="http://www.itu.int/md/R07-SG05-C-0283/en" TargetMode="External"/><Relationship Id="rId37" Type="http://schemas.openxmlformats.org/officeDocument/2006/relationships/hyperlink" Target="http://www.itu.int/md/R07-SG05-C-0280/en"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itu.int/md/R07-SG05-C-0287/en" TargetMode="External"/><Relationship Id="rId23" Type="http://schemas.openxmlformats.org/officeDocument/2006/relationships/hyperlink" Target="http://www.itu.int/md/R07-SG05-C-0270/en" TargetMode="External"/><Relationship Id="rId28" Type="http://schemas.openxmlformats.org/officeDocument/2006/relationships/hyperlink" Target="http://www.itu.int/md/R07-SG05-C-0286/en" TargetMode="External"/><Relationship Id="rId36" Type="http://schemas.openxmlformats.org/officeDocument/2006/relationships/hyperlink" Target="http://www.itu.int/md/R07-SG05-C-0279/en" TargetMode="External"/><Relationship Id="rId10" Type="http://schemas.openxmlformats.org/officeDocument/2006/relationships/hyperlink" Target="http://www.itu.int/md/R07-IMT.ADV-C" TargetMode="External"/><Relationship Id="rId19" Type="http://schemas.openxmlformats.org/officeDocument/2006/relationships/hyperlink" Target="http://www.itu.int/md/R07-SG05-C-0288/en" TargetMode="External"/><Relationship Id="rId31" Type="http://schemas.openxmlformats.org/officeDocument/2006/relationships/hyperlink" Target="http://www.itu.int/md/R07-SG05-C-0287/en" TargetMode="External"/><Relationship Id="rId4" Type="http://schemas.openxmlformats.org/officeDocument/2006/relationships/settings" Target="settings.xml"/><Relationship Id="rId9" Type="http://schemas.openxmlformats.org/officeDocument/2006/relationships/hyperlink" Target="http://www.itu.int/md/R07-WP5D-C-1163/en" TargetMode="External"/><Relationship Id="rId14" Type="http://schemas.openxmlformats.org/officeDocument/2006/relationships/hyperlink" Target="http://www.itu.int/md/R07-SG05-C-0271/en" TargetMode="External"/><Relationship Id="rId22" Type="http://schemas.openxmlformats.org/officeDocument/2006/relationships/hyperlink" Target="http://www.itu.int/md/R07-SG05-C-0275/en" TargetMode="External"/><Relationship Id="rId27" Type="http://schemas.openxmlformats.org/officeDocument/2006/relationships/hyperlink" Target="http://www.itu.int/md/R07-SG05-C-0273/en" TargetMode="External"/><Relationship Id="rId30" Type="http://schemas.openxmlformats.org/officeDocument/2006/relationships/hyperlink" Target="http://www.itu.int/md/R07-SG05-C-0288/en" TargetMode="External"/><Relationship Id="rId35" Type="http://schemas.openxmlformats.org/officeDocument/2006/relationships/hyperlink" Target="http://www.itu.int/md/R07-SG05-C-0278/e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20</Pages>
  <Words>7549</Words>
  <Characters>41524</Characters>
  <Application>Microsoft Office Word</Application>
  <DocSecurity>0</DocSecurity>
  <Lines>346</Lines>
  <Paragraphs>97</Paragraphs>
  <ScaleCrop>false</ScaleCrop>
  <HeadingPairs>
    <vt:vector size="2" baseType="variant">
      <vt:variant>
        <vt:lpstr>Titre</vt:lpstr>
      </vt:variant>
      <vt:variant>
        <vt:i4>1</vt:i4>
      </vt:variant>
    </vt:vector>
  </HeadingPairs>
  <TitlesOfParts>
    <vt:vector size="1" baseType="lpstr">
      <vt:lpstr>30th ECC PT1 MEETING</vt:lpstr>
    </vt:vector>
  </TitlesOfParts>
  <Company>Bundesnetzagentur</Company>
  <LinksUpToDate>false</LinksUpToDate>
  <CharactersWithSpaces>48976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30th ECC PT1 MEETING</dc:title>
  <dc:creator>Schwarz</dc:creator>
  <cp:lastModifiedBy>Auteur</cp:lastModifiedBy>
  <cp:revision>6</cp:revision>
  <cp:lastPrinted>2009-02-02T10:22:00Z</cp:lastPrinted>
  <dcterms:created xsi:type="dcterms:W3CDTF">2012-03-07T13:45:00Z</dcterms:created>
  <dcterms:modified xsi:type="dcterms:W3CDTF">2012-03-13T16:59:00Z</dcterms:modified>
</cp:coreProperties>
</file>