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346C62" w:rsidRPr="0098621D">
        <w:trPr>
          <w:cantSplit/>
        </w:trPr>
        <w:tc>
          <w:tcPr>
            <w:tcW w:w="6071" w:type="dxa"/>
            <w:gridSpan w:val="3"/>
            <w:tcBorders>
              <w:top w:val="nil"/>
              <w:left w:val="nil"/>
              <w:bottom w:val="nil"/>
              <w:right w:val="nil"/>
            </w:tcBorders>
          </w:tcPr>
          <w:p w:rsidR="00346C62" w:rsidRPr="0098621D" w:rsidRDefault="005723B3" w:rsidP="00215746">
            <w:pPr>
              <w:pStyle w:val="Kopfzeile1"/>
            </w:pPr>
            <w:bookmarkStart w:id="0" w:name="_GoBack"/>
            <w:bookmarkEnd w:id="0"/>
            <w:r>
              <w:rPr>
                <w:noProof/>
                <w:lang w:val="en-GB" w:eastAsia="en-GB"/>
              </w:rPr>
              <w:drawing>
                <wp:inline distT="0" distB="0" distL="0" distR="0" wp14:anchorId="391E9367" wp14:editId="6509AC52">
                  <wp:extent cx="1619250" cy="82867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r w:rsidR="00ED7AEC">
              <w:t>Plenary</w:t>
            </w:r>
          </w:p>
          <w:p w:rsidR="00346C62" w:rsidRPr="0098621D" w:rsidRDefault="00346C62" w:rsidP="00215746">
            <w:pPr>
              <w:pStyle w:val="Kopfzeile1"/>
              <w:rPr>
                <w:rFonts w:cs="Arial"/>
                <w:color w:val="000000"/>
                <w:lang w:val="en-GB"/>
              </w:rPr>
            </w:pPr>
          </w:p>
        </w:tc>
        <w:tc>
          <w:tcPr>
            <w:tcW w:w="3569" w:type="dxa"/>
            <w:tcBorders>
              <w:top w:val="nil"/>
              <w:left w:val="nil"/>
              <w:bottom w:val="nil"/>
              <w:right w:val="nil"/>
            </w:tcBorders>
          </w:tcPr>
          <w:p w:rsidR="00346C62" w:rsidRPr="00346C62" w:rsidRDefault="0098621D" w:rsidP="00E27FC3">
            <w:pPr>
              <w:pStyle w:val="Kopfzeile1"/>
              <w:tabs>
                <w:tab w:val="clear" w:pos="4536"/>
                <w:tab w:val="right" w:pos="3357"/>
              </w:tabs>
            </w:pPr>
            <w:r>
              <w:tab/>
            </w:r>
            <w:r w:rsidR="00533846">
              <w:t>Doc</w:t>
            </w:r>
            <w:r w:rsidR="00ED7AEC">
              <w:t>. ECC(1</w:t>
            </w:r>
            <w:r w:rsidR="00D149DA">
              <w:t>3</w:t>
            </w:r>
            <w:r w:rsidR="00ED7AEC">
              <w:t>)</w:t>
            </w:r>
            <w:r w:rsidR="00E27FC3">
              <w:t>074</w:t>
            </w: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D149DA" w:rsidRDefault="00D149DA" w:rsidP="00916B79">
            <w:pPr>
              <w:pStyle w:val="Kopfzeile1"/>
              <w:rPr>
                <w:lang w:val="en-GB"/>
              </w:rPr>
            </w:pPr>
            <w:r>
              <w:rPr>
                <w:lang w:val="en-GB"/>
              </w:rPr>
              <w:t>3</w:t>
            </w:r>
            <w:r w:rsidR="00916B79">
              <w:rPr>
                <w:lang w:val="en-GB"/>
              </w:rPr>
              <w:t>5</w:t>
            </w:r>
            <w:r w:rsidR="001F724C" w:rsidRPr="001F724C">
              <w:rPr>
                <w:vertAlign w:val="superscript"/>
                <w:lang w:val="en-GB"/>
              </w:rPr>
              <w:t>th</w:t>
            </w:r>
            <w:r w:rsidR="001F724C">
              <w:rPr>
                <w:lang w:val="en-GB"/>
              </w:rPr>
              <w:t xml:space="preserve"> </w:t>
            </w:r>
            <w:r w:rsidR="001E0E49" w:rsidRPr="00D149DA">
              <w:rPr>
                <w:lang w:val="en-GB"/>
              </w:rPr>
              <w:t>Meeting</w:t>
            </w:r>
          </w:p>
        </w:tc>
        <w:tc>
          <w:tcPr>
            <w:tcW w:w="5300" w:type="dxa"/>
            <w:gridSpan w:val="2"/>
            <w:tcBorders>
              <w:top w:val="nil"/>
              <w:left w:val="nil"/>
              <w:bottom w:val="nil"/>
              <w:right w:val="nil"/>
            </w:tcBorders>
            <w:vAlign w:val="center"/>
          </w:tcPr>
          <w:p w:rsidR="00346C62" w:rsidRPr="0098621D" w:rsidRDefault="00346C62" w:rsidP="00215746">
            <w:pPr>
              <w:pStyle w:val="Kopfzeile1"/>
              <w:rPr>
                <w:lang w:val="en-GB"/>
              </w:rPr>
            </w:pP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D149DA" w:rsidRDefault="00916B79" w:rsidP="00916B79">
            <w:pPr>
              <w:pStyle w:val="Kopfzeile1"/>
              <w:rPr>
                <w:lang w:val="en-GB"/>
              </w:rPr>
            </w:pPr>
            <w:r>
              <w:rPr>
                <w:lang w:val="en-GB"/>
              </w:rPr>
              <w:t xml:space="preserve">Berlin, 5-8 November </w:t>
            </w:r>
            <w:r w:rsidR="00500553" w:rsidRPr="00D149DA">
              <w:rPr>
                <w:lang w:val="en-GB"/>
              </w:rPr>
              <w:t>2013</w:t>
            </w:r>
          </w:p>
        </w:tc>
        <w:tc>
          <w:tcPr>
            <w:tcW w:w="5300" w:type="dxa"/>
            <w:gridSpan w:val="2"/>
            <w:tcBorders>
              <w:top w:val="nil"/>
              <w:left w:val="nil"/>
              <w:bottom w:val="nil"/>
              <w:right w:val="nil"/>
            </w:tcBorders>
            <w:vAlign w:val="center"/>
          </w:tcPr>
          <w:p w:rsidR="00346C62" w:rsidRPr="0098621D" w:rsidRDefault="00346C62" w:rsidP="00215746">
            <w:pPr>
              <w:pStyle w:val="Kopfzeile1"/>
              <w:rPr>
                <w:lang w:val="en-GB"/>
              </w:rPr>
            </w:pPr>
          </w:p>
        </w:tc>
      </w:tr>
      <w:tr w:rsidR="00F05B26" w:rsidRPr="0098621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F05B26" w:rsidRPr="00D149DA" w:rsidRDefault="00F05B26" w:rsidP="00215746">
            <w:pPr>
              <w:pStyle w:val="Kopfzeile1"/>
              <w:rPr>
                <w:sz w:val="8"/>
                <w:lang w:val="en-GB"/>
              </w:rPr>
            </w:pPr>
          </w:p>
        </w:tc>
        <w:tc>
          <w:tcPr>
            <w:tcW w:w="5300" w:type="dxa"/>
            <w:gridSpan w:val="2"/>
            <w:tcBorders>
              <w:top w:val="nil"/>
              <w:left w:val="nil"/>
              <w:bottom w:val="nil"/>
              <w:right w:val="nil"/>
            </w:tcBorders>
            <w:vAlign w:val="center"/>
          </w:tcPr>
          <w:p w:rsidR="00F05B26" w:rsidRPr="0098621D" w:rsidRDefault="00F05B26" w:rsidP="00215746">
            <w:pPr>
              <w:pStyle w:val="Kopfzeile1"/>
              <w:rPr>
                <w:sz w:val="8"/>
                <w:lang w:val="en-GB"/>
              </w:rPr>
            </w:pP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rPr>
                <w:lang w:val="en-GB"/>
              </w:rPr>
            </w:pPr>
            <w:r w:rsidRPr="00D149DA">
              <w:rPr>
                <w:lang w:val="en-GB"/>
              </w:rPr>
              <w:t>Date issued:</w:t>
            </w:r>
            <w:r w:rsidR="005269EA" w:rsidRPr="00D149DA">
              <w:rPr>
                <w:lang w:val="en-GB"/>
              </w:rPr>
              <w:t xml:space="preserve"> </w:t>
            </w:r>
          </w:p>
        </w:tc>
        <w:tc>
          <w:tcPr>
            <w:tcW w:w="7797" w:type="dxa"/>
            <w:gridSpan w:val="3"/>
            <w:tcBorders>
              <w:top w:val="nil"/>
              <w:left w:val="nil"/>
              <w:bottom w:val="nil"/>
              <w:right w:val="nil"/>
            </w:tcBorders>
            <w:vAlign w:val="center"/>
          </w:tcPr>
          <w:p w:rsidR="00F05B26" w:rsidRPr="0098621D" w:rsidRDefault="00916B79" w:rsidP="00916B79">
            <w:pPr>
              <w:pStyle w:val="Kopfzeile1"/>
              <w:rPr>
                <w:lang w:val="en-GB"/>
              </w:rPr>
            </w:pPr>
            <w:r>
              <w:rPr>
                <w:lang w:val="en-GB"/>
              </w:rPr>
              <w:t>30 October</w:t>
            </w:r>
            <w:r w:rsidR="00A82B1F">
              <w:rPr>
                <w:lang w:val="en-GB"/>
              </w:rPr>
              <w:t xml:space="preserve"> 2013</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rPr>
                <w:lang w:val="en-GB"/>
              </w:rPr>
            </w:pPr>
            <w:r w:rsidRPr="00D149DA">
              <w:rPr>
                <w:lang w:val="en-GB"/>
              </w:rPr>
              <w:t>Source:</w:t>
            </w:r>
            <w:r w:rsidR="00ED7AEC" w:rsidRPr="00D149DA">
              <w:rPr>
                <w:lang w:val="en-GB"/>
              </w:rPr>
              <w:t xml:space="preserve"> </w:t>
            </w:r>
          </w:p>
        </w:tc>
        <w:tc>
          <w:tcPr>
            <w:tcW w:w="7797" w:type="dxa"/>
            <w:gridSpan w:val="3"/>
            <w:tcBorders>
              <w:top w:val="nil"/>
              <w:left w:val="nil"/>
              <w:bottom w:val="nil"/>
              <w:right w:val="nil"/>
            </w:tcBorders>
            <w:vAlign w:val="center"/>
          </w:tcPr>
          <w:p w:rsidR="00F05B26" w:rsidRPr="0098621D" w:rsidRDefault="00A82B1F" w:rsidP="00215746">
            <w:pPr>
              <w:pStyle w:val="Kopfzeile1"/>
              <w:rPr>
                <w:lang w:val="en-GB"/>
              </w:rPr>
            </w:pPr>
            <w:r>
              <w:rPr>
                <w:lang w:val="en-GB"/>
              </w:rPr>
              <w:t>ECO</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rPr>
                <w:lang w:val="en-GB"/>
              </w:rPr>
            </w:pPr>
            <w:r w:rsidRPr="00D149DA">
              <w:rPr>
                <w:lang w:val="en-GB"/>
              </w:rPr>
              <w:t>Subject:</w:t>
            </w:r>
            <w:r w:rsidR="005269EA" w:rsidRPr="00D149DA">
              <w:rPr>
                <w:lang w:val="en-GB"/>
              </w:rPr>
              <w:t xml:space="preserve"> </w:t>
            </w:r>
          </w:p>
        </w:tc>
        <w:tc>
          <w:tcPr>
            <w:tcW w:w="7797" w:type="dxa"/>
            <w:gridSpan w:val="3"/>
            <w:tcBorders>
              <w:top w:val="nil"/>
              <w:left w:val="nil"/>
              <w:bottom w:val="nil"/>
              <w:right w:val="nil"/>
            </w:tcBorders>
            <w:vAlign w:val="center"/>
          </w:tcPr>
          <w:p w:rsidR="00F05B26" w:rsidRPr="001E0E49" w:rsidRDefault="00A82B1F" w:rsidP="001E0E49">
            <w:pPr>
              <w:pStyle w:val="Kopfzeile1"/>
              <w:rPr>
                <w:lang w:val="en-GB"/>
              </w:rPr>
            </w:pPr>
            <w:r w:rsidRPr="00A82B1F">
              <w:rPr>
                <w:lang w:val="en-GB"/>
              </w:rPr>
              <w:t>ECO Bulletin on on</w:t>
            </w:r>
            <w:r>
              <w:rPr>
                <w:lang w:val="en-GB"/>
              </w:rPr>
              <w:t>-</w:t>
            </w:r>
            <w:r w:rsidRPr="00A82B1F">
              <w:rPr>
                <w:lang w:val="en-GB"/>
              </w:rPr>
              <w:t>going/new issues in other regions or organisations</w:t>
            </w:r>
          </w:p>
        </w:tc>
      </w:tr>
      <w:tr w:rsidR="00493F86" w:rsidRPr="0098621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493F86" w:rsidRPr="006D7413" w:rsidRDefault="005723B3" w:rsidP="00FF320E">
            <w:pPr>
              <w:rPr>
                <w:rFonts w:cs="Arial"/>
                <w:szCs w:val="24"/>
                <w:lang w:val="en-GB"/>
              </w:rPr>
            </w:pPr>
            <w:r>
              <w:rPr>
                <w:noProof/>
                <w:lang w:val="en-GB" w:eastAsia="en-GB"/>
              </w:rPr>
              <mc:AlternateContent>
                <mc:Choice Requires="wps">
                  <w:drawing>
                    <wp:anchor distT="0" distB="0" distL="114300" distR="114300" simplePos="0" relativeHeight="251657728" behindDoc="1" locked="0" layoutInCell="1" allowOverlap="1" wp14:anchorId="3F24BC7A" wp14:editId="7F5F635E">
                      <wp:simplePos x="0" y="0"/>
                      <wp:positionH relativeFrom="column">
                        <wp:posOffset>3263900</wp:posOffset>
                      </wp:positionH>
                      <wp:positionV relativeFrom="paragraph">
                        <wp:posOffset>193675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33013C" w:rsidRPr="00254FD9" w:rsidRDefault="0033013C"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">
                      <v:textbox>
                        <w:txbxContent>
                          <w:p w:rsidR="0033013C" w:rsidRPr="00254FD9" w:rsidRDefault="0033013C"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1D181E" w:rsidP="00FF320E">
            <w:pPr>
              <w:rPr>
                <w:lang w:val="en-GB"/>
              </w:rPr>
            </w:pPr>
            <w:r>
              <w:rPr>
                <w:lang w:val="en-GB"/>
              </w:rPr>
              <w:t>Group membership</w:t>
            </w:r>
            <w:r w:rsidR="00493F86" w:rsidRPr="0016435A">
              <w:rPr>
                <w:lang w:val="en-GB"/>
              </w:rPr>
              <w:t xml:space="preserve"> required</w:t>
            </w:r>
            <w:r>
              <w:rPr>
                <w:lang w:val="en-GB"/>
              </w:rPr>
              <w:t xml:space="preserve"> </w:t>
            </w:r>
            <w:proofErr w:type="gramStart"/>
            <w:r>
              <w:rPr>
                <w:lang w:val="en-GB"/>
              </w:rPr>
              <w:t>to read</w:t>
            </w:r>
            <w:proofErr w:type="gramEnd"/>
            <w:r>
              <w:rPr>
                <w:lang w:val="en-GB"/>
              </w:rPr>
              <w:t>? (Y/N)</w:t>
            </w:r>
          </w:p>
          <w:p w:rsidR="00493F86" w:rsidRPr="00DD103C" w:rsidRDefault="00493F86" w:rsidP="00FF320E">
            <w:pPr>
              <w:pStyle w:val="Header1"/>
              <w:rPr>
                <w:lang w:val="en-GB" w:eastAsia="de-DE"/>
              </w:rPr>
            </w:pPr>
          </w:p>
        </w:tc>
      </w:tr>
      <w:tr w:rsidR="00493F86" w:rsidRPr="0098621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rPr>
                <w:lang w:eastAsia="de-DE"/>
              </w:rPr>
            </w:pPr>
          </w:p>
          <w:p w:rsidR="00493F86" w:rsidRPr="0098621D" w:rsidRDefault="00493F86" w:rsidP="00FF320E">
            <w:pPr>
              <w:pStyle w:val="Header1"/>
              <w:rPr>
                <w:sz w:val="8"/>
                <w:lang w:eastAsia="de-DE"/>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1E0E49" w:rsidRDefault="001E0E49" w:rsidP="001E0E49">
            <w:pPr>
              <w:pStyle w:val="Kopfzeile1"/>
              <w:rPr>
                <w:lang w:val="en-US"/>
              </w:rPr>
            </w:pPr>
            <w:r w:rsidRPr="001E0E49">
              <w:rPr>
                <w:lang w:val="en-US"/>
              </w:rPr>
              <w:t>Summary:</w:t>
            </w:r>
            <w:r>
              <w:rPr>
                <w:lang w:val="en-US"/>
              </w:rPr>
              <w:t xml:space="preserve"> </w:t>
            </w:r>
          </w:p>
        </w:tc>
      </w:tr>
      <w:tr w:rsidR="001E0E49" w:rsidRPr="00D4406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1E0E49" w:rsidRDefault="00A82B1F" w:rsidP="008E4001">
            <w:r w:rsidRPr="00A82B1F">
              <w:t xml:space="preserve">This </w:t>
            </w:r>
            <w:r w:rsidR="00977355">
              <w:t xml:space="preserve">ECO Bulletin </w:t>
            </w:r>
            <w:r w:rsidRPr="00A82B1F">
              <w:t xml:space="preserve">provides a summary update on aspects of </w:t>
            </w:r>
            <w:r w:rsidR="008E4001">
              <w:t xml:space="preserve">progress </w:t>
            </w:r>
            <w:r w:rsidR="00061978">
              <w:t xml:space="preserve">in spectrum management </w:t>
            </w:r>
            <w:r w:rsidR="00D765E7">
              <w:t>outside the CEPT</w:t>
            </w:r>
            <w:r w:rsidRPr="00A82B1F">
              <w:t>. The</w:t>
            </w:r>
            <w:r w:rsidR="008E4001">
              <w:t xml:space="preserve"> items </w:t>
            </w:r>
            <w:r w:rsidR="00421CAC">
              <w:t xml:space="preserve">in this bulletin </w:t>
            </w:r>
            <w:r w:rsidR="008E4001">
              <w:t>include:</w:t>
            </w:r>
          </w:p>
          <w:p w:rsidR="00916B79" w:rsidRDefault="00916B79" w:rsidP="008E4001">
            <w:pPr>
              <w:numPr>
                <w:ilvl w:val="0"/>
                <w:numId w:val="18"/>
              </w:numPr>
            </w:pPr>
            <w:r>
              <w:t>APT – as a result of the APT Wireless Group Meeting end of August 2013: several new consultations and new APT Reports have been approved, inter-alia for BB-PPDR, M2M, SRD, mobile fixed convergence;</w:t>
            </w:r>
          </w:p>
          <w:p w:rsidR="008E4001" w:rsidRDefault="00916B79" w:rsidP="008E4001">
            <w:pPr>
              <w:numPr>
                <w:ilvl w:val="0"/>
                <w:numId w:val="18"/>
              </w:numPr>
            </w:pPr>
            <w:r>
              <w:t>Japan – Status and approach of TV White Space Usage</w:t>
            </w:r>
            <w:r w:rsidR="00061978">
              <w:t>;</w:t>
            </w:r>
            <w:r w:rsidR="00421CAC">
              <w:t xml:space="preserve"> this includes an approach based on individual licensing, but striving to improve the licensing process.</w:t>
            </w:r>
          </w:p>
          <w:p w:rsidR="00376590" w:rsidRDefault="006F70A7" w:rsidP="006F70A7">
            <w:pPr>
              <w:numPr>
                <w:ilvl w:val="0"/>
                <w:numId w:val="18"/>
              </w:numPr>
            </w:pPr>
            <w:r>
              <w:t xml:space="preserve">FCC has changed the 57-64 GHz Part 15 regulation. </w:t>
            </w:r>
            <w:r w:rsidRPr="006F70A7">
              <w:t>The Report and Order recognises also that the 60 GHz band can be used indoors to form wide bandwidth channels for a new Wi-Fi standard called 802.11ad, i.e. can be used for off-loading the internet</w:t>
            </w:r>
            <w:r w:rsidR="00070549">
              <w:t>;</w:t>
            </w:r>
          </w:p>
          <w:p w:rsidR="004E45DF" w:rsidRDefault="004E45DF" w:rsidP="004E45DF">
            <w:pPr>
              <w:numPr>
                <w:ilvl w:val="0"/>
                <w:numId w:val="18"/>
              </w:numPr>
              <w:ind w:left="923" w:hanging="563"/>
            </w:pPr>
            <w:r>
              <w:t>Canda has approved RSS-222 for TV White Space Use</w:t>
            </w:r>
            <w:r w:rsidR="00070549">
              <w:t>;</w:t>
            </w:r>
            <w:r>
              <w:t xml:space="preserve"> this Bulletin also provides links to other recent Canadian spectrum initiatives such as in 700 MHz. In Addition, it should be noted that Canada has (similar to ECC Report 173) many initiatives and information about Fixed Service usage, e.g. for backhauling);</w:t>
            </w:r>
          </w:p>
          <w:p w:rsidR="00377E62" w:rsidRDefault="004E45DF" w:rsidP="004E45DF">
            <w:pPr>
              <w:numPr>
                <w:ilvl w:val="0"/>
                <w:numId w:val="18"/>
              </w:numPr>
              <w:ind w:left="923" w:hanging="563"/>
            </w:pPr>
            <w:r>
              <w:t xml:space="preserve">Broadband Direct </w:t>
            </w:r>
            <w:r w:rsidR="00DA6007">
              <w:t xml:space="preserve">Air to Ground Communications – </w:t>
            </w:r>
            <w:r>
              <w:t>Besides the APT having launched a questionnaire now</w:t>
            </w:r>
            <w:r w:rsidR="0033013C">
              <w:t xml:space="preserve"> on BB-DA2GCS</w:t>
            </w:r>
            <w:r>
              <w:t>, this Bulletin also provides the links to the F</w:t>
            </w:r>
            <w:r w:rsidR="0033013C">
              <w:t>CC</w:t>
            </w:r>
            <w:r>
              <w:t xml:space="preserve"> consultation </w:t>
            </w:r>
            <w:r w:rsidR="0033013C">
              <w:t xml:space="preserve">for </w:t>
            </w:r>
            <w:r w:rsidR="005F1F09">
              <w:t xml:space="preserve">the consultastion on </w:t>
            </w:r>
            <w:r w:rsidR="0033013C">
              <w:t>14-14.5 GHz BB-DA2GCS</w:t>
            </w:r>
            <w:r w:rsidR="00070549">
              <w:t>;</w:t>
            </w:r>
          </w:p>
          <w:p w:rsidR="00E7100C" w:rsidRDefault="005F1F09" w:rsidP="000C0A61">
            <w:pPr>
              <w:numPr>
                <w:ilvl w:val="0"/>
                <w:numId w:val="18"/>
              </w:numPr>
            </w:pPr>
            <w:r>
              <w:t xml:space="preserve">Information on </w:t>
            </w:r>
            <w:r w:rsidR="00F43738">
              <w:t xml:space="preserve">US spectrum sharing initiatives; </w:t>
            </w:r>
            <w:r w:rsidR="000C0A61">
              <w:t>sharing situation in various bands; role of sensing, specific situation in various frequency bands (</w:t>
            </w:r>
            <w:r w:rsidR="000C0A61" w:rsidRPr="000C0A61">
              <w:t>1695-1710 MHz, 1755-1780 MHz, 1915-1920 MHz, 1995-2000 MHz, 2020-2025 MHz and 2155-2180 MHz</w:t>
            </w:r>
            <w:r w:rsidR="000C0A61">
              <w:t>, including H-Block)</w:t>
            </w:r>
            <w:r>
              <w:t xml:space="preserve"> is provided;</w:t>
            </w:r>
          </w:p>
          <w:p w:rsidR="000C0A61" w:rsidRPr="000C0A61" w:rsidRDefault="000C0A61" w:rsidP="000C0A61">
            <w:pPr>
              <w:pStyle w:val="ListParagraph"/>
              <w:numPr>
                <w:ilvl w:val="0"/>
                <w:numId w:val="18"/>
              </w:numPr>
            </w:pPr>
            <w:r w:rsidRPr="000C0A61">
              <w:t>FCC streamlines licensing and operating rules for satellite services</w:t>
            </w:r>
            <w:r w:rsidR="005F1F09">
              <w:t>;</w:t>
            </w:r>
          </w:p>
          <w:p w:rsidR="00E43F97" w:rsidRDefault="000C0A61" w:rsidP="00E43F97">
            <w:pPr>
              <w:numPr>
                <w:ilvl w:val="0"/>
                <w:numId w:val="18"/>
              </w:numPr>
              <w:ind w:left="923" w:hanging="563"/>
            </w:pPr>
            <w:r>
              <w:t>Intelligent Transport Services</w:t>
            </w:r>
            <w:r w:rsidR="00421CAC">
              <w:t>:</w:t>
            </w:r>
            <w:r>
              <w:t xml:space="preserve">status and information about </w:t>
            </w:r>
            <w:r w:rsidR="00421CAC">
              <w:t xml:space="preserve">an </w:t>
            </w:r>
            <w:r>
              <w:t xml:space="preserve">upcoming important conference – also in light of the near future review of the regulation </w:t>
            </w:r>
            <w:r w:rsidR="005F1F09">
              <w:t xml:space="preserve">in Europe </w:t>
            </w:r>
            <w:r>
              <w:t xml:space="preserve">and leading role of Europe </w:t>
            </w:r>
            <w:r w:rsidR="005F1F09">
              <w:t xml:space="preserve">standardisation </w:t>
            </w:r>
            <w:r>
              <w:t>in th</w:t>
            </w:r>
            <w:r w:rsidR="005F1F09">
              <w:t>e ITS field.</w:t>
            </w:r>
          </w:p>
          <w:p w:rsidR="000C0A61" w:rsidRPr="001E0E49" w:rsidRDefault="000C0A61" w:rsidP="00E43F97"/>
        </w:tc>
      </w:tr>
    </w:tbl>
    <w:p w:rsidR="00421CAC" w:rsidRDefault="00421CAC">
      <w:r>
        <w:rPr>
          <w:b/>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1E0E49" w:rsidTr="004002F7">
        <w:trPr>
          <w:cantSplit/>
          <w:trHeight w:val="443"/>
        </w:trPr>
        <w:tc>
          <w:tcPr>
            <w:tcW w:w="9640" w:type="dxa"/>
            <w:tcBorders>
              <w:bottom w:val="nil"/>
            </w:tcBorders>
          </w:tcPr>
          <w:p w:rsidR="001E0E49" w:rsidRDefault="001E0E49" w:rsidP="001E0E49">
            <w:pPr>
              <w:pStyle w:val="Kopfzeile1"/>
              <w:rPr>
                <w:lang w:val="en-US"/>
              </w:rPr>
            </w:pPr>
            <w:r>
              <w:rPr>
                <w:lang w:val="en-US"/>
              </w:rPr>
              <w:lastRenderedPageBreak/>
              <w:t xml:space="preserve">Proposal: </w:t>
            </w:r>
          </w:p>
        </w:tc>
      </w:tr>
      <w:tr w:rsidR="001E0E49" w:rsidTr="004002F7">
        <w:trPr>
          <w:cantSplit/>
          <w:trHeight w:val="945"/>
        </w:trPr>
        <w:tc>
          <w:tcPr>
            <w:tcW w:w="9640" w:type="dxa"/>
            <w:tcBorders>
              <w:top w:val="nil"/>
              <w:bottom w:val="single" w:sz="4" w:space="0" w:color="auto"/>
            </w:tcBorders>
          </w:tcPr>
          <w:p w:rsidR="00977355" w:rsidRDefault="00A82B1F" w:rsidP="001E0E49">
            <w:pPr>
              <w:rPr>
                <w:lang w:val="en-US"/>
              </w:rPr>
            </w:pPr>
            <w:r w:rsidRPr="00A82B1F">
              <w:rPr>
                <w:lang w:val="en-US"/>
              </w:rPr>
              <w:t>This bulletin is to note by the ECC. More detailed input on some of the subjects covered is being input to the groups dealing with the respective subject</w:t>
            </w:r>
            <w:r w:rsidR="00E2376B">
              <w:rPr>
                <w:lang w:val="en-US"/>
              </w:rPr>
              <w:t>s</w:t>
            </w:r>
            <w:r w:rsidRPr="00A82B1F">
              <w:rPr>
                <w:lang w:val="en-US"/>
              </w:rPr>
              <w:t>.</w:t>
            </w:r>
          </w:p>
          <w:p w:rsidR="000C0A61" w:rsidRDefault="000F775A" w:rsidP="001E0E49">
            <w:pPr>
              <w:rPr>
                <w:lang w:val="en-US"/>
              </w:rPr>
            </w:pPr>
            <w:r>
              <w:rPr>
                <w:lang w:val="en-US"/>
              </w:rPr>
              <w:t xml:space="preserve">The information about the </w:t>
            </w:r>
            <w:r w:rsidR="000C0A61">
              <w:rPr>
                <w:lang w:val="en-US"/>
              </w:rPr>
              <w:t xml:space="preserve">57-64 GHz </w:t>
            </w:r>
            <w:r>
              <w:rPr>
                <w:lang w:val="en-US"/>
              </w:rPr>
              <w:t xml:space="preserve">in the USA </w:t>
            </w:r>
            <w:r w:rsidR="000C0A61">
              <w:rPr>
                <w:lang w:val="en-US"/>
              </w:rPr>
              <w:t xml:space="preserve">may be seen as an alternative for </w:t>
            </w:r>
            <w:r w:rsidR="000C0A61" w:rsidRPr="000C0A61">
              <w:rPr>
                <w:lang w:val="en-US"/>
              </w:rPr>
              <w:t>indoor</w:t>
            </w:r>
            <w:r w:rsidR="000C0A61">
              <w:rPr>
                <w:lang w:val="en-US"/>
              </w:rPr>
              <w:t xml:space="preserve"> usage with </w:t>
            </w:r>
            <w:r w:rsidR="000C0A61" w:rsidRPr="000C0A61">
              <w:rPr>
                <w:lang w:val="en-US"/>
              </w:rPr>
              <w:t xml:space="preserve">wide bandwidth channels </w:t>
            </w:r>
            <w:r w:rsidR="000C0A61">
              <w:rPr>
                <w:lang w:val="en-US"/>
              </w:rPr>
              <w:t>(ne</w:t>
            </w:r>
            <w:r w:rsidR="000C0A61" w:rsidRPr="000C0A61">
              <w:rPr>
                <w:lang w:val="en-US"/>
              </w:rPr>
              <w:t>w Wi-Fi standard called 802.11ad</w:t>
            </w:r>
            <w:r w:rsidR="000C0A61">
              <w:rPr>
                <w:lang w:val="en-US"/>
              </w:rPr>
              <w:t xml:space="preserve">) which can </w:t>
            </w:r>
            <w:r w:rsidR="000C0A61" w:rsidRPr="000C0A61">
              <w:rPr>
                <w:lang w:val="en-US"/>
              </w:rPr>
              <w:t>be used for off-loading</w:t>
            </w:r>
            <w:r w:rsidR="00E27FC3">
              <w:rPr>
                <w:lang w:val="en-US"/>
              </w:rPr>
              <w:t xml:space="preserve"> of mobile </w:t>
            </w:r>
            <w:r w:rsidR="000C0A61" w:rsidRPr="000C0A61">
              <w:rPr>
                <w:lang w:val="en-US"/>
              </w:rPr>
              <w:t>internet</w:t>
            </w:r>
            <w:r w:rsidR="00E27FC3">
              <w:rPr>
                <w:lang w:val="en-US"/>
              </w:rPr>
              <w:t xml:space="preserve"> traffic</w:t>
            </w:r>
            <w:r w:rsidR="000C0A61" w:rsidRPr="000C0A61">
              <w:rPr>
                <w:lang w:val="en-US"/>
              </w:rPr>
              <w:t>.</w:t>
            </w:r>
          </w:p>
          <w:p w:rsidR="00E2376B" w:rsidRDefault="00690A9D" w:rsidP="00421CAC">
            <w:pPr>
              <w:rPr>
                <w:lang w:val="en-US"/>
              </w:rPr>
            </w:pPr>
            <w:r>
              <w:rPr>
                <w:lang w:val="en-US"/>
              </w:rPr>
              <w:t>Several other issues (BB-PPDR related, satellite service related, DA2G</w:t>
            </w:r>
            <w:r w:rsidR="006B0132">
              <w:rPr>
                <w:lang w:val="en-US"/>
              </w:rPr>
              <w:t>C</w:t>
            </w:r>
            <w:r>
              <w:rPr>
                <w:lang w:val="en-US"/>
              </w:rPr>
              <w:t>, SRD, ITS, etc.) should be discussed at the respective WG/ PT level that is indicated</w:t>
            </w:r>
            <w:r w:rsidR="00421CAC">
              <w:rPr>
                <w:lang w:val="en-US"/>
              </w:rPr>
              <w:t xml:space="preserve">, to the extent it </w:t>
            </w:r>
            <w:proofErr w:type="gramStart"/>
            <w:r w:rsidR="00421CAC">
              <w:rPr>
                <w:lang w:val="en-US"/>
              </w:rPr>
              <w:t xml:space="preserve">is </w:t>
            </w:r>
            <w:r>
              <w:rPr>
                <w:lang w:val="en-US"/>
              </w:rPr>
              <w:t xml:space="preserve"> appropriate</w:t>
            </w:r>
            <w:proofErr w:type="gramEnd"/>
            <w:r>
              <w:rPr>
                <w:lang w:val="en-US"/>
              </w:rPr>
              <w:t>.</w:t>
            </w:r>
          </w:p>
        </w:tc>
      </w:tr>
      <w:tr w:rsidR="001E0E49" w:rsidTr="004002F7">
        <w:trPr>
          <w:cantSplit/>
          <w:trHeight w:val="431"/>
        </w:trPr>
        <w:tc>
          <w:tcPr>
            <w:tcW w:w="9640" w:type="dxa"/>
            <w:tcBorders>
              <w:bottom w:val="nil"/>
            </w:tcBorders>
          </w:tcPr>
          <w:p w:rsidR="001E0E49" w:rsidRDefault="001E0E49" w:rsidP="001E0E49">
            <w:pPr>
              <w:pStyle w:val="Kopfzeile1"/>
              <w:rPr>
                <w:lang w:val="en-US"/>
              </w:rPr>
            </w:pPr>
            <w:r>
              <w:rPr>
                <w:lang w:val="en-US"/>
              </w:rPr>
              <w:t>Background:</w:t>
            </w:r>
            <w:r w:rsidR="00ED7AEC">
              <w:rPr>
                <w:lang w:val="en-US"/>
              </w:rPr>
              <w:t xml:space="preserve"> </w:t>
            </w:r>
          </w:p>
        </w:tc>
      </w:tr>
      <w:tr w:rsidR="001E0E49" w:rsidRPr="00E305FF" w:rsidTr="004002F7">
        <w:trPr>
          <w:cantSplit/>
          <w:trHeight w:val="784"/>
        </w:trPr>
        <w:tc>
          <w:tcPr>
            <w:tcW w:w="9640" w:type="dxa"/>
            <w:tcBorders>
              <w:top w:val="nil"/>
              <w:bottom w:val="single" w:sz="4" w:space="0" w:color="auto"/>
            </w:tcBorders>
          </w:tcPr>
          <w:p w:rsidR="001E0E49" w:rsidRPr="00E305FF" w:rsidRDefault="00A82B1F" w:rsidP="004002F7">
            <w:pPr>
              <w:rPr>
                <w:bCs/>
                <w:szCs w:val="24"/>
                <w:lang w:val="en-GB"/>
              </w:rPr>
            </w:pPr>
            <w:r w:rsidRPr="00A82B1F">
              <w:rPr>
                <w:bCs/>
                <w:szCs w:val="24"/>
                <w:lang w:val="en-GB"/>
              </w:rPr>
              <w:t>The Office brings to each ECC meeting a bulletin on activities in radio communications in other world regions, where a regulatory dimension is raised (e.g. by innovative services or technology). 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E43F97" w:rsidRDefault="00E43F97" w:rsidP="00E71841">
      <w:pPr>
        <w:ind w:left="360"/>
        <w:rPr>
          <w:b/>
          <w:sz w:val="28"/>
          <w:szCs w:val="28"/>
          <w:lang w:val="en-GB"/>
        </w:rPr>
      </w:pPr>
    </w:p>
    <w:p w:rsidR="00E71841" w:rsidRPr="00E71841" w:rsidRDefault="00E43F97" w:rsidP="00E71841">
      <w:pPr>
        <w:ind w:left="360"/>
        <w:rPr>
          <w:b/>
          <w:sz w:val="28"/>
          <w:szCs w:val="28"/>
          <w:lang w:val="en-GB"/>
        </w:rPr>
      </w:pPr>
      <w:r>
        <w:rPr>
          <w:b/>
          <w:sz w:val="28"/>
          <w:szCs w:val="28"/>
          <w:lang w:val="en-GB"/>
        </w:rPr>
        <w:br w:type="page"/>
      </w:r>
    </w:p>
    <w:p w:rsidR="004A0432" w:rsidRPr="005F1F09" w:rsidRDefault="00916B79" w:rsidP="005F1F09">
      <w:pPr>
        <w:pStyle w:val="ListParagraph"/>
        <w:numPr>
          <w:ilvl w:val="0"/>
          <w:numId w:val="33"/>
        </w:numPr>
        <w:spacing w:after="0"/>
        <w:rPr>
          <w:rFonts w:cs="Arial"/>
          <w:b/>
          <w:u w:val="single"/>
          <w:lang w:val="en-US" w:eastAsia="fr-FR"/>
        </w:rPr>
      </w:pPr>
      <w:r w:rsidRPr="005F1F09">
        <w:rPr>
          <w:b/>
          <w:sz w:val="28"/>
          <w:szCs w:val="28"/>
          <w:lang w:val="en-GB"/>
        </w:rPr>
        <w:lastRenderedPageBreak/>
        <w:t>15th Meeting of the APT Wireless Group (AWG-15)</w:t>
      </w:r>
    </w:p>
    <w:p w:rsidR="00916B79" w:rsidRDefault="00916B79" w:rsidP="00916B79">
      <w:pPr>
        <w:spacing w:after="0"/>
        <w:rPr>
          <w:b/>
          <w:sz w:val="28"/>
          <w:szCs w:val="28"/>
          <w:lang w:val="en-US"/>
        </w:rPr>
      </w:pPr>
    </w:p>
    <w:p w:rsidR="00916B79" w:rsidRDefault="00916B79" w:rsidP="00916B79">
      <w:pPr>
        <w:rPr>
          <w:lang w:val="en-GB"/>
        </w:rPr>
      </w:pPr>
      <w:r w:rsidRPr="00916B79">
        <w:rPr>
          <w:lang w:val="en-GB"/>
        </w:rPr>
        <w:t xml:space="preserve">The Asia-Pacific </w:t>
      </w:r>
      <w:proofErr w:type="spellStart"/>
      <w:r w:rsidRPr="00916B79">
        <w:rPr>
          <w:lang w:val="en-GB"/>
        </w:rPr>
        <w:t>Telecommunity</w:t>
      </w:r>
      <w:proofErr w:type="spellEnd"/>
      <w:r w:rsidRPr="00916B79">
        <w:rPr>
          <w:lang w:val="en-GB"/>
        </w:rPr>
        <w:t xml:space="preserve"> (APT) organi</w:t>
      </w:r>
      <w:r>
        <w:rPr>
          <w:lang w:val="en-GB"/>
        </w:rPr>
        <w:t>s</w:t>
      </w:r>
      <w:r w:rsidRPr="00916B79">
        <w:rPr>
          <w:lang w:val="en-GB"/>
        </w:rPr>
        <w:t>ed the 15th Meeting of the APT Wireless Group (AWG-15) from 27 to 30 August 2013 in Bangkok, Thailand.</w:t>
      </w:r>
    </w:p>
    <w:p w:rsidR="00916B79" w:rsidRDefault="00916B79" w:rsidP="00916B79">
      <w:pPr>
        <w:rPr>
          <w:lang w:val="en-GB"/>
        </w:rPr>
      </w:pPr>
    </w:p>
    <w:p w:rsidR="00916B79" w:rsidRDefault="00916B79" w:rsidP="00916B79">
      <w:pPr>
        <w:rPr>
          <w:lang w:val="en-GB"/>
        </w:rPr>
      </w:pPr>
      <w:r>
        <w:rPr>
          <w:lang w:val="en-GB"/>
        </w:rPr>
        <w:t xml:space="preserve">The recent </w:t>
      </w:r>
      <w:r w:rsidRPr="006F70A7">
        <w:rPr>
          <w:b/>
          <w:lang w:val="en-GB"/>
        </w:rPr>
        <w:t>APT e-Newsletters</w:t>
      </w:r>
      <w:r>
        <w:rPr>
          <w:lang w:val="en-GB"/>
        </w:rPr>
        <w:t xml:space="preserve"> are available under: </w:t>
      </w:r>
      <w:hyperlink r:id="rId9" w:history="1">
        <w:r w:rsidRPr="00567DD6">
          <w:rPr>
            <w:rStyle w:val="Hyperlink"/>
            <w:lang w:val="en-GB"/>
          </w:rPr>
          <w:t>http://www.apt.int/Publications</w:t>
        </w:r>
      </w:hyperlink>
      <w:r>
        <w:rPr>
          <w:lang w:val="en-GB"/>
        </w:rPr>
        <w:t xml:space="preserve"> </w:t>
      </w:r>
    </w:p>
    <w:p w:rsidR="00916B79" w:rsidRDefault="00916B79" w:rsidP="00916B79">
      <w:pPr>
        <w:rPr>
          <w:lang w:val="en-GB"/>
        </w:rPr>
      </w:pPr>
    </w:p>
    <w:p w:rsidR="00916B79" w:rsidRDefault="00916B79" w:rsidP="00916B79">
      <w:pPr>
        <w:rPr>
          <w:lang w:val="en-GB"/>
        </w:rPr>
      </w:pPr>
      <w:r>
        <w:rPr>
          <w:lang w:val="en-GB"/>
        </w:rPr>
        <w:t>The following new APT Reports have been approved:</w:t>
      </w:r>
    </w:p>
    <w:p w:rsidR="00916B79" w:rsidRDefault="00916B79" w:rsidP="00916B79">
      <w:pPr>
        <w:rPr>
          <w:lang w:val="en-GB"/>
        </w:rPr>
      </w:pPr>
    </w:p>
    <w:tbl>
      <w:tblPr>
        <w:tblW w:w="5000" w:type="pct"/>
        <w:jc w:val="center"/>
        <w:tblCellSpacing w:w="7" w:type="dxa"/>
        <w:tblBorders>
          <w:top w:val="single" w:sz="6" w:space="0" w:color="D2D2D2"/>
          <w:left w:val="single" w:sz="6" w:space="0" w:color="D2D2D2"/>
          <w:bottom w:val="single" w:sz="6" w:space="0" w:color="D2D2D2"/>
          <w:right w:val="single" w:sz="6" w:space="0" w:color="D2D2D2"/>
        </w:tblBorders>
        <w:tblCellMar>
          <w:left w:w="0" w:type="dxa"/>
          <w:right w:w="0" w:type="dxa"/>
        </w:tblCellMar>
        <w:tblLook w:val="04A0" w:firstRow="1" w:lastRow="0" w:firstColumn="1" w:lastColumn="0" w:noHBand="0" w:noVBand="1"/>
      </w:tblPr>
      <w:tblGrid>
        <w:gridCol w:w="1921"/>
        <w:gridCol w:w="6646"/>
        <w:gridCol w:w="967"/>
      </w:tblGrid>
      <w:tr w:rsidR="00916B79" w:rsidRPr="00916B79" w:rsidTr="00916B79">
        <w:trPr>
          <w:tblCellSpacing w:w="7" w:type="dxa"/>
          <w:jc w:val="center"/>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FB2D96" w:rsidP="00916B79">
            <w:pPr>
              <w:rPr>
                <w:lang w:val="da-DK"/>
              </w:rPr>
            </w:pPr>
            <w:hyperlink r:id="rId10" w:history="1">
              <w:r w:rsidR="00916B79" w:rsidRPr="00916B79">
                <w:rPr>
                  <w:rStyle w:val="Hyperlink"/>
                  <w:lang w:val="da-DK"/>
                </w:rPr>
                <w:t>APT/AWG/REP-38</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en-US"/>
              </w:rPr>
            </w:pPr>
            <w:r w:rsidRPr="00916B79">
              <w:rPr>
                <w:lang w:val="en-US"/>
              </w:rPr>
              <w:t>APT Report on "Technical Requirements for Mission Critical Broadband PPDR Communications"</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da-DK"/>
              </w:rPr>
            </w:pPr>
            <w:r w:rsidRPr="00916B79">
              <w:rPr>
                <w:lang w:val="da-DK"/>
              </w:rPr>
              <w:t>09/2013</w:t>
            </w:r>
          </w:p>
        </w:tc>
      </w:tr>
      <w:tr w:rsidR="00916B79" w:rsidRPr="00916B79" w:rsidTr="00916B79">
        <w:trPr>
          <w:tblCellSpacing w:w="7" w:type="dxa"/>
          <w:jc w:val="center"/>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FB2D96" w:rsidP="00916B79">
            <w:pPr>
              <w:rPr>
                <w:lang w:val="da-DK"/>
              </w:rPr>
            </w:pPr>
            <w:hyperlink r:id="rId11" w:history="1">
              <w:r w:rsidR="00916B79" w:rsidRPr="00916B79">
                <w:rPr>
                  <w:rStyle w:val="Hyperlink"/>
                  <w:lang w:val="da-DK"/>
                </w:rPr>
                <w:t>APT/AWG/REP-39</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en-US"/>
              </w:rPr>
            </w:pPr>
            <w:r w:rsidRPr="00916B79">
              <w:rPr>
                <w:lang w:val="en-US"/>
              </w:rPr>
              <w:t>APT Report on "Regional Spectrum Requirements Estimates related to WRC-15 Agenda Item 1.1"</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da-DK"/>
              </w:rPr>
            </w:pPr>
            <w:r w:rsidRPr="00916B79">
              <w:rPr>
                <w:lang w:val="da-DK"/>
              </w:rPr>
              <w:t>09/2013</w:t>
            </w:r>
          </w:p>
        </w:tc>
      </w:tr>
      <w:tr w:rsidR="00916B79" w:rsidRPr="00916B79" w:rsidTr="00916B79">
        <w:trPr>
          <w:tblCellSpacing w:w="7" w:type="dxa"/>
          <w:jc w:val="center"/>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FB2D96" w:rsidP="00916B79">
            <w:pPr>
              <w:rPr>
                <w:lang w:val="da-DK"/>
              </w:rPr>
            </w:pPr>
            <w:hyperlink r:id="rId12" w:history="1">
              <w:r w:rsidR="00916B79" w:rsidRPr="00916B79">
                <w:rPr>
                  <w:rStyle w:val="Hyperlink"/>
                  <w:lang w:val="da-DK"/>
                </w:rPr>
                <w:t>APT/AWG/REP-40</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en-US"/>
              </w:rPr>
            </w:pPr>
            <w:r w:rsidRPr="00916B79">
              <w:rPr>
                <w:lang w:val="en-US"/>
              </w:rPr>
              <w:t>APT Survey Report on "Fixed Mobile Convergence Services"</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da-DK"/>
              </w:rPr>
            </w:pPr>
            <w:r w:rsidRPr="00916B79">
              <w:rPr>
                <w:lang w:val="da-DK"/>
              </w:rPr>
              <w:t>09/2013</w:t>
            </w:r>
          </w:p>
        </w:tc>
      </w:tr>
      <w:tr w:rsidR="00916B79" w:rsidRPr="00916B79" w:rsidTr="00916B79">
        <w:trPr>
          <w:tblCellSpacing w:w="7" w:type="dxa"/>
          <w:jc w:val="center"/>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FB2D96" w:rsidP="00916B79">
            <w:pPr>
              <w:rPr>
                <w:lang w:val="da-DK"/>
              </w:rPr>
            </w:pPr>
            <w:hyperlink r:id="rId13" w:history="1">
              <w:r w:rsidR="00916B79" w:rsidRPr="00916B79">
                <w:rPr>
                  <w:rStyle w:val="Hyperlink"/>
                  <w:lang w:val="da-DK"/>
                </w:rPr>
                <w:t>APT/AWG/REP-41</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en-US"/>
              </w:rPr>
            </w:pPr>
            <w:r w:rsidRPr="00916B79">
              <w:rPr>
                <w:lang w:val="en-US"/>
              </w:rPr>
              <w:t>APT Report on "Fixed Mobile Convergence Services"</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da-DK"/>
              </w:rPr>
            </w:pPr>
            <w:r w:rsidRPr="00916B79">
              <w:rPr>
                <w:lang w:val="da-DK"/>
              </w:rPr>
              <w:t>09/2013</w:t>
            </w:r>
          </w:p>
        </w:tc>
      </w:tr>
      <w:tr w:rsidR="00916B79" w:rsidRPr="00916B79" w:rsidTr="00916B79">
        <w:trPr>
          <w:tblCellSpacing w:w="7" w:type="dxa"/>
          <w:jc w:val="center"/>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FB2D96" w:rsidP="00916B79">
            <w:pPr>
              <w:rPr>
                <w:lang w:val="da-DK"/>
              </w:rPr>
            </w:pPr>
            <w:hyperlink r:id="rId14" w:history="1">
              <w:r w:rsidR="00916B79" w:rsidRPr="00916B79">
                <w:rPr>
                  <w:rStyle w:val="Hyperlink"/>
                  <w:lang w:val="da-DK"/>
                </w:rPr>
                <w:t>APT/AWG/REP-42</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en-US"/>
              </w:rPr>
            </w:pPr>
            <w:r w:rsidRPr="00916B79">
              <w:rPr>
                <w:lang w:val="en-US"/>
              </w:rPr>
              <w:t>APT Report on "Machine to Machine Communications Applications and Developments"</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916B79" w:rsidRPr="00916B79" w:rsidRDefault="00916B79" w:rsidP="00916B79">
            <w:pPr>
              <w:rPr>
                <w:lang w:val="da-DK"/>
              </w:rPr>
            </w:pPr>
            <w:r w:rsidRPr="00916B79">
              <w:rPr>
                <w:lang w:val="da-DK"/>
              </w:rPr>
              <w:t>09/2013</w:t>
            </w:r>
          </w:p>
        </w:tc>
      </w:tr>
    </w:tbl>
    <w:p w:rsidR="00916B79" w:rsidRDefault="00916B79" w:rsidP="00916B79">
      <w:pPr>
        <w:rPr>
          <w:lang w:val="en-GB"/>
        </w:rPr>
      </w:pPr>
    </w:p>
    <w:p w:rsidR="00916B79" w:rsidRPr="00916B79" w:rsidRDefault="00916B79" w:rsidP="00916B79">
      <w:pPr>
        <w:rPr>
          <w:lang w:val="en-GB"/>
        </w:rPr>
      </w:pPr>
      <w:r w:rsidRPr="00916B79">
        <w:rPr>
          <w:lang w:val="en-GB"/>
        </w:rPr>
        <w:t xml:space="preserve">The following circulation of questionnaires has been approved by AWG-15 (September 2013) </w:t>
      </w:r>
    </w:p>
    <w:p w:rsidR="00916B79" w:rsidRPr="00916B79" w:rsidRDefault="00FB2D96" w:rsidP="00916B79">
      <w:pPr>
        <w:numPr>
          <w:ilvl w:val="1"/>
          <w:numId w:val="29"/>
        </w:numPr>
        <w:rPr>
          <w:lang w:val="en"/>
        </w:rPr>
      </w:pPr>
      <w:hyperlink r:id="rId15" w:history="1">
        <w:r w:rsidR="00916B79" w:rsidRPr="00916B79">
          <w:rPr>
            <w:rStyle w:val="Hyperlink"/>
            <w:lang w:val="en"/>
          </w:rPr>
          <w:t>Circular Letter</w:t>
        </w:r>
      </w:hyperlink>
    </w:p>
    <w:p w:rsidR="00916B79" w:rsidRPr="00916B79" w:rsidRDefault="00FB2D96" w:rsidP="00916B79">
      <w:pPr>
        <w:numPr>
          <w:ilvl w:val="1"/>
          <w:numId w:val="29"/>
        </w:numPr>
        <w:rPr>
          <w:lang w:val="en"/>
        </w:rPr>
      </w:pPr>
      <w:hyperlink r:id="rId16" w:history="1">
        <w:r w:rsidR="00916B79" w:rsidRPr="00916B79">
          <w:rPr>
            <w:rStyle w:val="Hyperlink"/>
            <w:lang w:val="en"/>
          </w:rPr>
          <w:t>Questionnaire on APT Frequency Usage of the Bands 8 700-9300 MHz and 9 900-10 500 MHz in Asia Pacific Region</w:t>
        </w:r>
      </w:hyperlink>
    </w:p>
    <w:p w:rsidR="00916B79" w:rsidRPr="00916B79" w:rsidRDefault="00FB2D96" w:rsidP="00916B79">
      <w:pPr>
        <w:numPr>
          <w:ilvl w:val="1"/>
          <w:numId w:val="29"/>
        </w:numPr>
        <w:rPr>
          <w:lang w:val="en"/>
        </w:rPr>
      </w:pPr>
      <w:hyperlink r:id="rId17" w:history="1">
        <w:r w:rsidR="00916B79" w:rsidRPr="00916B79">
          <w:rPr>
            <w:rStyle w:val="Hyperlink"/>
            <w:lang w:val="en"/>
          </w:rPr>
          <w:t>Questionnaire on Usage and Future Plan of Frequency Bands in relations to studies on WRC-15 Agenda Item 1.1 in Asia Pacific Region</w:t>
        </w:r>
      </w:hyperlink>
    </w:p>
    <w:p w:rsidR="00916B79" w:rsidRPr="00916B79" w:rsidRDefault="00FB2D96" w:rsidP="00916B79">
      <w:pPr>
        <w:numPr>
          <w:ilvl w:val="1"/>
          <w:numId w:val="29"/>
        </w:numPr>
        <w:rPr>
          <w:lang w:val="en"/>
        </w:rPr>
      </w:pPr>
      <w:hyperlink r:id="rId18" w:history="1">
        <w:r w:rsidR="00916B79" w:rsidRPr="00916B79">
          <w:rPr>
            <w:rStyle w:val="Hyperlink"/>
            <w:lang w:val="en"/>
          </w:rPr>
          <w:t>Questionnaire on APT Frequency Usage of the Bands 2 700-2 900 MHz, 4 200-4 400 MHz and 5 350-5 460 MHz in Asia Pacific Region</w:t>
        </w:r>
      </w:hyperlink>
    </w:p>
    <w:p w:rsidR="00916B79" w:rsidRPr="00916B79" w:rsidRDefault="00FB2D96" w:rsidP="00916B79">
      <w:pPr>
        <w:numPr>
          <w:ilvl w:val="1"/>
          <w:numId w:val="29"/>
        </w:numPr>
        <w:rPr>
          <w:lang w:val="en"/>
        </w:rPr>
      </w:pPr>
      <w:hyperlink r:id="rId19" w:history="1">
        <w:r w:rsidR="00916B79" w:rsidRPr="00916B79">
          <w:rPr>
            <w:rStyle w:val="Hyperlink"/>
            <w:lang w:val="en"/>
          </w:rPr>
          <w:t>Questionnaire for Network Synchronization Technologies in Radio Access Networks for IMT</w:t>
        </w:r>
      </w:hyperlink>
    </w:p>
    <w:p w:rsidR="00916B79" w:rsidRPr="00916B79" w:rsidRDefault="00FB2D96" w:rsidP="00916B79">
      <w:pPr>
        <w:numPr>
          <w:ilvl w:val="1"/>
          <w:numId w:val="29"/>
        </w:numPr>
        <w:rPr>
          <w:lang w:val="en"/>
        </w:rPr>
      </w:pPr>
      <w:hyperlink r:id="rId20" w:history="1">
        <w:r w:rsidR="00916B79" w:rsidRPr="00916B79">
          <w:rPr>
            <w:rStyle w:val="Hyperlink"/>
            <w:lang w:val="en"/>
          </w:rPr>
          <w:t>Questionnaire on Road Sensor Network</w:t>
        </w:r>
      </w:hyperlink>
    </w:p>
    <w:p w:rsidR="00916B79" w:rsidRPr="00916B79" w:rsidRDefault="00FB2D96" w:rsidP="00916B79">
      <w:pPr>
        <w:numPr>
          <w:ilvl w:val="1"/>
          <w:numId w:val="29"/>
        </w:numPr>
        <w:rPr>
          <w:lang w:val="en"/>
        </w:rPr>
      </w:pPr>
      <w:hyperlink r:id="rId21" w:history="1">
        <w:r w:rsidR="00916B79" w:rsidRPr="00916B79">
          <w:rPr>
            <w:rStyle w:val="Hyperlink"/>
            <w:lang w:val="en"/>
          </w:rPr>
          <w:t>Questionnaire for revision of the APT Report on “Introduction, Application, Issues and Technology for Short Range Devices (SRDs)"</w:t>
        </w:r>
      </w:hyperlink>
    </w:p>
    <w:p w:rsidR="00916B79" w:rsidRPr="00916B79" w:rsidRDefault="00FB2D96" w:rsidP="00916B79">
      <w:pPr>
        <w:numPr>
          <w:ilvl w:val="1"/>
          <w:numId w:val="29"/>
        </w:numPr>
        <w:rPr>
          <w:lang w:val="en"/>
        </w:rPr>
      </w:pPr>
      <w:hyperlink r:id="rId22" w:history="1">
        <w:r w:rsidR="00916B79" w:rsidRPr="00916B79">
          <w:rPr>
            <w:rStyle w:val="Hyperlink"/>
            <w:lang w:val="en"/>
          </w:rPr>
          <w:t>Questionnaire on Embedded Narrow Band M2M</w:t>
        </w:r>
      </w:hyperlink>
    </w:p>
    <w:p w:rsidR="00916B79" w:rsidRPr="00916B79" w:rsidRDefault="00FB2D96" w:rsidP="00916B79">
      <w:pPr>
        <w:numPr>
          <w:ilvl w:val="1"/>
          <w:numId w:val="29"/>
        </w:numPr>
        <w:rPr>
          <w:lang w:val="en"/>
        </w:rPr>
      </w:pPr>
      <w:hyperlink r:id="rId23" w:history="1">
        <w:r w:rsidR="00916B79" w:rsidRPr="00916B79">
          <w:rPr>
            <w:rStyle w:val="Hyperlink"/>
            <w:lang w:val="en"/>
          </w:rPr>
          <w:t>Questionnaire on Application of Direct Broadband Radio Communication System between Air and Ground</w:t>
        </w:r>
      </w:hyperlink>
    </w:p>
    <w:p w:rsidR="006F70A7" w:rsidRDefault="006F70A7">
      <w:pPr>
        <w:spacing w:after="0"/>
        <w:jc w:val="left"/>
        <w:rPr>
          <w:lang w:val="en"/>
        </w:rPr>
      </w:pPr>
      <w:r>
        <w:rPr>
          <w:lang w:val="en"/>
        </w:rPr>
        <w:t>(</w:t>
      </w:r>
      <w:proofErr w:type="gramStart"/>
      <w:r>
        <w:rPr>
          <w:lang w:val="en"/>
        </w:rPr>
        <w:t>for</w:t>
      </w:r>
      <w:proofErr w:type="gramEnd"/>
      <w:r>
        <w:rPr>
          <w:lang w:val="en"/>
        </w:rPr>
        <w:t xml:space="preserve"> FM48, FM49, SRD/MG, CPG, PT1 and also other groups in the ECC to note) </w:t>
      </w:r>
    </w:p>
    <w:p w:rsidR="006F70A7" w:rsidRDefault="006F70A7">
      <w:pPr>
        <w:spacing w:after="0"/>
        <w:jc w:val="left"/>
        <w:rPr>
          <w:lang w:val="en"/>
        </w:rPr>
      </w:pPr>
      <w:r>
        <w:rPr>
          <w:lang w:val="en"/>
        </w:rPr>
        <w:br w:type="page"/>
      </w:r>
    </w:p>
    <w:p w:rsidR="00916B79" w:rsidRDefault="00916B79" w:rsidP="004A0432">
      <w:pPr>
        <w:autoSpaceDE w:val="0"/>
        <w:autoSpaceDN w:val="0"/>
        <w:adjustRightInd w:val="0"/>
        <w:spacing w:after="0"/>
        <w:rPr>
          <w:rFonts w:cs="Arial"/>
          <w:b/>
          <w:bCs/>
          <w:color w:val="000000"/>
          <w:szCs w:val="22"/>
          <w:lang w:val="en-US"/>
        </w:rPr>
      </w:pPr>
    </w:p>
    <w:p w:rsidR="00A82B1F" w:rsidRPr="00977355" w:rsidRDefault="00916B79" w:rsidP="005F1F09">
      <w:pPr>
        <w:numPr>
          <w:ilvl w:val="0"/>
          <w:numId w:val="33"/>
        </w:numPr>
        <w:rPr>
          <w:b/>
          <w:sz w:val="28"/>
          <w:szCs w:val="28"/>
          <w:lang w:val="en-GB"/>
        </w:rPr>
      </w:pPr>
      <w:r>
        <w:rPr>
          <w:b/>
          <w:sz w:val="28"/>
          <w:szCs w:val="28"/>
          <w:lang w:val="en-GB"/>
        </w:rPr>
        <w:t>Japan – TV White Space Devices – Status end of 2013</w:t>
      </w:r>
    </w:p>
    <w:p w:rsidR="0077184D" w:rsidRDefault="0077184D" w:rsidP="00A82B1F">
      <w:pPr>
        <w:rPr>
          <w:lang w:val="en-GB"/>
        </w:rPr>
      </w:pPr>
    </w:p>
    <w:p w:rsidR="00916B79" w:rsidRDefault="00916B79" w:rsidP="00A82B1F">
      <w:pPr>
        <w:rPr>
          <w:lang w:val="en-GB"/>
        </w:rPr>
      </w:pPr>
      <w:r>
        <w:rPr>
          <w:lang w:val="en-GB"/>
        </w:rPr>
        <w:t>The Japanese approach for TVWSD in the band 470-710 MHz (715-725 MHz -&gt; ITS, 730-770 MHz Mobile) foresees individual licensing for the following four application categories: wireless microphones, ad-hoc PPDR, sensor networks, and WAS/RLAN.</w:t>
      </w:r>
    </w:p>
    <w:p w:rsidR="00916B79" w:rsidRDefault="00421CAC" w:rsidP="00A82B1F">
      <w:pPr>
        <w:rPr>
          <w:lang w:val="en-GB"/>
        </w:rPr>
      </w:pPr>
      <w:r>
        <w:rPr>
          <w:lang w:val="en-GB"/>
        </w:rPr>
        <w:t>T</w:t>
      </w:r>
      <w:r w:rsidR="00916B79" w:rsidRPr="00916B79">
        <w:rPr>
          <w:lang w:val="en-GB"/>
        </w:rPr>
        <w:t xml:space="preserve">he WSDB </w:t>
      </w:r>
      <w:r w:rsidR="00916B79">
        <w:rPr>
          <w:lang w:val="en-GB"/>
        </w:rPr>
        <w:t xml:space="preserve">is </w:t>
      </w:r>
      <w:r w:rsidR="00916B79" w:rsidRPr="00916B79">
        <w:rPr>
          <w:lang w:val="en-GB"/>
        </w:rPr>
        <w:t xml:space="preserve">provided </w:t>
      </w:r>
      <w:r w:rsidR="00916B79">
        <w:rPr>
          <w:lang w:val="en-GB"/>
        </w:rPr>
        <w:t xml:space="preserve">in Japan </w:t>
      </w:r>
      <w:r w:rsidR="00916B79" w:rsidRPr="00916B79">
        <w:rPr>
          <w:lang w:val="en-GB"/>
        </w:rPr>
        <w:t xml:space="preserve">by ISB Corporation </w:t>
      </w:r>
      <w:r w:rsidR="00916B79">
        <w:rPr>
          <w:lang w:val="en-GB"/>
        </w:rPr>
        <w:t xml:space="preserve">and aims at </w:t>
      </w:r>
      <w:r w:rsidR="00916B79" w:rsidRPr="00916B79">
        <w:rPr>
          <w:lang w:val="en-GB"/>
        </w:rPr>
        <w:t>avoid</w:t>
      </w:r>
      <w:r w:rsidR="00916B79">
        <w:rPr>
          <w:lang w:val="en-GB"/>
        </w:rPr>
        <w:t xml:space="preserve">ing </w:t>
      </w:r>
      <w:r w:rsidR="00916B79" w:rsidRPr="00916B79">
        <w:rPr>
          <w:lang w:val="en-GB"/>
        </w:rPr>
        <w:t>interference to incumbents of TV broadcasters from automatically selecting the non-interfering TV band</w:t>
      </w:r>
      <w:r w:rsidR="00916B79">
        <w:rPr>
          <w:lang w:val="en-GB"/>
        </w:rPr>
        <w:t xml:space="preserve">. </w:t>
      </w:r>
    </w:p>
    <w:p w:rsidR="00916B79" w:rsidRDefault="00916B79" w:rsidP="00A82B1F">
      <w:pPr>
        <w:rPr>
          <w:lang w:val="en-GB"/>
        </w:rPr>
      </w:pPr>
      <w:r>
        <w:rPr>
          <w:lang w:val="en-GB"/>
        </w:rPr>
        <w:t>The g</w:t>
      </w:r>
      <w:r w:rsidRPr="00916B79">
        <w:rPr>
          <w:lang w:val="en-GB"/>
        </w:rPr>
        <w:t>overnment agency National Institute of Information and Communications Technology (NICT)</w:t>
      </w:r>
      <w:r>
        <w:rPr>
          <w:lang w:val="en-GB"/>
        </w:rPr>
        <w:t xml:space="preserve"> cooperates in bringing up some new applications such as for emergency services. The regulation is supervised by the MIT Council for White space Promotion for future adaptions. </w:t>
      </w:r>
    </w:p>
    <w:p w:rsidR="00916B79" w:rsidRDefault="00916B79" w:rsidP="00A82B1F">
      <w:pPr>
        <w:rPr>
          <w:lang w:val="en-GB"/>
        </w:rPr>
      </w:pPr>
      <w:r>
        <w:rPr>
          <w:lang w:val="en-GB"/>
        </w:rPr>
        <w:t xml:space="preserve">Recently, in 2013, spectrum co-existence studies amongst the secondary usages mentioned above (so-to-say intra-white-space devices) have been started and are seen as necessary in Japan to satisfy the demand for sufficient </w:t>
      </w:r>
      <w:proofErr w:type="spellStart"/>
      <w:r>
        <w:rPr>
          <w:lang w:val="en-GB"/>
        </w:rPr>
        <w:t>QoS</w:t>
      </w:r>
      <w:proofErr w:type="spellEnd"/>
      <w:r>
        <w:rPr>
          <w:lang w:val="en-GB"/>
        </w:rPr>
        <w:t xml:space="preserve"> of such applications. Note: the existing ECC Reports 159, 185 and 186 do not include intra-TVWSD studies.</w:t>
      </w:r>
    </w:p>
    <w:p w:rsidR="00916B79" w:rsidRDefault="00916B79" w:rsidP="00A82B1F">
      <w:pPr>
        <w:rPr>
          <w:lang w:val="en-GB"/>
        </w:rPr>
      </w:pPr>
      <w:r>
        <w:rPr>
          <w:lang w:val="en-GB"/>
        </w:rPr>
        <w:t>To apply for an individual licen</w:t>
      </w:r>
      <w:r w:rsidR="00421CAC">
        <w:rPr>
          <w:lang w:val="en-GB"/>
        </w:rPr>
        <w:t>c</w:t>
      </w:r>
      <w:r>
        <w:rPr>
          <w:lang w:val="en-GB"/>
        </w:rPr>
        <w:t xml:space="preserve">e in Japan for a TVWS usage required initially a lead time of typically three days but after setting up of the processes, this time could already be shortened to approx. </w:t>
      </w:r>
      <w:r w:rsidRPr="00916B79">
        <w:rPr>
          <w:i/>
          <w:lang w:val="en-GB"/>
        </w:rPr>
        <w:t>one</w:t>
      </w:r>
      <w:r>
        <w:rPr>
          <w:lang w:val="en-GB"/>
        </w:rPr>
        <w:t xml:space="preserve"> day and the approach can become more and more dynamic in the future with much shorter lead times.</w:t>
      </w:r>
    </w:p>
    <w:p w:rsidR="00916B79" w:rsidRDefault="00916B79" w:rsidP="00A82B1F">
      <w:pPr>
        <w:rPr>
          <w:lang w:val="en-GB"/>
        </w:rPr>
      </w:pPr>
      <w:r>
        <w:rPr>
          <w:lang w:val="en-GB"/>
        </w:rPr>
        <w:t>Japan may also provide their work to the APT in the future and may be considered as a major contributor on this subject in APT.</w:t>
      </w:r>
      <w:r w:rsidR="006F70A7">
        <w:rPr>
          <w:lang w:val="en-GB"/>
        </w:rPr>
        <w:t xml:space="preserve"> (for WGSE, FM53 to note)</w:t>
      </w:r>
    </w:p>
    <w:p w:rsidR="006F70A7" w:rsidRDefault="006F70A7" w:rsidP="00A82B1F">
      <w:pPr>
        <w:rPr>
          <w:lang w:val="en-GB"/>
        </w:rPr>
      </w:pPr>
      <w:r>
        <w:rPr>
          <w:lang w:val="en-GB"/>
        </w:rPr>
        <w:t>An extensive presentation from the NICT is provided below:</w:t>
      </w:r>
    </w:p>
    <w:p w:rsidR="006F70A7" w:rsidRDefault="006F70A7" w:rsidP="00A82B1F">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Exch.Document.7" ShapeID="_x0000_i1025" DrawAspect="Icon" ObjectID="_1444632949" r:id="rId25"/>
        </w:object>
      </w:r>
    </w:p>
    <w:p w:rsidR="0077184D" w:rsidRDefault="0077184D" w:rsidP="00A82B1F">
      <w:pPr>
        <w:rPr>
          <w:lang w:val="en-GB"/>
        </w:rPr>
      </w:pPr>
    </w:p>
    <w:p w:rsidR="00A82B1F" w:rsidRPr="00DB5A0C" w:rsidRDefault="00DB5A0C" w:rsidP="005F1F09">
      <w:pPr>
        <w:numPr>
          <w:ilvl w:val="0"/>
          <w:numId w:val="33"/>
        </w:numPr>
        <w:rPr>
          <w:lang w:val="en-GB"/>
        </w:rPr>
      </w:pPr>
      <w:r w:rsidRPr="00DB5A0C">
        <w:rPr>
          <w:b/>
          <w:sz w:val="28"/>
          <w:szCs w:val="28"/>
          <w:lang w:val="en-GB"/>
        </w:rPr>
        <w:t xml:space="preserve">FCC </w:t>
      </w:r>
      <w:r w:rsidR="006F70A7">
        <w:rPr>
          <w:b/>
          <w:sz w:val="28"/>
          <w:szCs w:val="28"/>
          <w:lang w:val="en-GB"/>
        </w:rPr>
        <w:t>has changed the 57-64 GHz Part 15 regulation</w:t>
      </w:r>
    </w:p>
    <w:p w:rsidR="00DB5A0C" w:rsidRDefault="00DB5A0C" w:rsidP="00A82B1F">
      <w:pPr>
        <w:rPr>
          <w:lang w:val="en-GB"/>
        </w:rPr>
      </w:pPr>
      <w:r>
        <w:rPr>
          <w:lang w:val="en-GB"/>
        </w:rPr>
        <w:t xml:space="preserve">The FCC has released on </w:t>
      </w:r>
      <w:r w:rsidR="006F70A7">
        <w:rPr>
          <w:lang w:val="en-GB"/>
        </w:rPr>
        <w:t xml:space="preserve">9 August </w:t>
      </w:r>
      <w:r>
        <w:rPr>
          <w:lang w:val="en-GB"/>
        </w:rPr>
        <w:t xml:space="preserve">2013 a </w:t>
      </w:r>
      <w:r w:rsidR="006F70A7">
        <w:rPr>
          <w:lang w:val="en-GB"/>
        </w:rPr>
        <w:t>Report and Order modifying the 57-64 GHz regulation for unlicensed devices</w:t>
      </w:r>
      <w:r>
        <w:rPr>
          <w:lang w:val="en-GB"/>
        </w:rPr>
        <w:t>.</w:t>
      </w:r>
      <w:r w:rsidR="008127E6">
        <w:rPr>
          <w:lang w:val="en-GB"/>
        </w:rPr>
        <w:t xml:space="preserve"> </w:t>
      </w:r>
      <w:r w:rsidR="006F70A7">
        <w:rPr>
          <w:lang w:val="en-GB"/>
        </w:rPr>
        <w:t xml:space="preserve">This is similar to European SRD regulation in these frequencies - </w:t>
      </w:r>
      <w:r w:rsidR="008127E6">
        <w:rPr>
          <w:lang w:val="en-GB"/>
        </w:rPr>
        <w:t xml:space="preserve">relevant information for </w:t>
      </w:r>
      <w:r w:rsidR="006F70A7">
        <w:rPr>
          <w:lang w:val="en-GB"/>
        </w:rPr>
        <w:t>SRD/MG.</w:t>
      </w:r>
    </w:p>
    <w:p w:rsidR="006F70A7" w:rsidRPr="006F70A7" w:rsidRDefault="006F70A7" w:rsidP="00A82B1F">
      <w:pPr>
        <w:rPr>
          <w:lang w:val="en-GB"/>
        </w:rPr>
      </w:pPr>
      <w:r w:rsidRPr="006F70A7">
        <w:rPr>
          <w:lang w:val="en-GB"/>
        </w:rPr>
        <w:t>The Report and Order recognises also that the 60 GHz band can be used indoors to form wide bandwidth channels for a new Wi-Fi standard called 802.11ad, i.e. can be used for off-loading the internet.</w:t>
      </w:r>
    </w:p>
    <w:p w:rsidR="006F70A7" w:rsidRDefault="006F70A7" w:rsidP="00A82B1F">
      <w:pPr>
        <w:rPr>
          <w:lang w:val="en-GB"/>
        </w:rPr>
      </w:pPr>
    </w:p>
    <w:p w:rsidR="00DA6F00" w:rsidRDefault="006F70A7" w:rsidP="00A82B1F">
      <w:pPr>
        <w:rPr>
          <w:lang w:val="en-GB"/>
        </w:rPr>
      </w:pPr>
      <w:r>
        <w:rPr>
          <w:lang w:val="en-GB"/>
        </w:rPr>
        <w:object w:dxaOrig="1531" w:dyaOrig="990">
          <v:shape id="_x0000_i1026" type="#_x0000_t75" style="width:76.5pt;height:49.5pt" o:ole="">
            <v:imagedata r:id="rId26" o:title=""/>
          </v:shape>
          <o:OLEObject Type="Embed" ProgID="AcroExch.Document.7" ShapeID="_x0000_i1026" DrawAspect="Icon" ObjectID="_1444632950" r:id="rId27"/>
        </w:object>
      </w:r>
    </w:p>
    <w:p w:rsidR="004E45DF" w:rsidRPr="004E45DF" w:rsidRDefault="004E45DF" w:rsidP="005F1F09">
      <w:pPr>
        <w:numPr>
          <w:ilvl w:val="0"/>
          <w:numId w:val="33"/>
        </w:numPr>
        <w:rPr>
          <w:lang w:val="en-GB"/>
        </w:rPr>
      </w:pPr>
      <w:r w:rsidRPr="004E45DF">
        <w:rPr>
          <w:b/>
          <w:sz w:val="28"/>
          <w:szCs w:val="28"/>
          <w:lang w:val="en-GB"/>
        </w:rPr>
        <w:t>Industry Canada – RSS-222 for TV WSD Usage approved</w:t>
      </w:r>
    </w:p>
    <w:p w:rsidR="004E45DF" w:rsidRDefault="004E45DF" w:rsidP="004E45DF">
      <w:pPr>
        <w:ind w:left="207"/>
        <w:rPr>
          <w:lang w:val="en-GB"/>
        </w:rPr>
      </w:pPr>
      <w:r>
        <w:rPr>
          <w:lang w:val="en-GB"/>
        </w:rPr>
        <w:t xml:space="preserve">IC has published in May 2013 a first version of the </w:t>
      </w:r>
      <w:r w:rsidRPr="004E45DF">
        <w:rPr>
          <w:lang w:val="en-GB"/>
        </w:rPr>
        <w:t xml:space="preserve">Radio Standards Specification 222 (RSS-222), Issue 1, </w:t>
      </w:r>
      <w:proofErr w:type="gramStart"/>
      <w:r w:rsidRPr="004E45DF">
        <w:rPr>
          <w:lang w:val="en-GB"/>
        </w:rPr>
        <w:t>White</w:t>
      </w:r>
      <w:proofErr w:type="gramEnd"/>
      <w:r w:rsidRPr="004E45DF">
        <w:rPr>
          <w:lang w:val="en-GB"/>
        </w:rPr>
        <w:t xml:space="preserve"> Space Devices (WSD) set</w:t>
      </w:r>
      <w:r>
        <w:rPr>
          <w:lang w:val="en-GB"/>
        </w:rPr>
        <w:t xml:space="preserve">ting </w:t>
      </w:r>
      <w:r w:rsidRPr="004E45DF">
        <w:rPr>
          <w:lang w:val="en-GB"/>
        </w:rPr>
        <w:t>out the requirements for the technical compliance of licen</w:t>
      </w:r>
      <w:r w:rsidR="00A027EE">
        <w:rPr>
          <w:lang w:val="en-GB"/>
        </w:rPr>
        <w:t>c</w:t>
      </w:r>
      <w:r w:rsidRPr="004E45DF">
        <w:rPr>
          <w:lang w:val="en-GB"/>
        </w:rPr>
        <w:t>e-exempt, category I radio apparatus operating in the frequency bands 54-60MHz, 76-88MHz, 174-216MHz, 470-608MHz and 614-698MHz, known as White Space Devices (WSDs). This document shall be used in conjunction with other Radio Standards Specifications (RSS) for compliance with Industry Canada requirements.</w:t>
      </w:r>
      <w:r>
        <w:rPr>
          <w:lang w:val="en-GB"/>
        </w:rPr>
        <w:t xml:space="preserve"> The final version of RSS-222 (taking into account comments received during a 120 days commenting period) is expected to become available soon. (RS-222 should be considered by FM53)</w:t>
      </w:r>
    </w:p>
    <w:p w:rsidR="004E45DF" w:rsidRDefault="004E45DF" w:rsidP="004E45DF">
      <w:pPr>
        <w:ind w:left="207"/>
        <w:rPr>
          <w:lang w:val="en"/>
        </w:rPr>
      </w:pPr>
      <w:r>
        <w:rPr>
          <w:lang w:val="en-GB"/>
        </w:rPr>
        <w:lastRenderedPageBreak/>
        <w:t xml:space="preserve">Recent Canadian Spectrum initiatives can be found in general under </w:t>
      </w:r>
      <w:hyperlink r:id="rId28" w:history="1">
        <w:r w:rsidRPr="00567DD6">
          <w:rPr>
            <w:rStyle w:val="Hyperlink"/>
            <w:lang w:val="en-GB"/>
          </w:rPr>
          <w:t>www.ic.gc.ca/spectrum</w:t>
        </w:r>
      </w:hyperlink>
      <w:r>
        <w:rPr>
          <w:lang w:val="en-GB"/>
        </w:rPr>
        <w:t xml:space="preserve"> and include in particular also the 700 MHz </w:t>
      </w:r>
      <w:hyperlink r:id="rId29" w:history="1">
        <w:r w:rsidRPr="004E45DF">
          <w:rPr>
            <w:color w:val="0000FF"/>
            <w:u w:val="single"/>
            <w:lang w:val="en"/>
          </w:rPr>
          <w:t>Licensing Framework for Mobile Broadband Services (MBS) — 700 MHz Band</w:t>
        </w:r>
      </w:hyperlink>
      <w:r w:rsidRPr="004E45DF">
        <w:rPr>
          <w:lang w:val="en"/>
        </w:rPr>
        <w:t xml:space="preserve"> </w:t>
      </w:r>
      <w:r>
        <w:rPr>
          <w:lang w:val="en"/>
        </w:rPr>
        <w:t xml:space="preserve">and </w:t>
      </w:r>
      <w:hyperlink r:id="rId30" w:history="1">
        <w:r w:rsidRPr="004E45DF">
          <w:rPr>
            <w:color w:val="0000FF"/>
            <w:u w:val="single"/>
            <w:lang w:val="en"/>
          </w:rPr>
          <w:t>Technical Requirements for Mobile Broadband Services (MBS) in the Bands 698-756 MHz and 777-787 MHz</w:t>
        </w:r>
      </w:hyperlink>
      <w:r>
        <w:rPr>
          <w:lang w:val="en"/>
        </w:rPr>
        <w:t>.</w:t>
      </w:r>
    </w:p>
    <w:p w:rsidR="008127E6" w:rsidRDefault="008127E6" w:rsidP="008127E6">
      <w:pPr>
        <w:rPr>
          <w:lang w:val="en-GB"/>
        </w:rPr>
      </w:pPr>
    </w:p>
    <w:p w:rsidR="00A82B1F" w:rsidRPr="00977355" w:rsidRDefault="0033013C" w:rsidP="005F1F09">
      <w:pPr>
        <w:numPr>
          <w:ilvl w:val="0"/>
          <w:numId w:val="33"/>
        </w:numPr>
        <w:rPr>
          <w:b/>
          <w:sz w:val="28"/>
          <w:szCs w:val="28"/>
          <w:lang w:val="en-GB"/>
        </w:rPr>
      </w:pPr>
      <w:r>
        <w:rPr>
          <w:b/>
          <w:sz w:val="28"/>
          <w:szCs w:val="28"/>
          <w:lang w:val="en-GB"/>
        </w:rPr>
        <w:t xml:space="preserve">FCC – Broadband </w:t>
      </w:r>
      <w:r w:rsidR="006827D0" w:rsidRPr="00977355">
        <w:rPr>
          <w:b/>
          <w:sz w:val="28"/>
          <w:szCs w:val="28"/>
          <w:lang w:val="en-GB"/>
        </w:rPr>
        <w:t>Direct-Air-to-Ground Communications</w:t>
      </w:r>
    </w:p>
    <w:p w:rsidR="0033013C" w:rsidRDefault="0033013C" w:rsidP="0033013C">
      <w:pPr>
        <w:ind w:left="360"/>
        <w:rPr>
          <w:szCs w:val="22"/>
          <w:lang w:val="en-US"/>
        </w:rPr>
      </w:pPr>
      <w:r>
        <w:rPr>
          <w:szCs w:val="22"/>
          <w:lang w:val="en-US"/>
        </w:rPr>
        <w:t xml:space="preserve">The </w:t>
      </w:r>
      <w:r w:rsidRPr="0033013C">
        <w:rPr>
          <w:szCs w:val="22"/>
          <w:lang w:val="en-US"/>
        </w:rPr>
        <w:t>N</w:t>
      </w:r>
      <w:r>
        <w:rPr>
          <w:szCs w:val="22"/>
          <w:lang w:val="en-US"/>
        </w:rPr>
        <w:t>ew Proposed Rulemaking comment period is over and information can be seen under:</w:t>
      </w:r>
    </w:p>
    <w:p w:rsidR="0033013C" w:rsidRPr="0033013C" w:rsidRDefault="0033013C" w:rsidP="0033013C">
      <w:pPr>
        <w:ind w:left="360"/>
        <w:rPr>
          <w:szCs w:val="22"/>
          <w:lang w:val="en-US"/>
        </w:rPr>
      </w:pPr>
      <w:r>
        <w:rPr>
          <w:szCs w:val="22"/>
          <w:lang w:val="en-US"/>
        </w:rPr>
        <w:t>NP</w:t>
      </w:r>
      <w:r w:rsidRPr="0033013C">
        <w:rPr>
          <w:szCs w:val="22"/>
          <w:lang w:val="en-US"/>
        </w:rPr>
        <w:t>RM</w:t>
      </w:r>
      <w:r>
        <w:rPr>
          <w:szCs w:val="22"/>
          <w:lang w:val="en-US"/>
        </w:rPr>
        <w:t xml:space="preserve">: </w:t>
      </w:r>
      <w:hyperlink r:id="rId31" w:history="1">
        <w:r>
          <w:rPr>
            <w:rStyle w:val="Hyperlink"/>
            <w:szCs w:val="22"/>
            <w:lang w:val="en-US"/>
          </w:rPr>
          <w:t>NPRM</w:t>
        </w:r>
      </w:hyperlink>
      <w:r>
        <w:rPr>
          <w:szCs w:val="22"/>
          <w:lang w:val="en-US"/>
        </w:rPr>
        <w:t xml:space="preserve">. </w:t>
      </w:r>
    </w:p>
    <w:p w:rsidR="0033013C" w:rsidRDefault="0033013C" w:rsidP="0033013C">
      <w:pPr>
        <w:ind w:left="360"/>
        <w:rPr>
          <w:szCs w:val="22"/>
          <w:lang w:val="en-US"/>
        </w:rPr>
      </w:pPr>
      <w:r w:rsidRPr="0033013C">
        <w:rPr>
          <w:szCs w:val="22"/>
          <w:lang w:val="en-US"/>
        </w:rPr>
        <w:t>Comments received</w:t>
      </w:r>
      <w:r>
        <w:rPr>
          <w:szCs w:val="22"/>
          <w:lang w:val="en-US"/>
        </w:rPr>
        <w:t xml:space="preserve">: </w:t>
      </w:r>
      <w:hyperlink r:id="rId32" w:history="1">
        <w:r>
          <w:rPr>
            <w:rStyle w:val="Hyperlink"/>
            <w:szCs w:val="22"/>
            <w:lang w:val="en-US"/>
          </w:rPr>
          <w:t>Comments</w:t>
        </w:r>
      </w:hyperlink>
    </w:p>
    <w:p w:rsidR="0033013C" w:rsidRDefault="0033013C" w:rsidP="0033013C">
      <w:pPr>
        <w:ind w:left="360"/>
        <w:rPr>
          <w:szCs w:val="22"/>
          <w:lang w:val="en-US"/>
        </w:rPr>
      </w:pPr>
      <w:r w:rsidRPr="0033013C">
        <w:rPr>
          <w:szCs w:val="22"/>
          <w:lang w:val="en-US"/>
        </w:rPr>
        <w:t>The proceeding seeks</w:t>
      </w:r>
      <w:r>
        <w:rPr>
          <w:szCs w:val="22"/>
          <w:lang w:val="en-US"/>
        </w:rPr>
        <w:t xml:space="preserve"> ways to apportion the spectrum and the FCC </w:t>
      </w:r>
      <w:r w:rsidR="000F46B6">
        <w:rPr>
          <w:szCs w:val="22"/>
          <w:lang w:val="en-US"/>
        </w:rPr>
        <w:t xml:space="preserve">is considering two options.  The first is </w:t>
      </w:r>
      <w:r>
        <w:rPr>
          <w:szCs w:val="22"/>
          <w:lang w:val="en-US"/>
        </w:rPr>
        <w:t>a single BB-DA2GCS provider in the future</w:t>
      </w:r>
      <w:r w:rsidR="000F46B6">
        <w:rPr>
          <w:szCs w:val="22"/>
          <w:lang w:val="en-US"/>
        </w:rPr>
        <w:t>, and the second is to</w:t>
      </w:r>
      <w:r>
        <w:rPr>
          <w:szCs w:val="22"/>
          <w:lang w:val="en-US"/>
        </w:rPr>
        <w:t xml:space="preserve"> </w:t>
      </w:r>
      <w:proofErr w:type="spellStart"/>
      <w:r>
        <w:rPr>
          <w:szCs w:val="22"/>
          <w:lang w:val="en-US"/>
        </w:rPr>
        <w:t>auctionspectrum</w:t>
      </w:r>
      <w:proofErr w:type="spellEnd"/>
      <w:r>
        <w:rPr>
          <w:szCs w:val="22"/>
          <w:lang w:val="en-US"/>
        </w:rPr>
        <w:t xml:space="preserve"> (2 x 250 MHz) </w:t>
      </w:r>
      <w:r w:rsidRPr="0033013C">
        <w:rPr>
          <w:szCs w:val="22"/>
          <w:lang w:val="en-US"/>
        </w:rPr>
        <w:t>to enable two separate air-ground mobile broadband systems.</w:t>
      </w:r>
      <w:r>
        <w:rPr>
          <w:szCs w:val="22"/>
          <w:lang w:val="en-US"/>
        </w:rPr>
        <w:t xml:space="preserve"> This may happen at the end of the current licensing period, i.e. the Aircells operator, in 2016). </w:t>
      </w:r>
    </w:p>
    <w:p w:rsidR="0033013C" w:rsidRDefault="0033013C" w:rsidP="0033013C">
      <w:pPr>
        <w:ind w:left="360"/>
        <w:rPr>
          <w:szCs w:val="22"/>
          <w:lang w:val="en-US"/>
        </w:rPr>
      </w:pPr>
      <w:r w:rsidRPr="0033013C">
        <w:rPr>
          <w:szCs w:val="22"/>
          <w:lang w:val="en-US"/>
        </w:rPr>
        <w:t xml:space="preserve">Comments </w:t>
      </w:r>
      <w:r>
        <w:rPr>
          <w:szCs w:val="22"/>
          <w:lang w:val="en-US"/>
        </w:rPr>
        <w:t xml:space="preserve">received emphasise the importance </w:t>
      </w:r>
      <w:r w:rsidRPr="0033013C">
        <w:rPr>
          <w:szCs w:val="22"/>
          <w:lang w:val="en-US"/>
        </w:rPr>
        <w:t xml:space="preserve">that the new service must protect the primary FSS in the band and must not constrain existing or future </w:t>
      </w:r>
      <w:r>
        <w:rPr>
          <w:szCs w:val="22"/>
          <w:lang w:val="en-US"/>
        </w:rPr>
        <w:t xml:space="preserve">FSS </w:t>
      </w:r>
      <w:r w:rsidRPr="0033013C">
        <w:rPr>
          <w:szCs w:val="22"/>
          <w:lang w:val="en-US"/>
        </w:rPr>
        <w:t>uses of the band</w:t>
      </w:r>
      <w:r>
        <w:rPr>
          <w:szCs w:val="22"/>
          <w:lang w:val="en-US"/>
        </w:rPr>
        <w:t xml:space="preserve"> 14-14.5 GHz (i.e. emissions towards the geostationary arc have to be avoided</w:t>
      </w:r>
      <w:r w:rsidR="000C0A61">
        <w:rPr>
          <w:szCs w:val="22"/>
          <w:lang w:val="en-US"/>
        </w:rPr>
        <w:t>; this requires antennas/beamforming developments which may take some time before implementation</w:t>
      </w:r>
      <w:r>
        <w:rPr>
          <w:szCs w:val="22"/>
          <w:lang w:val="en-US"/>
        </w:rPr>
        <w:t>).</w:t>
      </w:r>
    </w:p>
    <w:p w:rsidR="00977355" w:rsidRDefault="004A0432" w:rsidP="00A82B1F">
      <w:pPr>
        <w:rPr>
          <w:lang w:val="en-GB"/>
        </w:rPr>
      </w:pPr>
      <w:r>
        <w:rPr>
          <w:lang w:val="en-GB"/>
        </w:rPr>
        <w:t xml:space="preserve">(relevant </w:t>
      </w:r>
      <w:r w:rsidR="0033013C">
        <w:rPr>
          <w:lang w:val="en-GB"/>
        </w:rPr>
        <w:t xml:space="preserve">for </w:t>
      </w:r>
      <w:r>
        <w:rPr>
          <w:lang w:val="en-GB"/>
        </w:rPr>
        <w:t>FM48)</w:t>
      </w:r>
    </w:p>
    <w:p w:rsidR="0033013C" w:rsidRDefault="0033013C" w:rsidP="00A82B1F">
      <w:pPr>
        <w:rPr>
          <w:lang w:val="en-GB"/>
        </w:rPr>
      </w:pPr>
    </w:p>
    <w:p w:rsidR="00A10967" w:rsidRPr="00A10967" w:rsidRDefault="0033013C" w:rsidP="005F1F09">
      <w:pPr>
        <w:numPr>
          <w:ilvl w:val="0"/>
          <w:numId w:val="33"/>
        </w:numPr>
        <w:rPr>
          <w:b/>
          <w:sz w:val="28"/>
          <w:szCs w:val="28"/>
          <w:lang w:val="en-GB"/>
        </w:rPr>
      </w:pPr>
      <w:r>
        <w:rPr>
          <w:b/>
          <w:sz w:val="28"/>
          <w:szCs w:val="28"/>
          <w:lang w:val="en-GB"/>
        </w:rPr>
        <w:t>USA: Spectrum Sharing Initiatives</w:t>
      </w:r>
    </w:p>
    <w:p w:rsidR="00A10967" w:rsidRDefault="00A10967" w:rsidP="00A82B1F">
      <w:pPr>
        <w:rPr>
          <w:lang w:val="en-GB"/>
        </w:rPr>
      </w:pPr>
    </w:p>
    <w:p w:rsidR="0033013C" w:rsidRDefault="0033013C" w:rsidP="00A82B1F">
      <w:pPr>
        <w:rPr>
          <w:lang w:val="en-GB"/>
        </w:rPr>
      </w:pPr>
      <w:r>
        <w:rPr>
          <w:lang w:val="en-GB"/>
        </w:rPr>
        <w:t>The recent presentation below (22 October 2013) provides some valuable information on some US spectrum sharing initiatives:</w:t>
      </w:r>
    </w:p>
    <w:p w:rsidR="0033013C" w:rsidRDefault="0033013C" w:rsidP="00A82B1F">
      <w:pPr>
        <w:rPr>
          <w:lang w:val="en-GB"/>
        </w:rPr>
      </w:pPr>
      <w:r>
        <w:rPr>
          <w:lang w:val="en-GB"/>
        </w:rPr>
        <w:object w:dxaOrig="1531" w:dyaOrig="990">
          <v:shape id="_x0000_i1027" type="#_x0000_t75" style="width:76.5pt;height:49.5pt" o:ole="">
            <v:imagedata r:id="rId33" o:title=""/>
          </v:shape>
          <o:OLEObject Type="Embed" ProgID="AcroExch.Document.7" ShapeID="_x0000_i1027" DrawAspect="Icon" ObjectID="_1444632951" r:id="rId34"/>
        </w:object>
      </w:r>
    </w:p>
    <w:p w:rsidR="0033013C" w:rsidRDefault="0033013C" w:rsidP="00A82B1F">
      <w:pPr>
        <w:rPr>
          <w:lang w:val="en-GB"/>
        </w:rPr>
      </w:pPr>
      <w:r>
        <w:rPr>
          <w:lang w:val="en-GB"/>
        </w:rPr>
        <w:t xml:space="preserve">There is linkage to TVWSD use in the USA which is </w:t>
      </w:r>
      <w:r w:rsidR="000F46B6">
        <w:rPr>
          <w:lang w:val="en-GB"/>
        </w:rPr>
        <w:t xml:space="preserve">coming to a </w:t>
      </w:r>
      <w:proofErr w:type="spellStart"/>
      <w:r w:rsidR="000F46B6">
        <w:rPr>
          <w:lang w:val="en-GB"/>
        </w:rPr>
        <w:t>standstill</w:t>
      </w:r>
      <w:proofErr w:type="gramStart"/>
      <w:r w:rsidR="000F46B6">
        <w:rPr>
          <w:lang w:val="en-GB"/>
        </w:rPr>
        <w:t>,</w:t>
      </w:r>
      <w:r>
        <w:rPr>
          <w:lang w:val="en-GB"/>
        </w:rPr>
        <w:t>due</w:t>
      </w:r>
      <w:proofErr w:type="spellEnd"/>
      <w:proofErr w:type="gramEnd"/>
      <w:r>
        <w:rPr>
          <w:lang w:val="en-GB"/>
        </w:rPr>
        <w:t xml:space="preserve"> to the 700 MHz incentive auction in 2014 </w:t>
      </w:r>
      <w:r w:rsidR="000F46B6">
        <w:rPr>
          <w:lang w:val="en-GB"/>
        </w:rPr>
        <w:t xml:space="preserve">reducing confidence in the viability of </w:t>
      </w:r>
      <w:proofErr w:type="spellStart"/>
      <w:r w:rsidR="000F46B6">
        <w:rPr>
          <w:lang w:val="en-GB"/>
        </w:rPr>
        <w:t>WSD</w:t>
      </w:r>
      <w:r w:rsidR="0091665C">
        <w:rPr>
          <w:lang w:val="en-GB"/>
        </w:rPr>
        <w:t>i.e</w:t>
      </w:r>
      <w:proofErr w:type="spellEnd"/>
      <w:r w:rsidR="0091665C">
        <w:rPr>
          <w:lang w:val="en-GB"/>
        </w:rPr>
        <w:t>. the investments in this field are considerably low.</w:t>
      </w:r>
    </w:p>
    <w:p w:rsidR="0033013C" w:rsidRDefault="0091665C" w:rsidP="00A82B1F">
      <w:pPr>
        <w:rPr>
          <w:lang w:val="en-GB"/>
        </w:rPr>
      </w:pPr>
      <w:r>
        <w:rPr>
          <w:lang w:val="en-GB"/>
        </w:rPr>
        <w:t xml:space="preserve">Only </w:t>
      </w:r>
      <w:r w:rsidR="0033013C">
        <w:rPr>
          <w:lang w:val="en-GB"/>
        </w:rPr>
        <w:t xml:space="preserve">2 geo-location database providers </w:t>
      </w:r>
      <w:r>
        <w:rPr>
          <w:lang w:val="en-GB"/>
        </w:rPr>
        <w:t xml:space="preserve">are </w:t>
      </w:r>
      <w:r w:rsidR="0033013C">
        <w:rPr>
          <w:lang w:val="en-GB"/>
        </w:rPr>
        <w:t>certified at the time of writing (out-of 10 applicants):</w:t>
      </w:r>
    </w:p>
    <w:p w:rsidR="0033013C" w:rsidRDefault="00FB2D96" w:rsidP="00A82B1F">
      <w:pPr>
        <w:rPr>
          <w:lang w:val="en-GB"/>
        </w:rPr>
      </w:pPr>
      <w:hyperlink r:id="rId35" w:history="1">
        <w:r w:rsidR="0091665C" w:rsidRPr="00567DD6">
          <w:rPr>
            <w:rStyle w:val="Hyperlink"/>
            <w:lang w:val="en-GB"/>
          </w:rPr>
          <w:t>http://www.fcc.gov/encyclopedia/white-space-database-administration</w:t>
        </w:r>
      </w:hyperlink>
      <w:r w:rsidR="0091665C">
        <w:rPr>
          <w:lang w:val="en-GB"/>
        </w:rPr>
        <w:t xml:space="preserve"> </w:t>
      </w:r>
    </w:p>
    <w:p w:rsidR="00691107" w:rsidRDefault="0091665C" w:rsidP="00971713">
      <w:pPr>
        <w:rPr>
          <w:lang w:val="en-GB"/>
        </w:rPr>
      </w:pPr>
      <w:r>
        <w:rPr>
          <w:lang w:val="en-GB"/>
        </w:rPr>
        <w:t xml:space="preserve">On 23 </w:t>
      </w:r>
      <w:r w:rsidR="00971713">
        <w:rPr>
          <w:lang w:val="en-GB"/>
        </w:rPr>
        <w:t xml:space="preserve">July </w:t>
      </w:r>
      <w:r w:rsidRPr="0091665C">
        <w:rPr>
          <w:lang w:val="en-GB"/>
        </w:rPr>
        <w:t>2013, the FCC proposed rules for spectrum that would make available significantly more commercial spectrum for Advanc</w:t>
      </w:r>
      <w:r>
        <w:rPr>
          <w:lang w:val="en-GB"/>
        </w:rPr>
        <w:t>ed Wireless Services (“AWS</w:t>
      </w:r>
      <w:r w:rsidR="00691107">
        <w:rPr>
          <w:lang w:val="en-GB"/>
        </w:rPr>
        <w:t>”) for o</w:t>
      </w:r>
      <w:r w:rsidR="00971713" w:rsidRPr="00971713">
        <w:rPr>
          <w:lang w:val="en-GB"/>
        </w:rPr>
        <w:t xml:space="preserve">perations in the 1695-1710 MHz, 1755-1780 MHz, </w:t>
      </w:r>
      <w:r w:rsidR="00691107" w:rsidRPr="00691107">
        <w:rPr>
          <w:lang w:val="en-GB"/>
        </w:rPr>
        <w:t>1915-1920 MHz</w:t>
      </w:r>
      <w:r w:rsidR="00691107">
        <w:rPr>
          <w:lang w:val="en-GB"/>
        </w:rPr>
        <w:t xml:space="preserve">, </w:t>
      </w:r>
      <w:r w:rsidR="00691107" w:rsidRPr="00691107">
        <w:rPr>
          <w:lang w:val="en-GB"/>
        </w:rPr>
        <w:t xml:space="preserve">1995-2000 MHz, 2020-2025 MHz </w:t>
      </w:r>
      <w:r w:rsidR="00971713" w:rsidRPr="00971713">
        <w:rPr>
          <w:lang w:val="en-GB"/>
        </w:rPr>
        <w:t>and 2155-2180 MHz Bands</w:t>
      </w:r>
      <w:r w:rsidR="00691107">
        <w:rPr>
          <w:lang w:val="en-GB"/>
        </w:rPr>
        <w:t>. The embedded presentation shows some of the sharing issues in these bands.</w:t>
      </w:r>
    </w:p>
    <w:p w:rsidR="00691107" w:rsidRDefault="00691107" w:rsidP="00691107">
      <w:pPr>
        <w:rPr>
          <w:lang w:val="en-GB"/>
        </w:rPr>
      </w:pPr>
      <w:r>
        <w:rPr>
          <w:lang w:val="en-GB"/>
        </w:rPr>
        <w:t xml:space="preserve">The FCC </w:t>
      </w:r>
      <w:r w:rsidRPr="00691107">
        <w:rPr>
          <w:lang w:val="en-GB"/>
        </w:rPr>
        <w:t>propose</w:t>
      </w:r>
      <w:r>
        <w:rPr>
          <w:lang w:val="en-GB"/>
        </w:rPr>
        <w:t>s</w:t>
      </w:r>
      <w:r w:rsidRPr="00691107">
        <w:rPr>
          <w:lang w:val="en-GB"/>
        </w:rPr>
        <w:t xml:space="preserve"> to</w:t>
      </w:r>
      <w:r>
        <w:rPr>
          <w:lang w:val="en-GB"/>
        </w:rPr>
        <w:t xml:space="preserve">: </w:t>
      </w:r>
    </w:p>
    <w:p w:rsidR="00691107" w:rsidRPr="00691107" w:rsidRDefault="00691107" w:rsidP="00691107">
      <w:pPr>
        <w:pStyle w:val="ListParagraph"/>
        <w:numPr>
          <w:ilvl w:val="0"/>
          <w:numId w:val="30"/>
        </w:numPr>
        <w:rPr>
          <w:lang w:val="en-GB"/>
        </w:rPr>
      </w:pPr>
      <w:r w:rsidRPr="00691107">
        <w:rPr>
          <w:lang w:val="en-GB"/>
        </w:rPr>
        <w:t>license the 2155-2180 MHz band for DL – base station operations;</w:t>
      </w:r>
    </w:p>
    <w:p w:rsidR="00691107" w:rsidRPr="00691107" w:rsidRDefault="00691107" w:rsidP="00691107">
      <w:pPr>
        <w:pStyle w:val="ListParagraph"/>
        <w:numPr>
          <w:ilvl w:val="0"/>
          <w:numId w:val="30"/>
        </w:numPr>
        <w:rPr>
          <w:lang w:val="en-GB"/>
        </w:rPr>
      </w:pPr>
      <w:r w:rsidRPr="00691107">
        <w:rPr>
          <w:lang w:val="en-GB"/>
        </w:rPr>
        <w:t xml:space="preserve">license the 2020-2025 MHz band for uplink – UE operations; </w:t>
      </w:r>
    </w:p>
    <w:p w:rsidR="00691107" w:rsidRPr="00691107" w:rsidRDefault="00691107" w:rsidP="00691107">
      <w:pPr>
        <w:pStyle w:val="ListParagraph"/>
        <w:numPr>
          <w:ilvl w:val="0"/>
          <w:numId w:val="30"/>
        </w:numPr>
        <w:rPr>
          <w:lang w:val="en-GB"/>
        </w:rPr>
      </w:pPr>
      <w:r w:rsidRPr="00691107">
        <w:rPr>
          <w:lang w:val="en-GB"/>
        </w:rPr>
        <w:t>license the 1755-1780 MHz band for uplink - UE operations on a shared basis with Federal incumbents, if clearing is not feasible.</w:t>
      </w:r>
    </w:p>
    <w:p w:rsidR="00691107" w:rsidRPr="00691107" w:rsidRDefault="00691107" w:rsidP="00691107">
      <w:pPr>
        <w:pStyle w:val="ListParagraph"/>
        <w:numPr>
          <w:ilvl w:val="0"/>
          <w:numId w:val="30"/>
        </w:numPr>
        <w:rPr>
          <w:lang w:val="en-GB"/>
        </w:rPr>
      </w:pPr>
      <w:r w:rsidRPr="00691107">
        <w:rPr>
          <w:lang w:val="en-GB"/>
        </w:rPr>
        <w:t>license the 1695-1710 MHz band for uplink – UE operations on a shared basis with Federal incumbents within specified Protection Zones recommended by NTIA.</w:t>
      </w:r>
    </w:p>
    <w:p w:rsidR="00691107" w:rsidRDefault="00691107" w:rsidP="00A82B1F">
      <w:pPr>
        <w:rPr>
          <w:lang w:val="en-GB"/>
        </w:rPr>
      </w:pPr>
    </w:p>
    <w:p w:rsidR="00691107" w:rsidRDefault="00691107" w:rsidP="00A82B1F">
      <w:pPr>
        <w:rPr>
          <w:lang w:val="en-GB"/>
        </w:rPr>
      </w:pPr>
      <w:r w:rsidRPr="00691107">
        <w:rPr>
          <w:lang w:val="en-GB"/>
        </w:rPr>
        <w:lastRenderedPageBreak/>
        <w:t>In June 2013 the FCC adopted service rules for 1915-1920 and 1995-2000 MHz in a separate proceeding</w:t>
      </w:r>
      <w:r>
        <w:rPr>
          <w:lang w:val="en-GB"/>
        </w:rPr>
        <w:t xml:space="preserve"> ( the “H-Block”): </w:t>
      </w:r>
      <w:hyperlink r:id="rId36" w:history="1">
        <w:r w:rsidRPr="00567DD6">
          <w:rPr>
            <w:rStyle w:val="Hyperlink"/>
            <w:lang w:val="en-GB"/>
          </w:rPr>
          <w:t>http://www.fcc.gov/document/h-block-report-and-order</w:t>
        </w:r>
      </w:hyperlink>
      <w:r>
        <w:rPr>
          <w:lang w:val="en-GB"/>
        </w:rPr>
        <w:t xml:space="preserve"> </w:t>
      </w:r>
    </w:p>
    <w:p w:rsidR="00691107" w:rsidRDefault="00691107" w:rsidP="00A82B1F">
      <w:pPr>
        <w:rPr>
          <w:lang w:val="en-GB"/>
        </w:rPr>
      </w:pPr>
    </w:p>
    <w:p w:rsidR="00F43738" w:rsidRDefault="00F43738" w:rsidP="00A82B1F">
      <w:pPr>
        <w:rPr>
          <w:lang w:val="en-GB"/>
        </w:rPr>
      </w:pPr>
      <w:r>
        <w:rPr>
          <w:lang w:val="en-GB"/>
        </w:rPr>
        <w:t>The examples in the presentation clearly show that the situation regarding the use of sensing technology is very much frequency band specific in terms of cost</w:t>
      </w:r>
      <w:r w:rsidRPr="00F43738">
        <w:rPr>
          <w:lang w:val="en-GB"/>
        </w:rPr>
        <w:t>s</w:t>
      </w:r>
      <w:r>
        <w:rPr>
          <w:lang w:val="en-GB"/>
        </w:rPr>
        <w:t xml:space="preserve">, </w:t>
      </w:r>
      <w:r w:rsidRPr="00F43738">
        <w:rPr>
          <w:lang w:val="en-GB"/>
        </w:rPr>
        <w:t>trade</w:t>
      </w:r>
      <w:r>
        <w:rPr>
          <w:lang w:val="en-GB"/>
        </w:rPr>
        <w:t>-</w:t>
      </w:r>
      <w:r w:rsidRPr="00F43738">
        <w:rPr>
          <w:lang w:val="en-GB"/>
        </w:rPr>
        <w:t>offs</w:t>
      </w:r>
      <w:r>
        <w:rPr>
          <w:lang w:val="en-GB"/>
        </w:rPr>
        <w:t xml:space="preserve"> etc. This experience can be very valuable when dealing with the role of sensing for identifying spectrum occupancy / “holes” in the spectrum usage (relevant information for a number of groups, including FM22).</w:t>
      </w:r>
    </w:p>
    <w:p w:rsidR="00F43738" w:rsidRDefault="00F43738" w:rsidP="00A82B1F">
      <w:pPr>
        <w:rPr>
          <w:lang w:val="en-GB"/>
        </w:rPr>
      </w:pPr>
    </w:p>
    <w:p w:rsidR="00F43738" w:rsidRPr="00F43738" w:rsidRDefault="00F43738" w:rsidP="005F1F09">
      <w:pPr>
        <w:numPr>
          <w:ilvl w:val="0"/>
          <w:numId w:val="33"/>
        </w:numPr>
        <w:rPr>
          <w:b/>
          <w:sz w:val="28"/>
          <w:szCs w:val="28"/>
          <w:lang w:val="en-GB"/>
        </w:rPr>
      </w:pPr>
      <w:r w:rsidRPr="00F43738">
        <w:rPr>
          <w:b/>
          <w:sz w:val="28"/>
          <w:szCs w:val="28"/>
          <w:lang w:val="en-GB"/>
        </w:rPr>
        <w:t xml:space="preserve">FCC </w:t>
      </w:r>
      <w:r>
        <w:rPr>
          <w:b/>
          <w:sz w:val="28"/>
          <w:szCs w:val="28"/>
          <w:lang w:val="en-GB"/>
        </w:rPr>
        <w:t>streamlines licensing and operating rules for satellite services</w:t>
      </w:r>
    </w:p>
    <w:p w:rsidR="00F43738" w:rsidRDefault="00F43738" w:rsidP="00A82B1F">
      <w:pPr>
        <w:rPr>
          <w:lang w:val="en-GB"/>
        </w:rPr>
      </w:pPr>
    </w:p>
    <w:p w:rsidR="00F43738" w:rsidRDefault="00F43738" w:rsidP="00A82B1F">
      <w:pPr>
        <w:rPr>
          <w:lang w:val="en-GB"/>
        </w:rPr>
      </w:pPr>
      <w:r>
        <w:rPr>
          <w:lang w:val="en-GB"/>
        </w:rPr>
        <w:t>Published in August 2013, t</w:t>
      </w:r>
      <w:r w:rsidRPr="00F43738">
        <w:rPr>
          <w:lang w:val="en-GB"/>
        </w:rPr>
        <w:t>he Commission’s Report and Order eliminates unneeded technical and information filing requirements, updates rules to better accommodate evolving technology, simplifies existing requirements</w:t>
      </w:r>
      <w:r>
        <w:rPr>
          <w:lang w:val="en-GB"/>
        </w:rPr>
        <w:t>.</w:t>
      </w:r>
    </w:p>
    <w:bookmarkStart w:id="1" w:name="_MON_1444479184"/>
    <w:bookmarkEnd w:id="1"/>
    <w:p w:rsidR="00F43738" w:rsidRPr="00F43738" w:rsidRDefault="00F43738" w:rsidP="00A82B1F">
      <w:pPr>
        <w:rPr>
          <w:u w:val="single"/>
          <w:lang w:val="en-GB"/>
        </w:rPr>
      </w:pPr>
      <w:r>
        <w:rPr>
          <w:u w:val="single"/>
          <w:lang w:val="en-GB"/>
        </w:rPr>
        <w:object w:dxaOrig="1531" w:dyaOrig="990">
          <v:shape id="_x0000_i1028" type="#_x0000_t75" style="width:76.5pt;height:49.5pt" o:ole="">
            <v:imagedata r:id="rId37" o:title=""/>
          </v:shape>
          <o:OLEObject Type="Embed" ProgID="Word.Document.12" ShapeID="_x0000_i1028" DrawAspect="Icon" ObjectID="_1444632952" r:id="rId38">
            <o:FieldCodes>\s</o:FieldCodes>
          </o:OLEObject>
        </w:object>
      </w:r>
    </w:p>
    <w:p w:rsidR="00CD2962" w:rsidRDefault="00CD2962" w:rsidP="00A82B1F">
      <w:pPr>
        <w:rPr>
          <w:lang w:val="en-GB"/>
        </w:rPr>
      </w:pPr>
    </w:p>
    <w:p w:rsidR="00977355" w:rsidRDefault="00326A73" w:rsidP="005F1F09">
      <w:pPr>
        <w:numPr>
          <w:ilvl w:val="0"/>
          <w:numId w:val="33"/>
        </w:numPr>
        <w:rPr>
          <w:b/>
          <w:sz w:val="28"/>
          <w:szCs w:val="28"/>
          <w:lang w:val="en-GB"/>
        </w:rPr>
      </w:pPr>
      <w:r>
        <w:rPr>
          <w:b/>
          <w:sz w:val="28"/>
          <w:szCs w:val="28"/>
          <w:lang w:val="en-GB"/>
        </w:rPr>
        <w:t xml:space="preserve">ITS </w:t>
      </w:r>
    </w:p>
    <w:p w:rsidR="000F46B6" w:rsidRDefault="000C0A61" w:rsidP="000F46B6">
      <w:pPr>
        <w:rPr>
          <w:lang w:val="en-GB"/>
        </w:rPr>
      </w:pPr>
      <w:r>
        <w:rPr>
          <w:lang w:val="en-GB"/>
        </w:rPr>
        <w:t>In light of the review of the ECC/DEC</w:t>
      </w:r>
      <w:proofErr w:type="gramStart"/>
      <w:r>
        <w:rPr>
          <w:lang w:val="en-GB"/>
        </w:rPr>
        <w:t>/(</w:t>
      </w:r>
      <w:proofErr w:type="gramEnd"/>
      <w:r>
        <w:rPr>
          <w:lang w:val="en-GB"/>
        </w:rPr>
        <w:t>08)01 and ECC/DEC/(08)01 for 5 GHz ITS, there is some information about an upcoming important workshop</w:t>
      </w:r>
      <w:r w:rsidR="000F46B6">
        <w:rPr>
          <w:lang w:val="en-GB"/>
        </w:rPr>
        <w:t>.  Some text drafted by the conference organisers is reproduced below (in italics)</w:t>
      </w:r>
    </w:p>
    <w:p w:rsidR="000F46B6" w:rsidRDefault="000F46B6" w:rsidP="000F46B6">
      <w:pPr>
        <w:rPr>
          <w:lang w:val="en-GB"/>
        </w:rPr>
      </w:pPr>
      <w:r>
        <w:rPr>
          <w:lang w:val="en-GB"/>
        </w:rPr>
        <w:t>In this context it is also to note that the SRD/MG at the meeting in December 2013 will receive an ITS presentation and demonstration of ITS equipment.</w:t>
      </w:r>
    </w:p>
    <w:p w:rsidR="000F46B6" w:rsidRDefault="000F46B6" w:rsidP="000F46B6">
      <w:pPr>
        <w:rPr>
          <w:lang w:val="en-GB"/>
        </w:rPr>
      </w:pPr>
      <w:r>
        <w:rPr>
          <w:lang w:val="en-GB"/>
        </w:rPr>
        <w:t>T</w:t>
      </w:r>
      <w:r w:rsidRPr="000C0A61">
        <w:rPr>
          <w:lang w:val="en-GB"/>
        </w:rPr>
        <w:t>he CAR 2 CAR Communication Consortium (12 European car manufacturers) agreed on a Memorandum of Understanding (MoU) to commonly bring cooperative Intelligent Transport Systems and Services (C-ITS) onto European roads. First implementations may use a 10 MHz wide</w:t>
      </w:r>
      <w:r>
        <w:rPr>
          <w:lang w:val="en-GB"/>
        </w:rPr>
        <w:t xml:space="preserve">, </w:t>
      </w:r>
      <w:r w:rsidRPr="000C0A61">
        <w:rPr>
          <w:lang w:val="en-GB"/>
        </w:rPr>
        <w:t>one channel in cars as of 2015.</w:t>
      </w:r>
    </w:p>
    <w:p w:rsidR="000C0A61" w:rsidRDefault="000C0A61" w:rsidP="00326A73">
      <w:pPr>
        <w:rPr>
          <w:lang w:val="en-GB"/>
        </w:rPr>
      </w:pPr>
    </w:p>
    <w:p w:rsidR="000C0A61" w:rsidRPr="00E27FC3" w:rsidRDefault="00E27FC3" w:rsidP="000C0A61">
      <w:pPr>
        <w:overflowPunct w:val="0"/>
        <w:autoSpaceDE w:val="0"/>
        <w:autoSpaceDN w:val="0"/>
        <w:spacing w:after="0"/>
        <w:rPr>
          <w:rFonts w:ascii="Verdana" w:eastAsia="Calibri" w:hAnsi="Verdana" w:cs="Arial"/>
          <w:i/>
          <w:sz w:val="20"/>
          <w:lang w:val="en-GB" w:eastAsia="da-DK"/>
        </w:rPr>
      </w:pPr>
      <w:r>
        <w:rPr>
          <w:rFonts w:ascii="Verdana" w:eastAsia="Calibri" w:hAnsi="Verdana" w:cs="Arial"/>
          <w:i/>
          <w:sz w:val="20"/>
          <w:lang w:val="en-GB" w:eastAsia="da-DK"/>
        </w:rPr>
        <w:t>“</w:t>
      </w:r>
      <w:r w:rsidR="000C0A61" w:rsidRPr="00E27FC3">
        <w:rPr>
          <w:rFonts w:ascii="Verdana" w:eastAsia="Calibri" w:hAnsi="Verdana" w:cs="Arial"/>
          <w:i/>
          <w:sz w:val="20"/>
          <w:lang w:val="en-GB" w:eastAsia="da-DK"/>
        </w:rPr>
        <w:t xml:space="preserve">ETSI TC ITS together with the German Federal Ministry of Economics and Technology invite to the </w:t>
      </w:r>
      <w:r w:rsidR="000C0A61" w:rsidRPr="00E27FC3">
        <w:rPr>
          <w:rFonts w:ascii="Verdana" w:eastAsia="Calibri" w:hAnsi="Verdana" w:cs="Arial"/>
          <w:b/>
          <w:bCs/>
          <w:i/>
          <w:sz w:val="20"/>
          <w:lang w:val="en-GB" w:eastAsia="da-DK"/>
        </w:rPr>
        <w:t>6</w:t>
      </w:r>
      <w:r w:rsidR="000C0A61" w:rsidRPr="00E27FC3">
        <w:rPr>
          <w:rFonts w:ascii="Verdana" w:eastAsia="Calibri" w:hAnsi="Verdana" w:cs="Arial"/>
          <w:b/>
          <w:bCs/>
          <w:i/>
          <w:sz w:val="20"/>
          <w:vertAlign w:val="superscript"/>
          <w:lang w:val="en-GB" w:eastAsia="da-DK"/>
        </w:rPr>
        <w:t>th</w:t>
      </w:r>
      <w:r w:rsidR="000C0A61" w:rsidRPr="00E27FC3">
        <w:rPr>
          <w:rFonts w:ascii="Verdana" w:eastAsia="Calibri" w:hAnsi="Verdana" w:cs="Arial"/>
          <w:b/>
          <w:bCs/>
          <w:i/>
          <w:sz w:val="20"/>
          <w:lang w:val="en-GB" w:eastAsia="da-DK"/>
        </w:rPr>
        <w:t xml:space="preserve"> Workshop on Intelligent Transport Systems</w:t>
      </w:r>
      <w:r w:rsidR="000C0A61" w:rsidRPr="00E27FC3">
        <w:rPr>
          <w:rFonts w:ascii="Verdana" w:eastAsia="Calibri" w:hAnsi="Verdana" w:cs="Arial"/>
          <w:i/>
          <w:sz w:val="20"/>
          <w:lang w:val="en-GB" w:eastAsia="da-DK"/>
        </w:rPr>
        <w:t>. The event hosted by the Federal Ministry of Economics and Technology will take place in Berlin on 12-13 February 2014 (</w:t>
      </w:r>
      <w:hyperlink r:id="rId39" w:history="1">
        <w:r w:rsidR="000C0A61" w:rsidRPr="00E27FC3">
          <w:rPr>
            <w:rFonts w:ascii="Verdana" w:eastAsia="Calibri" w:hAnsi="Verdana" w:cs="Arial"/>
            <w:b/>
            <w:bCs/>
            <w:i/>
            <w:color w:val="0000FF"/>
            <w:sz w:val="20"/>
            <w:u w:val="single"/>
            <w:lang w:val="en-GB" w:eastAsia="da-DK"/>
          </w:rPr>
          <w:t>http://www.etsi.org/ITSWorkshop</w:t>
        </w:r>
      </w:hyperlink>
      <w:r w:rsidR="000C0A61" w:rsidRPr="00E27FC3">
        <w:rPr>
          <w:rFonts w:ascii="Verdana" w:eastAsia="Calibri" w:hAnsi="Verdana" w:cs="Arial"/>
          <w:b/>
          <w:bCs/>
          <w:i/>
          <w:sz w:val="20"/>
          <w:lang w:val="en-GB" w:eastAsia="da-DK"/>
        </w:rPr>
        <w:t xml:space="preserve">). </w:t>
      </w:r>
      <w:r w:rsidR="000C0A61" w:rsidRPr="00E27FC3">
        <w:rPr>
          <w:rFonts w:ascii="Verdana" w:eastAsia="Calibri" w:hAnsi="Verdana" w:cs="Arial"/>
          <w:i/>
          <w:sz w:val="20"/>
          <w:lang w:val="en-GB" w:eastAsia="da-DK"/>
        </w:rPr>
        <w:t xml:space="preserve">Participation is free of charge upon </w:t>
      </w:r>
      <w:hyperlink r:id="rId40" w:tgtFrame="_blank" w:history="1">
        <w:r w:rsidR="000C0A61" w:rsidRPr="00E27FC3">
          <w:rPr>
            <w:rFonts w:ascii="Verdana" w:eastAsia="Calibri" w:hAnsi="Verdana" w:cs="Arial"/>
            <w:i/>
            <w:color w:val="0000FF"/>
            <w:sz w:val="20"/>
            <w:u w:val="single"/>
            <w:lang w:val="en-GB" w:eastAsia="da-DK"/>
          </w:rPr>
          <w:t>registration</w:t>
        </w:r>
      </w:hyperlink>
      <w:r w:rsidR="000C0A61" w:rsidRPr="00E27FC3">
        <w:rPr>
          <w:rFonts w:ascii="Verdana" w:eastAsia="Calibri" w:hAnsi="Verdana" w:cs="Arial"/>
          <w:i/>
          <w:sz w:val="20"/>
          <w:lang w:val="en-GB" w:eastAsia="da-DK"/>
        </w:rPr>
        <w:t>.</w:t>
      </w:r>
    </w:p>
    <w:p w:rsidR="000C0A61" w:rsidRPr="00E27FC3" w:rsidRDefault="000C0A61" w:rsidP="000C0A61">
      <w:pPr>
        <w:rPr>
          <w:i/>
          <w:lang w:val="en-GB"/>
        </w:rPr>
      </w:pPr>
      <w:proofErr w:type="gramStart"/>
      <w:r w:rsidRPr="00E27FC3">
        <w:rPr>
          <w:i/>
          <w:lang w:val="en-GB"/>
        </w:rPr>
        <w:t>ITS is</w:t>
      </w:r>
      <w:proofErr w:type="gramEnd"/>
      <w:r w:rsidRPr="00E27FC3">
        <w:rPr>
          <w:i/>
          <w:lang w:val="en-GB"/>
        </w:rPr>
        <w:t xml:space="preserve"> said to be happening in the year 2015 (Car2Car MoU on implementation), upon the completion of the Release 1 standardization package for Cooperative ITS and the completion of the associated European Commission Standardization Mandate M/453.</w:t>
      </w:r>
    </w:p>
    <w:p w:rsidR="000C0A61" w:rsidRPr="00E27FC3" w:rsidRDefault="00E27FC3" w:rsidP="000C0A61">
      <w:pPr>
        <w:rPr>
          <w:i/>
          <w:lang w:val="en-GB"/>
        </w:rPr>
      </w:pPr>
      <w:r>
        <w:rPr>
          <w:i/>
          <w:lang w:val="en-GB"/>
        </w:rPr>
        <w:t>“</w:t>
      </w:r>
      <w:r w:rsidR="000C0A61" w:rsidRPr="00E27FC3">
        <w:rPr>
          <w:i/>
          <w:lang w:val="en-GB"/>
        </w:rPr>
        <w:t xml:space="preserve">Although implementing Cooperative </w:t>
      </w:r>
      <w:proofErr w:type="gramStart"/>
      <w:r w:rsidR="000C0A61" w:rsidRPr="00E27FC3">
        <w:rPr>
          <w:i/>
          <w:lang w:val="en-GB"/>
        </w:rPr>
        <w:t>ITS is</w:t>
      </w:r>
      <w:proofErr w:type="gramEnd"/>
      <w:r w:rsidR="000C0A61" w:rsidRPr="00E27FC3">
        <w:rPr>
          <w:i/>
          <w:lang w:val="en-GB"/>
        </w:rPr>
        <w:t xml:space="preserve"> very important, it is essential to continue standardisation activities. The Release 2 standardisation package is already being built. This package marks the next phase of standardisation for Cooperative ITS. It aims at developing standards, based on functionalities which will be agreed and deployed by the stakeholders.</w:t>
      </w:r>
    </w:p>
    <w:p w:rsidR="000C0A61" w:rsidRPr="00E27FC3" w:rsidRDefault="00E27FC3" w:rsidP="000C0A61">
      <w:pPr>
        <w:rPr>
          <w:i/>
          <w:lang w:val="en-GB"/>
        </w:rPr>
      </w:pPr>
      <w:r>
        <w:rPr>
          <w:i/>
          <w:lang w:val="en-GB"/>
        </w:rPr>
        <w:t>“</w:t>
      </w:r>
      <w:r w:rsidR="000C0A61" w:rsidRPr="00E27FC3">
        <w:rPr>
          <w:i/>
          <w:lang w:val="en-GB"/>
        </w:rPr>
        <w:t>In order to complete the Release 2 standardisation package, ETSI is currently calling for presentation and input on the following aspects:</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The Release 2 standardization package – complete or not complete?</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Spectrum management – dynamic channel selection and carrier aggregation</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lastRenderedPageBreak/>
        <w:t>Enhanced Cross Layer Decentralized Congestion Control for ITS G5</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White Space Devices in ITS – a way forward to satisfy future spectrum demand?</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Autonomous driving beyond sensors – spectrum and networking needs</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When ITS stations talk to each other – dynamic information exchange in real time</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ITS and Smart City - the move towards I2TS (Intelligent Integrated Transport Systems)</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Using ITS to revolutionize road access - road pricing, driver management, logistics</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Cooperative ITS in other safety critical domains – management systems for urban rail</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Deploying IPv6 in Cooperative ITS</w:t>
      </w:r>
    </w:p>
    <w:p w:rsidR="000C0A61" w:rsidRPr="00E27FC3" w:rsidRDefault="000C0A61" w:rsidP="000C0A61">
      <w:pPr>
        <w:numPr>
          <w:ilvl w:val="0"/>
          <w:numId w:val="31"/>
        </w:numPr>
        <w:overflowPunct w:val="0"/>
        <w:autoSpaceDE w:val="0"/>
        <w:autoSpaceDN w:val="0"/>
        <w:spacing w:before="100" w:beforeAutospacing="1" w:after="180" w:line="270" w:lineRule="atLeast"/>
        <w:ind w:left="450"/>
        <w:jc w:val="left"/>
        <w:rPr>
          <w:rFonts w:ascii="Verdana" w:eastAsia="Calibri" w:hAnsi="Verdana" w:cs="Arial"/>
          <w:i/>
          <w:sz w:val="20"/>
          <w:lang w:val="en-GB" w:eastAsia="da-DK"/>
        </w:rPr>
      </w:pPr>
      <w:r w:rsidRPr="00E27FC3">
        <w:rPr>
          <w:rFonts w:ascii="Verdana" w:eastAsia="Calibri" w:hAnsi="Verdana" w:cs="Arial"/>
          <w:i/>
          <w:sz w:val="20"/>
          <w:lang w:val="en-GB" w:eastAsia="da-DK"/>
        </w:rPr>
        <w:t>How can ITS applications be certified to operate properly?</w:t>
      </w:r>
      <w:r w:rsidR="00E27FC3">
        <w:rPr>
          <w:rFonts w:ascii="Verdana" w:eastAsia="Calibri" w:hAnsi="Verdana" w:cs="Arial"/>
          <w:i/>
          <w:sz w:val="20"/>
          <w:lang w:val="en-GB" w:eastAsia="da-DK"/>
        </w:rPr>
        <w:t>”</w:t>
      </w:r>
    </w:p>
    <w:p w:rsidR="000C0A61" w:rsidRDefault="000C0A61" w:rsidP="00326A73">
      <w:pPr>
        <w:rPr>
          <w:lang w:val="en-GB"/>
        </w:rPr>
      </w:pPr>
    </w:p>
    <w:sectPr w:rsidR="000C0A61" w:rsidSect="008F677F">
      <w:footerReference w:type="even" r:id="rId41"/>
      <w:footerReference w:type="default" r:id="rId42"/>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1B6" w:rsidRDefault="00FA71B6">
      <w:r>
        <w:separator/>
      </w:r>
    </w:p>
  </w:endnote>
  <w:endnote w:type="continuationSeparator" w:id="0">
    <w:p w:rsidR="00FA71B6" w:rsidRDefault="00FA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13C" w:rsidRDefault="0033013C">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013C" w:rsidRDefault="003301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13C" w:rsidRDefault="0033013C">
    <w:pP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FB2D96">
      <w:rPr>
        <w:rStyle w:val="PageNumber"/>
        <w:noProof/>
        <w:sz w:val="20"/>
      </w:rPr>
      <w:t>7</w:t>
    </w:r>
    <w:r>
      <w:rPr>
        <w:rStyle w:val="PageNumber"/>
        <w:sz w:val="20"/>
      </w:rPr>
      <w:fldChar w:fldCharType="end"/>
    </w:r>
  </w:p>
  <w:p w:rsidR="0033013C" w:rsidRDefault="003301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1B6" w:rsidRDefault="00FA71B6">
      <w:r>
        <w:separator/>
      </w:r>
    </w:p>
  </w:footnote>
  <w:footnote w:type="continuationSeparator" w:id="0">
    <w:p w:rsidR="00FA71B6" w:rsidRDefault="00FA71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2819"/>
    <w:multiLevelType w:val="hybridMultilevel"/>
    <w:tmpl w:val="F2DA3988"/>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1">
    <w:nsid w:val="09F52D34"/>
    <w:multiLevelType w:val="multilevel"/>
    <w:tmpl w:val="9F2CD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C1E14E0"/>
    <w:multiLevelType w:val="hybridMultilevel"/>
    <w:tmpl w:val="1850F77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
    <w:nsid w:val="0E3251F3"/>
    <w:multiLevelType w:val="hybridMultilevel"/>
    <w:tmpl w:val="8F60E2D4"/>
    <w:lvl w:ilvl="0" w:tplc="DF1246FC">
      <w:start w:val="1"/>
      <w:numFmt w:val="decimal"/>
      <w:lvlText w:val="%1."/>
      <w:lvlJc w:val="left"/>
      <w:pPr>
        <w:ind w:left="927" w:hanging="360"/>
      </w:p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5">
    <w:nsid w:val="12322B6B"/>
    <w:multiLevelType w:val="hybridMultilevel"/>
    <w:tmpl w:val="C718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92AEA"/>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7">
    <w:nsid w:val="286270B1"/>
    <w:multiLevelType w:val="hybridMultilevel"/>
    <w:tmpl w:val="BA6AF3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AFC3234"/>
    <w:multiLevelType w:val="hybridMultilevel"/>
    <w:tmpl w:val="E54AD86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nsid w:val="2BB8607D"/>
    <w:multiLevelType w:val="hybridMultilevel"/>
    <w:tmpl w:val="4AA4E2D4"/>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12">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4">
    <w:nsid w:val="3C263D9F"/>
    <w:multiLevelType w:val="multilevel"/>
    <w:tmpl w:val="A0E4F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3A229D"/>
    <w:multiLevelType w:val="hybridMultilevel"/>
    <w:tmpl w:val="4C049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45A16FF0"/>
    <w:multiLevelType w:val="hybridMultilevel"/>
    <w:tmpl w:val="C9F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8">
    <w:nsid w:val="4B4974F4"/>
    <w:multiLevelType w:val="hybridMultilevel"/>
    <w:tmpl w:val="15D053C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25851A3"/>
    <w:multiLevelType w:val="hybridMultilevel"/>
    <w:tmpl w:val="5B5C4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66AA5474"/>
    <w:multiLevelType w:val="hybridMultilevel"/>
    <w:tmpl w:val="62281D64"/>
    <w:lvl w:ilvl="0" w:tplc="0BC6F722">
      <w:numFmt w:val="bullet"/>
      <w:lvlText w:val=""/>
      <w:lvlJc w:val="left"/>
      <w:pPr>
        <w:ind w:left="720" w:hanging="360"/>
      </w:pPr>
      <w:rPr>
        <w:rFonts w:ascii="Symbol" w:eastAsia="Calibri" w:hAnsi="Symbol"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BA554F2"/>
    <w:multiLevelType w:val="hybridMultilevel"/>
    <w:tmpl w:val="2A0A3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7767BF"/>
    <w:multiLevelType w:val="multilevel"/>
    <w:tmpl w:val="7060B39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nsid w:val="79A74A3F"/>
    <w:multiLevelType w:val="hybridMultilevel"/>
    <w:tmpl w:val="2BFCCE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1"/>
  </w:num>
  <w:num w:numId="2">
    <w:abstractNumId w:val="2"/>
  </w:num>
  <w:num w:numId="3">
    <w:abstractNumId w:val="25"/>
  </w:num>
  <w:num w:numId="4">
    <w:abstractNumId w:val="25"/>
  </w:num>
  <w:num w:numId="5">
    <w:abstractNumId w:val="25"/>
  </w:num>
  <w:num w:numId="6">
    <w:abstractNumId w:val="22"/>
  </w:num>
  <w:num w:numId="7">
    <w:abstractNumId w:val="25"/>
  </w:num>
  <w:num w:numId="8">
    <w:abstractNumId w:val="25"/>
  </w:num>
  <w:num w:numId="9">
    <w:abstractNumId w:val="11"/>
  </w:num>
  <w:num w:numId="10">
    <w:abstractNumId w:val="17"/>
  </w:num>
  <w:num w:numId="11">
    <w:abstractNumId w:val="13"/>
  </w:num>
  <w:num w:numId="12">
    <w:abstractNumId w:val="20"/>
  </w:num>
  <w:num w:numId="13">
    <w:abstractNumId w:val="12"/>
  </w:num>
  <w:num w:numId="14">
    <w:abstractNumId w:val="10"/>
  </w:num>
  <w:num w:numId="15">
    <w:abstractNumId w:val="9"/>
  </w:num>
  <w:num w:numId="16">
    <w:abstractNumId w:val="23"/>
  </w:num>
  <w:num w:numId="17">
    <w:abstractNumId w:val="15"/>
  </w:num>
  <w:num w:numId="18">
    <w:abstractNumId w:val="27"/>
  </w:num>
  <w:num w:numId="19">
    <w:abstractNumId w:val="7"/>
  </w:num>
  <w:num w:numId="20">
    <w:abstractNumId w:val="26"/>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9"/>
  </w:num>
  <w:num w:numId="25">
    <w:abstractNumId w:val="16"/>
  </w:num>
  <w:num w:numId="26">
    <w:abstractNumId w:val="24"/>
  </w:num>
  <w:num w:numId="27">
    <w:abstractNumId w:val="5"/>
  </w:num>
  <w:num w:numId="28">
    <w:abstractNumId w:val="4"/>
  </w:num>
  <w:num w:numId="29">
    <w:abstractNumId w:val="14"/>
  </w:num>
  <w:num w:numId="30">
    <w:abstractNumId w:val="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233C6"/>
    <w:rsid w:val="00033112"/>
    <w:rsid w:val="000364E2"/>
    <w:rsid w:val="00042E6D"/>
    <w:rsid w:val="0005529F"/>
    <w:rsid w:val="00061978"/>
    <w:rsid w:val="000641A7"/>
    <w:rsid w:val="000671E5"/>
    <w:rsid w:val="00070549"/>
    <w:rsid w:val="00086867"/>
    <w:rsid w:val="00095D52"/>
    <w:rsid w:val="00097E34"/>
    <w:rsid w:val="000B0905"/>
    <w:rsid w:val="000B787A"/>
    <w:rsid w:val="000C0A61"/>
    <w:rsid w:val="000C2EF7"/>
    <w:rsid w:val="000D0F3C"/>
    <w:rsid w:val="000E346F"/>
    <w:rsid w:val="000F0612"/>
    <w:rsid w:val="000F1373"/>
    <w:rsid w:val="000F46B6"/>
    <w:rsid w:val="000F775A"/>
    <w:rsid w:val="00101F1B"/>
    <w:rsid w:val="00106047"/>
    <w:rsid w:val="00106238"/>
    <w:rsid w:val="00107715"/>
    <w:rsid w:val="00112E59"/>
    <w:rsid w:val="00113B49"/>
    <w:rsid w:val="00135FE7"/>
    <w:rsid w:val="0013730F"/>
    <w:rsid w:val="00161D26"/>
    <w:rsid w:val="00162CBB"/>
    <w:rsid w:val="0016435A"/>
    <w:rsid w:val="0017696D"/>
    <w:rsid w:val="00177DC7"/>
    <w:rsid w:val="00181D23"/>
    <w:rsid w:val="001875C6"/>
    <w:rsid w:val="001A74FD"/>
    <w:rsid w:val="001D181E"/>
    <w:rsid w:val="001E0E49"/>
    <w:rsid w:val="001F2614"/>
    <w:rsid w:val="001F724C"/>
    <w:rsid w:val="002007CA"/>
    <w:rsid w:val="00215746"/>
    <w:rsid w:val="00222F7B"/>
    <w:rsid w:val="00225B01"/>
    <w:rsid w:val="0023437A"/>
    <w:rsid w:val="00250F94"/>
    <w:rsid w:val="00260D98"/>
    <w:rsid w:val="0026766F"/>
    <w:rsid w:val="00276C85"/>
    <w:rsid w:val="00277BC1"/>
    <w:rsid w:val="0028051D"/>
    <w:rsid w:val="00294331"/>
    <w:rsid w:val="002A02A3"/>
    <w:rsid w:val="002A6FF4"/>
    <w:rsid w:val="002B169D"/>
    <w:rsid w:val="002B47FC"/>
    <w:rsid w:val="002B683F"/>
    <w:rsid w:val="002D7395"/>
    <w:rsid w:val="002F624E"/>
    <w:rsid w:val="00301409"/>
    <w:rsid w:val="003050FD"/>
    <w:rsid w:val="003071E0"/>
    <w:rsid w:val="00314E5E"/>
    <w:rsid w:val="00316BF0"/>
    <w:rsid w:val="00326A73"/>
    <w:rsid w:val="00326C68"/>
    <w:rsid w:val="0033013C"/>
    <w:rsid w:val="00346C62"/>
    <w:rsid w:val="00357A5F"/>
    <w:rsid w:val="00363C8B"/>
    <w:rsid w:val="00376590"/>
    <w:rsid w:val="00377E62"/>
    <w:rsid w:val="003813E6"/>
    <w:rsid w:val="0039030E"/>
    <w:rsid w:val="00393716"/>
    <w:rsid w:val="00397194"/>
    <w:rsid w:val="003A3B88"/>
    <w:rsid w:val="003A57CC"/>
    <w:rsid w:val="003B1654"/>
    <w:rsid w:val="003C2268"/>
    <w:rsid w:val="003C4848"/>
    <w:rsid w:val="003C53D0"/>
    <w:rsid w:val="003D6A16"/>
    <w:rsid w:val="003E76E9"/>
    <w:rsid w:val="003F73E2"/>
    <w:rsid w:val="004002F7"/>
    <w:rsid w:val="00421CAC"/>
    <w:rsid w:val="00430369"/>
    <w:rsid w:val="00431D12"/>
    <w:rsid w:val="004369DC"/>
    <w:rsid w:val="00443C40"/>
    <w:rsid w:val="004648A4"/>
    <w:rsid w:val="004662F9"/>
    <w:rsid w:val="004858B1"/>
    <w:rsid w:val="00486369"/>
    <w:rsid w:val="00493F86"/>
    <w:rsid w:val="004A0432"/>
    <w:rsid w:val="004A099D"/>
    <w:rsid w:val="004A47FF"/>
    <w:rsid w:val="004B23D3"/>
    <w:rsid w:val="004C6078"/>
    <w:rsid w:val="004E45DF"/>
    <w:rsid w:val="004F061E"/>
    <w:rsid w:val="004F2203"/>
    <w:rsid w:val="004F2824"/>
    <w:rsid w:val="004F2E89"/>
    <w:rsid w:val="00500553"/>
    <w:rsid w:val="005006F3"/>
    <w:rsid w:val="005269EA"/>
    <w:rsid w:val="0053015C"/>
    <w:rsid w:val="00533846"/>
    <w:rsid w:val="005348B2"/>
    <w:rsid w:val="005434C4"/>
    <w:rsid w:val="00554550"/>
    <w:rsid w:val="005549FF"/>
    <w:rsid w:val="00562E1E"/>
    <w:rsid w:val="005723B3"/>
    <w:rsid w:val="005761BB"/>
    <w:rsid w:val="00585607"/>
    <w:rsid w:val="005E2FFC"/>
    <w:rsid w:val="005F1C1F"/>
    <w:rsid w:val="005F1F09"/>
    <w:rsid w:val="00616265"/>
    <w:rsid w:val="00617C57"/>
    <w:rsid w:val="0063524D"/>
    <w:rsid w:val="006542C3"/>
    <w:rsid w:val="0065588F"/>
    <w:rsid w:val="00664805"/>
    <w:rsid w:val="006827D0"/>
    <w:rsid w:val="00684589"/>
    <w:rsid w:val="006845C9"/>
    <w:rsid w:val="006902F9"/>
    <w:rsid w:val="00690A9D"/>
    <w:rsid w:val="00690B4B"/>
    <w:rsid w:val="00691107"/>
    <w:rsid w:val="0069180A"/>
    <w:rsid w:val="006A6A4A"/>
    <w:rsid w:val="006B0132"/>
    <w:rsid w:val="006B5313"/>
    <w:rsid w:val="006B5D17"/>
    <w:rsid w:val="006C4BCC"/>
    <w:rsid w:val="006D1EAC"/>
    <w:rsid w:val="006D3D6F"/>
    <w:rsid w:val="006E1FA9"/>
    <w:rsid w:val="006E316D"/>
    <w:rsid w:val="006F70A7"/>
    <w:rsid w:val="0070740D"/>
    <w:rsid w:val="00715F52"/>
    <w:rsid w:val="00751528"/>
    <w:rsid w:val="007538DB"/>
    <w:rsid w:val="0075560F"/>
    <w:rsid w:val="00766990"/>
    <w:rsid w:val="0077184D"/>
    <w:rsid w:val="00782F34"/>
    <w:rsid w:val="007925CA"/>
    <w:rsid w:val="00793843"/>
    <w:rsid w:val="007972EC"/>
    <w:rsid w:val="007A1831"/>
    <w:rsid w:val="007A49AD"/>
    <w:rsid w:val="007A7345"/>
    <w:rsid w:val="007C7EC6"/>
    <w:rsid w:val="007D5586"/>
    <w:rsid w:val="007E5C61"/>
    <w:rsid w:val="007F0553"/>
    <w:rsid w:val="00802521"/>
    <w:rsid w:val="00807AA2"/>
    <w:rsid w:val="00807F54"/>
    <w:rsid w:val="008127E6"/>
    <w:rsid w:val="00820168"/>
    <w:rsid w:val="008330CF"/>
    <w:rsid w:val="00884205"/>
    <w:rsid w:val="008A37BA"/>
    <w:rsid w:val="008D2718"/>
    <w:rsid w:val="008D4942"/>
    <w:rsid w:val="008D6E2E"/>
    <w:rsid w:val="008D74CD"/>
    <w:rsid w:val="008D763E"/>
    <w:rsid w:val="008E4001"/>
    <w:rsid w:val="008F33D5"/>
    <w:rsid w:val="008F5596"/>
    <w:rsid w:val="008F5ECB"/>
    <w:rsid w:val="008F677F"/>
    <w:rsid w:val="0090290F"/>
    <w:rsid w:val="0091665C"/>
    <w:rsid w:val="00916B79"/>
    <w:rsid w:val="00956BAA"/>
    <w:rsid w:val="00971713"/>
    <w:rsid w:val="00977355"/>
    <w:rsid w:val="009852E6"/>
    <w:rsid w:val="0098621D"/>
    <w:rsid w:val="00997A4D"/>
    <w:rsid w:val="009B3CB6"/>
    <w:rsid w:val="009C2F3B"/>
    <w:rsid w:val="009C69F7"/>
    <w:rsid w:val="009D242F"/>
    <w:rsid w:val="009D489B"/>
    <w:rsid w:val="009D4B2F"/>
    <w:rsid w:val="009F2575"/>
    <w:rsid w:val="00A024A8"/>
    <w:rsid w:val="00A027EE"/>
    <w:rsid w:val="00A07183"/>
    <w:rsid w:val="00A101D2"/>
    <w:rsid w:val="00A10967"/>
    <w:rsid w:val="00A16D03"/>
    <w:rsid w:val="00A267CE"/>
    <w:rsid w:val="00A30225"/>
    <w:rsid w:val="00A32A30"/>
    <w:rsid w:val="00A44AE2"/>
    <w:rsid w:val="00A477F3"/>
    <w:rsid w:val="00A64930"/>
    <w:rsid w:val="00A77E89"/>
    <w:rsid w:val="00A82B1F"/>
    <w:rsid w:val="00A87C8C"/>
    <w:rsid w:val="00A95309"/>
    <w:rsid w:val="00AA26E7"/>
    <w:rsid w:val="00AA3CFD"/>
    <w:rsid w:val="00AA3D96"/>
    <w:rsid w:val="00AA3E9E"/>
    <w:rsid w:val="00AA59E8"/>
    <w:rsid w:val="00AC0304"/>
    <w:rsid w:val="00AC345D"/>
    <w:rsid w:val="00AD241F"/>
    <w:rsid w:val="00AD6C98"/>
    <w:rsid w:val="00AE4993"/>
    <w:rsid w:val="00AE7906"/>
    <w:rsid w:val="00AF52C4"/>
    <w:rsid w:val="00B0161E"/>
    <w:rsid w:val="00B05A15"/>
    <w:rsid w:val="00B1073A"/>
    <w:rsid w:val="00B1660B"/>
    <w:rsid w:val="00B35D13"/>
    <w:rsid w:val="00B46F09"/>
    <w:rsid w:val="00B600CB"/>
    <w:rsid w:val="00B608A5"/>
    <w:rsid w:val="00B6512A"/>
    <w:rsid w:val="00B70CD3"/>
    <w:rsid w:val="00B90507"/>
    <w:rsid w:val="00B92E72"/>
    <w:rsid w:val="00BB27C5"/>
    <w:rsid w:val="00BC2918"/>
    <w:rsid w:val="00BD685D"/>
    <w:rsid w:val="00BE4CC9"/>
    <w:rsid w:val="00BF2999"/>
    <w:rsid w:val="00BF5434"/>
    <w:rsid w:val="00C154C2"/>
    <w:rsid w:val="00C309B1"/>
    <w:rsid w:val="00C30AFC"/>
    <w:rsid w:val="00C335F0"/>
    <w:rsid w:val="00C43796"/>
    <w:rsid w:val="00C47BE9"/>
    <w:rsid w:val="00C5418E"/>
    <w:rsid w:val="00C60D46"/>
    <w:rsid w:val="00C62218"/>
    <w:rsid w:val="00C6308A"/>
    <w:rsid w:val="00C7286B"/>
    <w:rsid w:val="00C74F88"/>
    <w:rsid w:val="00C75E0E"/>
    <w:rsid w:val="00C82BC5"/>
    <w:rsid w:val="00CA4E74"/>
    <w:rsid w:val="00CB0BBB"/>
    <w:rsid w:val="00CD2962"/>
    <w:rsid w:val="00CD4FA2"/>
    <w:rsid w:val="00CD51FD"/>
    <w:rsid w:val="00CE13A7"/>
    <w:rsid w:val="00CE20ED"/>
    <w:rsid w:val="00CE40EE"/>
    <w:rsid w:val="00CE6591"/>
    <w:rsid w:val="00CF076B"/>
    <w:rsid w:val="00CF4D15"/>
    <w:rsid w:val="00D004D0"/>
    <w:rsid w:val="00D00B4F"/>
    <w:rsid w:val="00D14191"/>
    <w:rsid w:val="00D149DA"/>
    <w:rsid w:val="00D34708"/>
    <w:rsid w:val="00D43633"/>
    <w:rsid w:val="00D50DE5"/>
    <w:rsid w:val="00D53B5D"/>
    <w:rsid w:val="00D54EF6"/>
    <w:rsid w:val="00D671A5"/>
    <w:rsid w:val="00D765E7"/>
    <w:rsid w:val="00D95F74"/>
    <w:rsid w:val="00DA6007"/>
    <w:rsid w:val="00DA6F00"/>
    <w:rsid w:val="00DB5A0C"/>
    <w:rsid w:val="00DC4D99"/>
    <w:rsid w:val="00DD08BA"/>
    <w:rsid w:val="00DD1103"/>
    <w:rsid w:val="00DE2447"/>
    <w:rsid w:val="00DE5E01"/>
    <w:rsid w:val="00DF2A80"/>
    <w:rsid w:val="00E04AF2"/>
    <w:rsid w:val="00E054A3"/>
    <w:rsid w:val="00E232D3"/>
    <w:rsid w:val="00E2376B"/>
    <w:rsid w:val="00E2796D"/>
    <w:rsid w:val="00E27C6A"/>
    <w:rsid w:val="00E27FC3"/>
    <w:rsid w:val="00E40873"/>
    <w:rsid w:val="00E43F97"/>
    <w:rsid w:val="00E5287C"/>
    <w:rsid w:val="00E561B8"/>
    <w:rsid w:val="00E577A4"/>
    <w:rsid w:val="00E7100C"/>
    <w:rsid w:val="00E71841"/>
    <w:rsid w:val="00E770E6"/>
    <w:rsid w:val="00E779E2"/>
    <w:rsid w:val="00E81434"/>
    <w:rsid w:val="00E87AEF"/>
    <w:rsid w:val="00E93323"/>
    <w:rsid w:val="00E95CFE"/>
    <w:rsid w:val="00E95D2C"/>
    <w:rsid w:val="00ED244B"/>
    <w:rsid w:val="00ED7AEC"/>
    <w:rsid w:val="00EE07DC"/>
    <w:rsid w:val="00EE4BEE"/>
    <w:rsid w:val="00EE6D93"/>
    <w:rsid w:val="00EF1568"/>
    <w:rsid w:val="00F02631"/>
    <w:rsid w:val="00F05B26"/>
    <w:rsid w:val="00F22950"/>
    <w:rsid w:val="00F278D5"/>
    <w:rsid w:val="00F311FB"/>
    <w:rsid w:val="00F37A73"/>
    <w:rsid w:val="00F43738"/>
    <w:rsid w:val="00F43BE8"/>
    <w:rsid w:val="00F53012"/>
    <w:rsid w:val="00F5622A"/>
    <w:rsid w:val="00FA15BA"/>
    <w:rsid w:val="00FA6EBF"/>
    <w:rsid w:val="00FA71B6"/>
    <w:rsid w:val="00FA7FC5"/>
    <w:rsid w:val="00FB2D96"/>
    <w:rsid w:val="00FD0B6D"/>
    <w:rsid w:val="00FD7E46"/>
    <w:rsid w:val="00FE1DCB"/>
    <w:rsid w:val="00FE61C8"/>
    <w:rsid w:val="00FF320E"/>
    <w:rsid w:val="00FF377F"/>
    <w:rsid w:val="00FF3D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nb-NO"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Footnote symbol"/>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FollowedHyperlink">
    <w:name w:val="FollowedHyperlink"/>
    <w:rsid w:val="006827D0"/>
    <w:rPr>
      <w:color w:val="800080"/>
      <w:u w:val="single"/>
    </w:rPr>
  </w:style>
  <w:style w:type="table" w:styleId="TableGrid">
    <w:name w:val="Table Grid"/>
    <w:basedOn w:val="Table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2376B"/>
    <w:pPr>
      <w:spacing w:after="0"/>
    </w:pPr>
    <w:rPr>
      <w:rFonts w:ascii="Tahoma" w:hAnsi="Tahoma"/>
      <w:sz w:val="16"/>
      <w:szCs w:val="16"/>
    </w:rPr>
  </w:style>
  <w:style w:type="character" w:customStyle="1" w:styleId="BalloonTextChar">
    <w:name w:val="Balloon Text Char"/>
    <w:link w:val="BalloonText"/>
    <w:rsid w:val="00E2376B"/>
    <w:rPr>
      <w:rFonts w:ascii="Tahoma" w:hAnsi="Tahoma" w:cs="Tahoma"/>
      <w:sz w:val="16"/>
      <w:szCs w:val="16"/>
      <w:lang w:val="nb-NO" w:eastAsia="de-DE"/>
    </w:rPr>
  </w:style>
  <w:style w:type="character" w:styleId="CommentReference">
    <w:name w:val="annotation reference"/>
    <w:rsid w:val="00A44AE2"/>
    <w:rPr>
      <w:sz w:val="16"/>
      <w:szCs w:val="16"/>
    </w:rPr>
  </w:style>
  <w:style w:type="paragraph" w:styleId="CommentText">
    <w:name w:val="annotation text"/>
    <w:basedOn w:val="Normal"/>
    <w:link w:val="CommentTextChar"/>
    <w:rsid w:val="00A44AE2"/>
    <w:rPr>
      <w:sz w:val="20"/>
    </w:rPr>
  </w:style>
  <w:style w:type="character" w:customStyle="1" w:styleId="CommentTextChar">
    <w:name w:val="Comment Text Char"/>
    <w:link w:val="CommentText"/>
    <w:rsid w:val="00A44AE2"/>
    <w:rPr>
      <w:rFonts w:ascii="Arial" w:hAnsi="Arial"/>
      <w:lang w:val="nb-NO" w:eastAsia="de-DE"/>
    </w:rPr>
  </w:style>
  <w:style w:type="paragraph" w:styleId="CommentSubject">
    <w:name w:val="annotation subject"/>
    <w:basedOn w:val="CommentText"/>
    <w:next w:val="CommentText"/>
    <w:link w:val="CommentSubjectChar"/>
    <w:rsid w:val="00A44AE2"/>
    <w:rPr>
      <w:b/>
      <w:bCs/>
    </w:rPr>
  </w:style>
  <w:style w:type="character" w:customStyle="1" w:styleId="CommentSubjectChar">
    <w:name w:val="Comment Subject Char"/>
    <w:link w:val="CommentSubject"/>
    <w:rsid w:val="00A44AE2"/>
    <w:rPr>
      <w:rFonts w:ascii="Arial" w:hAnsi="Arial"/>
      <w:b/>
      <w:bCs/>
      <w:lang w:val="nb-NO" w:eastAsia="de-DE"/>
    </w:rPr>
  </w:style>
  <w:style w:type="paragraph" w:customStyle="1" w:styleId="Header2">
    <w:name w:val="Header2"/>
    <w:basedOn w:val="Header"/>
    <w:rsid w:val="00DC4D99"/>
  </w:style>
  <w:style w:type="paragraph" w:styleId="ListParagraph">
    <w:name w:val="List Paragraph"/>
    <w:basedOn w:val="Normal"/>
    <w:uiPriority w:val="34"/>
    <w:qFormat/>
    <w:rsid w:val="006B5D1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nb-NO"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Footnote symbol"/>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FollowedHyperlink">
    <w:name w:val="FollowedHyperlink"/>
    <w:rsid w:val="006827D0"/>
    <w:rPr>
      <w:color w:val="800080"/>
      <w:u w:val="single"/>
    </w:rPr>
  </w:style>
  <w:style w:type="table" w:styleId="TableGrid">
    <w:name w:val="Table Grid"/>
    <w:basedOn w:val="Table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2376B"/>
    <w:pPr>
      <w:spacing w:after="0"/>
    </w:pPr>
    <w:rPr>
      <w:rFonts w:ascii="Tahoma" w:hAnsi="Tahoma"/>
      <w:sz w:val="16"/>
      <w:szCs w:val="16"/>
    </w:rPr>
  </w:style>
  <w:style w:type="character" w:customStyle="1" w:styleId="BalloonTextChar">
    <w:name w:val="Balloon Text Char"/>
    <w:link w:val="BalloonText"/>
    <w:rsid w:val="00E2376B"/>
    <w:rPr>
      <w:rFonts w:ascii="Tahoma" w:hAnsi="Tahoma" w:cs="Tahoma"/>
      <w:sz w:val="16"/>
      <w:szCs w:val="16"/>
      <w:lang w:val="nb-NO" w:eastAsia="de-DE"/>
    </w:rPr>
  </w:style>
  <w:style w:type="character" w:styleId="CommentReference">
    <w:name w:val="annotation reference"/>
    <w:rsid w:val="00A44AE2"/>
    <w:rPr>
      <w:sz w:val="16"/>
      <w:szCs w:val="16"/>
    </w:rPr>
  </w:style>
  <w:style w:type="paragraph" w:styleId="CommentText">
    <w:name w:val="annotation text"/>
    <w:basedOn w:val="Normal"/>
    <w:link w:val="CommentTextChar"/>
    <w:rsid w:val="00A44AE2"/>
    <w:rPr>
      <w:sz w:val="20"/>
    </w:rPr>
  </w:style>
  <w:style w:type="character" w:customStyle="1" w:styleId="CommentTextChar">
    <w:name w:val="Comment Text Char"/>
    <w:link w:val="CommentText"/>
    <w:rsid w:val="00A44AE2"/>
    <w:rPr>
      <w:rFonts w:ascii="Arial" w:hAnsi="Arial"/>
      <w:lang w:val="nb-NO" w:eastAsia="de-DE"/>
    </w:rPr>
  </w:style>
  <w:style w:type="paragraph" w:styleId="CommentSubject">
    <w:name w:val="annotation subject"/>
    <w:basedOn w:val="CommentText"/>
    <w:next w:val="CommentText"/>
    <w:link w:val="CommentSubjectChar"/>
    <w:rsid w:val="00A44AE2"/>
    <w:rPr>
      <w:b/>
      <w:bCs/>
    </w:rPr>
  </w:style>
  <w:style w:type="character" w:customStyle="1" w:styleId="CommentSubjectChar">
    <w:name w:val="Comment Subject Char"/>
    <w:link w:val="CommentSubject"/>
    <w:rsid w:val="00A44AE2"/>
    <w:rPr>
      <w:rFonts w:ascii="Arial" w:hAnsi="Arial"/>
      <w:b/>
      <w:bCs/>
      <w:lang w:val="nb-NO" w:eastAsia="de-DE"/>
    </w:rPr>
  </w:style>
  <w:style w:type="paragraph" w:customStyle="1" w:styleId="Header2">
    <w:name w:val="Header2"/>
    <w:basedOn w:val="Header"/>
    <w:rsid w:val="00DC4D99"/>
  </w:style>
  <w:style w:type="paragraph" w:styleId="ListParagraph">
    <w:name w:val="List Paragraph"/>
    <w:basedOn w:val="Normal"/>
    <w:uiPriority w:val="34"/>
    <w:qFormat/>
    <w:rsid w:val="006B5D1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9936">
      <w:bodyDiv w:val="1"/>
      <w:marLeft w:val="0"/>
      <w:marRight w:val="0"/>
      <w:marTop w:val="0"/>
      <w:marBottom w:val="0"/>
      <w:divBdr>
        <w:top w:val="none" w:sz="0" w:space="0" w:color="auto"/>
        <w:left w:val="none" w:sz="0" w:space="0" w:color="auto"/>
        <w:bottom w:val="none" w:sz="0" w:space="0" w:color="auto"/>
        <w:right w:val="none" w:sz="0" w:space="0" w:color="auto"/>
      </w:divBdr>
      <w:divsChild>
        <w:div w:id="1621498231">
          <w:marLeft w:val="0"/>
          <w:marRight w:val="0"/>
          <w:marTop w:val="0"/>
          <w:marBottom w:val="0"/>
          <w:divBdr>
            <w:top w:val="none" w:sz="0" w:space="0" w:color="auto"/>
            <w:left w:val="none" w:sz="0" w:space="0" w:color="auto"/>
            <w:bottom w:val="none" w:sz="0" w:space="0" w:color="auto"/>
            <w:right w:val="none" w:sz="0" w:space="0" w:color="auto"/>
          </w:divBdr>
          <w:divsChild>
            <w:div w:id="2101444583">
              <w:marLeft w:val="0"/>
              <w:marRight w:val="0"/>
              <w:marTop w:val="0"/>
              <w:marBottom w:val="0"/>
              <w:divBdr>
                <w:top w:val="none" w:sz="0" w:space="0" w:color="auto"/>
                <w:left w:val="none" w:sz="0" w:space="0" w:color="auto"/>
                <w:bottom w:val="none" w:sz="0" w:space="0" w:color="auto"/>
                <w:right w:val="none" w:sz="0" w:space="0" w:color="auto"/>
              </w:divBdr>
              <w:divsChild>
                <w:div w:id="1675570115">
                  <w:marLeft w:val="120"/>
                  <w:marRight w:val="120"/>
                  <w:marTop w:val="0"/>
                  <w:marBottom w:val="0"/>
                  <w:divBdr>
                    <w:top w:val="none" w:sz="0" w:space="0" w:color="auto"/>
                    <w:left w:val="none" w:sz="0" w:space="0" w:color="auto"/>
                    <w:bottom w:val="none" w:sz="0" w:space="0" w:color="auto"/>
                    <w:right w:val="none" w:sz="0" w:space="0" w:color="auto"/>
                  </w:divBdr>
                  <w:divsChild>
                    <w:div w:id="374963275">
                      <w:marLeft w:val="0"/>
                      <w:marRight w:val="0"/>
                      <w:marTop w:val="0"/>
                      <w:marBottom w:val="0"/>
                      <w:divBdr>
                        <w:top w:val="none" w:sz="0" w:space="0" w:color="auto"/>
                        <w:left w:val="none" w:sz="0" w:space="0" w:color="auto"/>
                        <w:bottom w:val="none" w:sz="0" w:space="0" w:color="auto"/>
                        <w:right w:val="none" w:sz="0" w:space="0" w:color="auto"/>
                      </w:divBdr>
                      <w:divsChild>
                        <w:div w:id="3228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4637">
      <w:bodyDiv w:val="1"/>
      <w:marLeft w:val="0"/>
      <w:marRight w:val="0"/>
      <w:marTop w:val="0"/>
      <w:marBottom w:val="0"/>
      <w:divBdr>
        <w:top w:val="none" w:sz="0" w:space="0" w:color="auto"/>
        <w:left w:val="none" w:sz="0" w:space="0" w:color="auto"/>
        <w:bottom w:val="none" w:sz="0" w:space="0" w:color="auto"/>
        <w:right w:val="none" w:sz="0" w:space="0" w:color="auto"/>
      </w:divBdr>
      <w:divsChild>
        <w:div w:id="753405426">
          <w:marLeft w:val="0"/>
          <w:marRight w:val="0"/>
          <w:marTop w:val="0"/>
          <w:marBottom w:val="0"/>
          <w:divBdr>
            <w:top w:val="none" w:sz="0" w:space="0" w:color="auto"/>
            <w:left w:val="none" w:sz="0" w:space="0" w:color="auto"/>
            <w:bottom w:val="none" w:sz="0" w:space="0" w:color="auto"/>
            <w:right w:val="none" w:sz="0" w:space="0" w:color="auto"/>
          </w:divBdr>
          <w:divsChild>
            <w:div w:id="1131827687">
              <w:marLeft w:val="0"/>
              <w:marRight w:val="0"/>
              <w:marTop w:val="0"/>
              <w:marBottom w:val="0"/>
              <w:divBdr>
                <w:top w:val="none" w:sz="0" w:space="0" w:color="auto"/>
                <w:left w:val="none" w:sz="0" w:space="0" w:color="auto"/>
                <w:bottom w:val="none" w:sz="0" w:space="0" w:color="auto"/>
                <w:right w:val="none" w:sz="0" w:space="0" w:color="auto"/>
              </w:divBdr>
              <w:divsChild>
                <w:div w:id="929779933">
                  <w:marLeft w:val="120"/>
                  <w:marRight w:val="120"/>
                  <w:marTop w:val="0"/>
                  <w:marBottom w:val="0"/>
                  <w:divBdr>
                    <w:top w:val="none" w:sz="0" w:space="0" w:color="auto"/>
                    <w:left w:val="none" w:sz="0" w:space="0" w:color="auto"/>
                    <w:bottom w:val="none" w:sz="0" w:space="0" w:color="auto"/>
                    <w:right w:val="none" w:sz="0" w:space="0" w:color="auto"/>
                  </w:divBdr>
                  <w:divsChild>
                    <w:div w:id="1121649989">
                      <w:marLeft w:val="0"/>
                      <w:marRight w:val="0"/>
                      <w:marTop w:val="0"/>
                      <w:marBottom w:val="0"/>
                      <w:divBdr>
                        <w:top w:val="none" w:sz="0" w:space="0" w:color="auto"/>
                        <w:left w:val="none" w:sz="0" w:space="0" w:color="auto"/>
                        <w:bottom w:val="none" w:sz="0" w:space="0" w:color="auto"/>
                        <w:right w:val="none" w:sz="0" w:space="0" w:color="auto"/>
                      </w:divBdr>
                      <w:divsChild>
                        <w:div w:id="1653756892">
                          <w:marLeft w:val="0"/>
                          <w:marRight w:val="0"/>
                          <w:marTop w:val="0"/>
                          <w:marBottom w:val="0"/>
                          <w:divBdr>
                            <w:top w:val="none" w:sz="0" w:space="0" w:color="auto"/>
                            <w:left w:val="none" w:sz="0" w:space="0" w:color="auto"/>
                            <w:bottom w:val="none" w:sz="0" w:space="0" w:color="auto"/>
                            <w:right w:val="none" w:sz="0" w:space="0" w:color="auto"/>
                          </w:divBdr>
                          <w:divsChild>
                            <w:div w:id="1346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43660">
      <w:bodyDiv w:val="1"/>
      <w:marLeft w:val="0"/>
      <w:marRight w:val="0"/>
      <w:marTop w:val="0"/>
      <w:marBottom w:val="0"/>
      <w:divBdr>
        <w:top w:val="none" w:sz="0" w:space="0" w:color="auto"/>
        <w:left w:val="none" w:sz="0" w:space="0" w:color="auto"/>
        <w:bottom w:val="none" w:sz="0" w:space="0" w:color="auto"/>
        <w:right w:val="none" w:sz="0" w:space="0" w:color="auto"/>
      </w:divBdr>
    </w:div>
    <w:div w:id="1054354656">
      <w:bodyDiv w:val="1"/>
      <w:marLeft w:val="0"/>
      <w:marRight w:val="0"/>
      <w:marTop w:val="0"/>
      <w:marBottom w:val="0"/>
      <w:divBdr>
        <w:top w:val="none" w:sz="0" w:space="0" w:color="auto"/>
        <w:left w:val="none" w:sz="0" w:space="0" w:color="auto"/>
        <w:bottom w:val="none" w:sz="0" w:space="0" w:color="auto"/>
        <w:right w:val="none" w:sz="0" w:space="0" w:color="auto"/>
      </w:divBdr>
    </w:div>
    <w:div w:id="1428624120">
      <w:bodyDiv w:val="1"/>
      <w:marLeft w:val="0"/>
      <w:marRight w:val="0"/>
      <w:marTop w:val="0"/>
      <w:marBottom w:val="0"/>
      <w:divBdr>
        <w:top w:val="none" w:sz="0" w:space="0" w:color="auto"/>
        <w:left w:val="none" w:sz="0" w:space="0" w:color="auto"/>
        <w:bottom w:val="none" w:sz="0" w:space="0" w:color="auto"/>
        <w:right w:val="none" w:sz="0" w:space="0" w:color="auto"/>
      </w:divBdr>
    </w:div>
    <w:div w:id="19046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pt.int/sites/default/files/Upload-files/AWG/APT-AWG-REP-41-APT_Report-FMC_Services.docx" TargetMode="External"/><Relationship Id="rId18" Type="http://schemas.openxmlformats.org/officeDocument/2006/relationships/hyperlink" Target="http://www.apt.int/sites/default/files/Upload-files/AWG/AWG-15-Circulars/AWG15-OUT-06-SPEC-Q-WAIC.docx" TargetMode="External"/><Relationship Id="rId26" Type="http://schemas.openxmlformats.org/officeDocument/2006/relationships/image" Target="media/image3.emf"/><Relationship Id="rId39" Type="http://schemas.openxmlformats.org/officeDocument/2006/relationships/hyperlink" Target="http://www.etsi.org/ITSWorkshop" TargetMode="External"/><Relationship Id="rId3" Type="http://schemas.microsoft.com/office/2007/relationships/stylesWithEffects" Target="stylesWithEffects.xml"/><Relationship Id="rId21" Type="http://schemas.openxmlformats.org/officeDocument/2006/relationships/hyperlink" Target="http://www.apt.int/sites/default/files/Upload-files/AWG/AWG-15-Circulars/AWG15-OUT-15-TECH-Q-Revision_APT_REP31.docx" TargetMode="External"/><Relationship Id="rId34" Type="http://schemas.openxmlformats.org/officeDocument/2006/relationships/oleObject" Target="embeddings/oleObject3.bin"/><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t.int/sites/default/files/Upload-files/AWG/APT-AWG-REP-40-APT_Survey_Report-FMC_Services.docx" TargetMode="External"/><Relationship Id="rId17" Type="http://schemas.openxmlformats.org/officeDocument/2006/relationships/hyperlink" Target="http://www.apt.int/sites/default/files/Upload-files/AWG/AWG-15-Circulars/AWG15-OUT-05-SPEC-Q-Ffrequency_bands_AI_1_1.docx" TargetMode="External"/><Relationship Id="rId25" Type="http://schemas.openxmlformats.org/officeDocument/2006/relationships/oleObject" Target="embeddings/oleObject1.bin"/><Relationship Id="rId33" Type="http://schemas.openxmlformats.org/officeDocument/2006/relationships/image" Target="media/image4.emf"/><Relationship Id="rId38"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hyperlink" Target="http://www.apt.int/sites/default/files/Upload-files/AWG/AWG-15-Circulars/AWG15-OUT-04-SPEC-Q-EESS.docx" TargetMode="External"/><Relationship Id="rId20" Type="http://schemas.openxmlformats.org/officeDocument/2006/relationships/hyperlink" Target="http://www.apt.int/sites/default/files/Upload-files/AWG/AWG-15-Circulars/AWG15-OUT-14-TECH-Q-Road_Sensor_Network.docx" TargetMode="External"/><Relationship Id="rId29" Type="http://schemas.openxmlformats.org/officeDocument/2006/relationships/hyperlink" Target="http://www.ic.gc.ca/eic/site/smt-gst.nsf/eng/sf10572.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t.int/sites/default/files/Upload-files/AWG/APT-AWG-REP-39-APT_Report_on_Reg_Spec_Requirement_Estimates.docx" TargetMode="External"/><Relationship Id="rId24" Type="http://schemas.openxmlformats.org/officeDocument/2006/relationships/image" Target="media/image2.emf"/><Relationship Id="rId32" Type="http://schemas.openxmlformats.org/officeDocument/2006/relationships/hyperlink" Target="http://apps.fcc.gov/ecfs/proceeding/view?name=RM-11640" TargetMode="External"/><Relationship Id="rId37" Type="http://schemas.openxmlformats.org/officeDocument/2006/relationships/image" Target="media/image5.emf"/><Relationship Id="rId40" Type="http://schemas.openxmlformats.org/officeDocument/2006/relationships/hyperlink" Target="http://webapp.etsi.org/meetingCalendar/MakeChoice.asp?mid=14705&amp;date=2014%2D02%2D12+09%3A00%3A00" TargetMode="External"/><Relationship Id="rId5" Type="http://schemas.openxmlformats.org/officeDocument/2006/relationships/webSettings" Target="webSettings.xml"/><Relationship Id="rId15" Type="http://schemas.openxmlformats.org/officeDocument/2006/relationships/hyperlink" Target="http://www.apt.int/sites/default/files/Upload-files/AWG/AWG-15-Circulars/AWG-Q-Circular-Sept2013.docx" TargetMode="External"/><Relationship Id="rId23" Type="http://schemas.openxmlformats.org/officeDocument/2006/relationships/hyperlink" Target="http://www.apt.int/sites/default/files/Upload-files/AWG/AWG-15-Circulars/AWG15-OUT-22-SA-Q-Air_to_Ground_communication.docx" TargetMode="External"/><Relationship Id="rId28" Type="http://schemas.openxmlformats.org/officeDocument/2006/relationships/hyperlink" Target="http://www.ic.gc.ca/spectrum" TargetMode="External"/><Relationship Id="rId36" Type="http://schemas.openxmlformats.org/officeDocument/2006/relationships/hyperlink" Target="http://www.fcc.gov/document/h-block-report-and-order" TargetMode="External"/><Relationship Id="rId10" Type="http://schemas.openxmlformats.org/officeDocument/2006/relationships/hyperlink" Target="http://www.apt.int/sites/default/files/Upload-files/AWG/APT-AWG-REP-38-APT_Report_on_PPDR.docx" TargetMode="External"/><Relationship Id="rId19" Type="http://schemas.openxmlformats.org/officeDocument/2006/relationships/hyperlink" Target="http://www.apt.int/sites/default/files/Upload-files/AWG/AWG-15-Circulars/AWG15-OUT-13-TECH-Q-Network_Synchronization.docx" TargetMode="External"/><Relationship Id="rId31" Type="http://schemas.openxmlformats.org/officeDocument/2006/relationships/hyperlink" Target="http://transition.fcc.gov/Daily_Releases/Daily_Business/2013/db0509/FCC-13-66A1.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pt.int/Publications" TargetMode="External"/><Relationship Id="rId14" Type="http://schemas.openxmlformats.org/officeDocument/2006/relationships/hyperlink" Target="http://www.apt.int/sites/default/files/Upload-files/AWG/APT-AWG-REP-42-APT_Report_on_M2M.docx" TargetMode="External"/><Relationship Id="rId22" Type="http://schemas.openxmlformats.org/officeDocument/2006/relationships/hyperlink" Target="http://www.apt.int/sites/default/files/Upload-files/AWG/AWG-15-Circulars/AWG15-OUT-21-SA-Q-Embeded_Narrow_Band_M2M_R1.docx" TargetMode="External"/><Relationship Id="rId27" Type="http://schemas.openxmlformats.org/officeDocument/2006/relationships/oleObject" Target="embeddings/oleObject2.bin"/><Relationship Id="rId30" Type="http://schemas.openxmlformats.org/officeDocument/2006/relationships/hyperlink" Target="http://www.ic.gc.ca/eic/site/smt-gst.nsf/eng/sf10614.html" TargetMode="External"/><Relationship Id="rId35" Type="http://schemas.openxmlformats.org/officeDocument/2006/relationships/hyperlink" Target="http://www.fcc.gov/encyclopedia/white-space-database-administration"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FORM01_Input_contribution[1]</Template>
  <TotalTime>43</TotalTime>
  <Pages>7</Pages>
  <Words>2102</Words>
  <Characters>14291</Characters>
  <Application>Microsoft Office Word</Application>
  <DocSecurity>0</DocSecurity>
  <Lines>119</Lines>
  <Paragraphs>32</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Cover page</vt:lpstr>
      <vt:lpstr>Cover page</vt:lpstr>
      <vt:lpstr>Cover page</vt:lpstr>
      <vt:lpstr>Cover page</vt:lpstr>
    </vt:vector>
  </TitlesOfParts>
  <Company>BNetzA</Company>
  <LinksUpToDate>false</LinksUpToDate>
  <CharactersWithSpaces>16361</CharactersWithSpaces>
  <SharedDoc>false</SharedDoc>
  <HLinks>
    <vt:vector size="108" baseType="variant">
      <vt:variant>
        <vt:i4>852063</vt:i4>
      </vt:variant>
      <vt:variant>
        <vt:i4>60</vt:i4>
      </vt:variant>
      <vt:variant>
        <vt:i4>0</vt:i4>
      </vt:variant>
      <vt:variant>
        <vt:i4>5</vt:i4>
      </vt:variant>
      <vt:variant>
        <vt:lpwstr>http://194.182.137.30/exchweb/bin/redir.asp?URL=https://docs.google.com/a/google.com/viewer?a=v%26pid=sites%26srcid=ZGVmYXVsdGRvbWFpbnx0dndzYWZyaWNhMjAxM3xneDoxODBhOTY5N2ZlZTFlMGM5</vt:lpwstr>
      </vt:variant>
      <vt:variant>
        <vt:lpwstr/>
      </vt:variant>
      <vt:variant>
        <vt:i4>6946924</vt:i4>
      </vt:variant>
      <vt:variant>
        <vt:i4>57</vt:i4>
      </vt:variant>
      <vt:variant>
        <vt:i4>0</vt:i4>
      </vt:variant>
      <vt:variant>
        <vt:i4>5</vt:i4>
      </vt:variant>
      <vt:variant>
        <vt:lpwstr>http://194.182.137.30/exchweb/bin/redir.asp?URL=http://www.tenet.ac.za/about-us/the-cape-town-tv-white-spaces-trial</vt:lpwstr>
      </vt:variant>
      <vt:variant>
        <vt:lpwstr/>
      </vt:variant>
      <vt:variant>
        <vt:i4>196684</vt:i4>
      </vt:variant>
      <vt:variant>
        <vt:i4>54</vt:i4>
      </vt:variant>
      <vt:variant>
        <vt:i4>0</vt:i4>
      </vt:variant>
      <vt:variant>
        <vt:i4>5</vt:i4>
      </vt:variant>
      <vt:variant>
        <vt:lpwstr>http://194.182.137.30/exchweb/bin/redir.asp?URL=https://docs.google.com/a/google.com/viewer?a=v%26pid=sites%26srcid=ZGVmYXVsdGRvbWFpbnx0dndzYWZyaWNhMjAxM3xneDo2MWY1ZjM0NTg4NmZmYTg5</vt:lpwstr>
      </vt:variant>
      <vt:variant>
        <vt:lpwstr/>
      </vt:variant>
      <vt:variant>
        <vt:i4>8192098</vt:i4>
      </vt:variant>
      <vt:variant>
        <vt:i4>51</vt:i4>
      </vt:variant>
      <vt:variant>
        <vt:i4>0</vt:i4>
      </vt:variant>
      <vt:variant>
        <vt:i4>5</vt:i4>
      </vt:variant>
      <vt:variant>
        <vt:lpwstr>http://194.182.137.30/exchweb/bin/redir.asp?URL=http://www.fiercebroadbandwireless.com/story/microsoft-unveils-tv-white-space-pilot-tanzania/2013-05-08</vt:lpwstr>
      </vt:variant>
      <vt:variant>
        <vt:lpwstr/>
      </vt:variant>
      <vt:variant>
        <vt:i4>7733298</vt:i4>
      </vt:variant>
      <vt:variant>
        <vt:i4>48</vt:i4>
      </vt:variant>
      <vt:variant>
        <vt:i4>0</vt:i4>
      </vt:variant>
      <vt:variant>
        <vt:i4>5</vt:i4>
      </vt:variant>
      <vt:variant>
        <vt:lpwstr>http://194.182.137.30/exchweb/bin/redir.asp?URL=https://sites.google.com/site/tvwsafrica2013/presentations</vt:lpwstr>
      </vt:variant>
      <vt:variant>
        <vt:lpwstr/>
      </vt:variant>
      <vt:variant>
        <vt:i4>4194384</vt:i4>
      </vt:variant>
      <vt:variant>
        <vt:i4>42</vt:i4>
      </vt:variant>
      <vt:variant>
        <vt:i4>0</vt:i4>
      </vt:variant>
      <vt:variant>
        <vt:i4>5</vt:i4>
      </vt:variant>
      <vt:variant>
        <vt:lpwstr>http://www.fcc.gov/document/expanding-access-broadband-and-encouraging-innovation</vt:lpwstr>
      </vt:variant>
      <vt:variant>
        <vt:lpwstr/>
      </vt:variant>
      <vt:variant>
        <vt:i4>1638468</vt:i4>
      </vt:variant>
      <vt:variant>
        <vt:i4>39</vt:i4>
      </vt:variant>
      <vt:variant>
        <vt:i4>0</vt:i4>
      </vt:variant>
      <vt:variant>
        <vt:i4>5</vt:i4>
      </vt:variant>
      <vt:variant>
        <vt:lpwstr>http://www.tra.gov.ae/news_UAE_TRA_ANNOUNCES_700_MHZ_BAND_PLAN_FOR_MOBILE_BROADBAND-514-1.php</vt:lpwstr>
      </vt:variant>
      <vt:variant>
        <vt:lpwstr/>
      </vt:variant>
      <vt:variant>
        <vt:i4>2818089</vt:i4>
      </vt:variant>
      <vt:variant>
        <vt:i4>33</vt:i4>
      </vt:variant>
      <vt:variant>
        <vt:i4>0</vt:i4>
      </vt:variant>
      <vt:variant>
        <vt:i4>5</vt:i4>
      </vt:variant>
      <vt:variant>
        <vt:lpwstr>http://www.apt.int/AFIS</vt:lpwstr>
      </vt:variant>
      <vt:variant>
        <vt:lpwstr/>
      </vt:variant>
      <vt:variant>
        <vt:i4>458865</vt:i4>
      </vt:variant>
      <vt:variant>
        <vt:i4>30</vt:i4>
      </vt:variant>
      <vt:variant>
        <vt:i4>0</vt:i4>
      </vt:variant>
      <vt:variant>
        <vt:i4>5</vt:i4>
      </vt:variant>
      <vt:variant>
        <vt:lpwstr>http://www.apt.int/sites/default/files/Upload-files/AWG/APT-AWG-REP-33-APT_Report_on_Satellite_Broadband_Applications.docx</vt:lpwstr>
      </vt:variant>
      <vt:variant>
        <vt:lpwstr/>
      </vt:variant>
      <vt:variant>
        <vt:i4>1245256</vt:i4>
      </vt:variant>
      <vt:variant>
        <vt:i4>27</vt:i4>
      </vt:variant>
      <vt:variant>
        <vt:i4>0</vt:i4>
      </vt:variant>
      <vt:variant>
        <vt:i4>5</vt:i4>
      </vt:variant>
      <vt:variant>
        <vt:lpwstr>http://www.apt.int/sites/default/files/Upload-files/AWG/APT-AWG-REP-34-APT_Report_on_Disaster_Mitigation.docx</vt:lpwstr>
      </vt:variant>
      <vt:variant>
        <vt:lpwstr/>
      </vt:variant>
      <vt:variant>
        <vt:i4>7995408</vt:i4>
      </vt:variant>
      <vt:variant>
        <vt:i4>24</vt:i4>
      </vt:variant>
      <vt:variant>
        <vt:i4>0</vt:i4>
      </vt:variant>
      <vt:variant>
        <vt:i4>5</vt:i4>
      </vt:variant>
      <vt:variant>
        <vt:lpwstr>http://www.apt.int/sites/default/files/Upload-files/AWG/APT-AWG-REP-18-R1-APT_Report_on_Usage_of_ITS.docx</vt:lpwstr>
      </vt:variant>
      <vt:variant>
        <vt:lpwstr/>
      </vt:variant>
      <vt:variant>
        <vt:i4>196691</vt:i4>
      </vt:variant>
      <vt:variant>
        <vt:i4>21</vt:i4>
      </vt:variant>
      <vt:variant>
        <vt:i4>0</vt:i4>
      </vt:variant>
      <vt:variant>
        <vt:i4>5</vt:i4>
      </vt:variant>
      <vt:variant>
        <vt:lpwstr>http://www.apt.int/sites/default/files/Upload-files/AWG/APT-AWG-REP-25-R1-APT_Report_on_Radio_Interference.docx</vt:lpwstr>
      </vt:variant>
      <vt:variant>
        <vt:lpwstr/>
      </vt:variant>
      <vt:variant>
        <vt:i4>6619144</vt:i4>
      </vt:variant>
      <vt:variant>
        <vt:i4>18</vt:i4>
      </vt:variant>
      <vt:variant>
        <vt:i4>0</vt:i4>
      </vt:variant>
      <vt:variant>
        <vt:i4>5</vt:i4>
      </vt:variant>
      <vt:variant>
        <vt:lpwstr>http://www.apt.int/sites/default/files/Upload-files/AWG/APT-AWG-REP-35-APT_Report_on_Frequency_bands_for_harmonized_use_of_SRDs.docx</vt:lpwstr>
      </vt:variant>
      <vt:variant>
        <vt:lpwstr/>
      </vt:variant>
      <vt:variant>
        <vt:i4>262239</vt:i4>
      </vt:variant>
      <vt:variant>
        <vt:i4>15</vt:i4>
      </vt:variant>
      <vt:variant>
        <vt:i4>0</vt:i4>
      </vt:variant>
      <vt:variant>
        <vt:i4>5</vt:i4>
      </vt:variant>
      <vt:variant>
        <vt:lpwstr>http://www.apt.int/sites/default/files/Upload-files/AWG/APT-AWG-REP-15-R1-APT_Report_on_Mobile_Freq-Tech-License.docx</vt:lpwstr>
      </vt:variant>
      <vt:variant>
        <vt:lpwstr/>
      </vt:variant>
      <vt:variant>
        <vt:i4>5636213</vt:i4>
      </vt:variant>
      <vt:variant>
        <vt:i4>12</vt:i4>
      </vt:variant>
      <vt:variant>
        <vt:i4>0</vt:i4>
      </vt:variant>
      <vt:variant>
        <vt:i4>5</vt:i4>
      </vt:variant>
      <vt:variant>
        <vt:lpwstr>http://www.apt.int/sites/default/files/Upload-files/AWG/APT-AWG-REP-37-APT_Report_on_3400-3600MHz.docx</vt:lpwstr>
      </vt:variant>
      <vt:variant>
        <vt:lpwstr/>
      </vt:variant>
      <vt:variant>
        <vt:i4>327722</vt:i4>
      </vt:variant>
      <vt:variant>
        <vt:i4>9</vt:i4>
      </vt:variant>
      <vt:variant>
        <vt:i4>0</vt:i4>
      </vt:variant>
      <vt:variant>
        <vt:i4>5</vt:i4>
      </vt:variant>
      <vt:variant>
        <vt:lpwstr>http://www.apt.int/sites/default/files/Upload-files/AWG/APT-AWG-REP-36-APT_Report_on_800MHz_Frequency_Arrangement.docx</vt:lpwstr>
      </vt:variant>
      <vt:variant>
        <vt:lpwstr/>
      </vt:variant>
      <vt:variant>
        <vt:i4>1966189</vt:i4>
      </vt:variant>
      <vt:variant>
        <vt:i4>3</vt:i4>
      </vt:variant>
      <vt:variant>
        <vt:i4>0</vt:i4>
      </vt:variant>
      <vt:variant>
        <vt:i4>5</vt:i4>
      </vt:variant>
      <vt:variant>
        <vt:lpwstr>http://194.182.137.30/exchweb/bin/redir.asp?URL=http://apps.fcc.gov/ecfs/comment_search/input.action?z=574gv</vt:lpwstr>
      </vt:variant>
      <vt:variant>
        <vt:lpwstr/>
      </vt:variant>
      <vt:variant>
        <vt:i4>3407922</vt:i4>
      </vt:variant>
      <vt:variant>
        <vt:i4>0</vt:i4>
      </vt:variant>
      <vt:variant>
        <vt:i4>0</vt:i4>
      </vt:variant>
      <vt:variant>
        <vt:i4>5</vt:i4>
      </vt:variant>
      <vt:variant>
        <vt:lpwstr>http://www.fcc.gov/document/5-ghz-unlicensed-spectrum-unii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Mark Thomas</cp:lastModifiedBy>
  <cp:revision>5</cp:revision>
  <cp:lastPrinted>1999-09-27T13:20:00Z</cp:lastPrinted>
  <dcterms:created xsi:type="dcterms:W3CDTF">2013-10-29T09:55:00Z</dcterms:created>
  <dcterms:modified xsi:type="dcterms:W3CDTF">2013-10-30T09:09:00Z</dcterms:modified>
</cp:coreProperties>
</file>