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36"/>
        <w:gridCol w:w="2487"/>
        <w:gridCol w:w="1724"/>
        <w:gridCol w:w="3555"/>
        <w:gridCol w:w="38"/>
      </w:tblGrid>
      <w:tr w:rsidR="00346C62" w:rsidRPr="0098621D">
        <w:trPr>
          <w:cantSplit/>
        </w:trPr>
        <w:tc>
          <w:tcPr>
            <w:tcW w:w="6071" w:type="dxa"/>
            <w:gridSpan w:val="3"/>
            <w:tcBorders>
              <w:top w:val="nil"/>
              <w:left w:val="nil"/>
              <w:bottom w:val="nil"/>
              <w:right w:val="nil"/>
            </w:tcBorders>
          </w:tcPr>
          <w:p w:rsidR="00346C62" w:rsidRPr="0098621D" w:rsidRDefault="005723B3" w:rsidP="00215746">
            <w:pPr>
              <w:pStyle w:val="Kopfzeile1"/>
            </w:pPr>
            <w:r>
              <w:rPr>
                <w:noProof/>
                <w:lang w:val="fr-FR" w:eastAsia="fr-FR"/>
              </w:rPr>
              <w:drawing>
                <wp:inline distT="0" distB="0" distL="0" distR="0" wp14:anchorId="1B1F7EA1" wp14:editId="22499F36">
                  <wp:extent cx="1619250" cy="82867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828675"/>
                          </a:xfrm>
                          <a:prstGeom prst="rect">
                            <a:avLst/>
                          </a:prstGeom>
                          <a:noFill/>
                          <a:ln>
                            <a:noFill/>
                          </a:ln>
                        </pic:spPr>
                      </pic:pic>
                    </a:graphicData>
                  </a:graphic>
                </wp:inline>
              </w:drawing>
            </w:r>
            <w:r w:rsidR="00ED7AEC">
              <w:t>Plenary</w:t>
            </w:r>
          </w:p>
          <w:p w:rsidR="00346C62" w:rsidRPr="0098621D" w:rsidRDefault="00346C62" w:rsidP="00215746">
            <w:pPr>
              <w:pStyle w:val="Kopfzeile1"/>
              <w:rPr>
                <w:rFonts w:cs="Arial"/>
                <w:color w:val="000000"/>
              </w:rPr>
            </w:pPr>
          </w:p>
        </w:tc>
        <w:tc>
          <w:tcPr>
            <w:tcW w:w="3569" w:type="dxa"/>
            <w:gridSpan w:val="2"/>
            <w:tcBorders>
              <w:top w:val="nil"/>
              <w:left w:val="nil"/>
              <w:bottom w:val="nil"/>
              <w:right w:val="nil"/>
            </w:tcBorders>
          </w:tcPr>
          <w:p w:rsidR="00346C62" w:rsidRPr="00346C62" w:rsidRDefault="0098621D" w:rsidP="00F1392E">
            <w:pPr>
              <w:pStyle w:val="Kopfzeile1"/>
              <w:tabs>
                <w:tab w:val="clear" w:pos="4536"/>
                <w:tab w:val="right" w:pos="3357"/>
              </w:tabs>
            </w:pPr>
            <w:r>
              <w:tab/>
            </w:r>
            <w:r w:rsidR="00533846">
              <w:t>Doc</w:t>
            </w:r>
            <w:r w:rsidR="00ED7AEC">
              <w:t>. ECC(1</w:t>
            </w:r>
            <w:r w:rsidR="007601AD">
              <w:t>4</w:t>
            </w:r>
            <w:r w:rsidR="00ED7AEC">
              <w:t>)</w:t>
            </w:r>
            <w:r w:rsidR="00E27FC3">
              <w:t>0</w:t>
            </w:r>
            <w:r w:rsidR="00F1392E">
              <w:t>49</w:t>
            </w:r>
          </w:p>
        </w:tc>
      </w:tr>
      <w:tr w:rsidR="00346C62" w:rsidRPr="0098621D">
        <w:tblPrEx>
          <w:tblCellMar>
            <w:left w:w="108" w:type="dxa"/>
            <w:right w:w="108" w:type="dxa"/>
          </w:tblCellMar>
        </w:tblPrEx>
        <w:trPr>
          <w:gridAfter w:val="1"/>
          <w:wAfter w:w="38" w:type="dxa"/>
          <w:cantSplit/>
          <w:trHeight w:val="405"/>
        </w:trPr>
        <w:tc>
          <w:tcPr>
            <w:tcW w:w="4340" w:type="dxa"/>
            <w:gridSpan w:val="2"/>
            <w:tcBorders>
              <w:top w:val="nil"/>
              <w:left w:val="nil"/>
              <w:bottom w:val="nil"/>
              <w:right w:val="nil"/>
            </w:tcBorders>
            <w:vAlign w:val="center"/>
          </w:tcPr>
          <w:p w:rsidR="00346C62" w:rsidRPr="00D149DA" w:rsidRDefault="00D149DA" w:rsidP="00697E9B">
            <w:pPr>
              <w:pStyle w:val="Kopfzeile1"/>
            </w:pPr>
            <w:r>
              <w:t>3</w:t>
            </w:r>
            <w:r w:rsidR="00697E9B">
              <w:t>7</w:t>
            </w:r>
            <w:r w:rsidR="001F724C" w:rsidRPr="001F724C">
              <w:rPr>
                <w:vertAlign w:val="superscript"/>
              </w:rPr>
              <w:t>th</w:t>
            </w:r>
            <w:r w:rsidR="001F724C">
              <w:t xml:space="preserve"> </w:t>
            </w:r>
            <w:r w:rsidR="001E0E49" w:rsidRPr="00D149DA">
              <w:t>Meeting</w:t>
            </w:r>
          </w:p>
        </w:tc>
        <w:tc>
          <w:tcPr>
            <w:tcW w:w="5300" w:type="dxa"/>
            <w:gridSpan w:val="2"/>
            <w:tcBorders>
              <w:top w:val="nil"/>
              <w:left w:val="nil"/>
              <w:bottom w:val="nil"/>
              <w:right w:val="nil"/>
            </w:tcBorders>
            <w:vAlign w:val="center"/>
          </w:tcPr>
          <w:p w:rsidR="00346C62" w:rsidRPr="0098621D" w:rsidRDefault="00346C62" w:rsidP="00215746">
            <w:pPr>
              <w:pStyle w:val="Kopfzeile1"/>
            </w:pPr>
          </w:p>
        </w:tc>
      </w:tr>
      <w:tr w:rsidR="00346C62" w:rsidRPr="0098621D">
        <w:tblPrEx>
          <w:tblCellMar>
            <w:left w:w="108" w:type="dxa"/>
            <w:right w:w="108" w:type="dxa"/>
          </w:tblCellMar>
        </w:tblPrEx>
        <w:trPr>
          <w:gridAfter w:val="1"/>
          <w:wAfter w:w="38" w:type="dxa"/>
          <w:cantSplit/>
          <w:trHeight w:val="405"/>
        </w:trPr>
        <w:tc>
          <w:tcPr>
            <w:tcW w:w="4340" w:type="dxa"/>
            <w:gridSpan w:val="2"/>
            <w:tcBorders>
              <w:top w:val="nil"/>
              <w:left w:val="nil"/>
              <w:bottom w:val="nil"/>
              <w:right w:val="nil"/>
            </w:tcBorders>
            <w:vAlign w:val="center"/>
          </w:tcPr>
          <w:p w:rsidR="00346C62" w:rsidRPr="00D149DA" w:rsidRDefault="00697E9B" w:rsidP="00697E9B">
            <w:pPr>
              <w:pStyle w:val="Kopfzeile1"/>
            </w:pPr>
            <w:r>
              <w:t>Aarhus</w:t>
            </w:r>
            <w:r w:rsidR="007601AD" w:rsidRPr="007601AD">
              <w:t xml:space="preserve">, </w:t>
            </w:r>
            <w:r>
              <w:t>24 – 27 June</w:t>
            </w:r>
            <w:r w:rsidR="007601AD" w:rsidRPr="007601AD">
              <w:t xml:space="preserve"> 2014</w:t>
            </w:r>
          </w:p>
        </w:tc>
        <w:tc>
          <w:tcPr>
            <w:tcW w:w="5300" w:type="dxa"/>
            <w:gridSpan w:val="2"/>
            <w:tcBorders>
              <w:top w:val="nil"/>
              <w:left w:val="nil"/>
              <w:bottom w:val="nil"/>
              <w:right w:val="nil"/>
            </w:tcBorders>
            <w:vAlign w:val="center"/>
          </w:tcPr>
          <w:p w:rsidR="00346C62" w:rsidRPr="0098621D" w:rsidRDefault="00346C62" w:rsidP="00215746">
            <w:pPr>
              <w:pStyle w:val="Kopfzeile1"/>
            </w:pPr>
          </w:p>
        </w:tc>
      </w:tr>
      <w:tr w:rsidR="00F05B26" w:rsidRPr="0098621D">
        <w:tblPrEx>
          <w:tblCellMar>
            <w:left w:w="108" w:type="dxa"/>
            <w:right w:w="108" w:type="dxa"/>
          </w:tblCellMar>
        </w:tblPrEx>
        <w:trPr>
          <w:gridAfter w:val="1"/>
          <w:wAfter w:w="38" w:type="dxa"/>
          <w:cantSplit/>
          <w:trHeight w:val="80"/>
        </w:trPr>
        <w:tc>
          <w:tcPr>
            <w:tcW w:w="4340" w:type="dxa"/>
            <w:gridSpan w:val="2"/>
            <w:tcBorders>
              <w:top w:val="nil"/>
              <w:left w:val="nil"/>
              <w:bottom w:val="nil"/>
              <w:right w:val="nil"/>
            </w:tcBorders>
            <w:vAlign w:val="center"/>
          </w:tcPr>
          <w:p w:rsidR="00F05B26" w:rsidRPr="00D149DA" w:rsidRDefault="00F05B26" w:rsidP="00215746">
            <w:pPr>
              <w:pStyle w:val="Kopfzeile1"/>
              <w:rPr>
                <w:sz w:val="8"/>
              </w:rPr>
            </w:pPr>
          </w:p>
        </w:tc>
        <w:tc>
          <w:tcPr>
            <w:tcW w:w="5300" w:type="dxa"/>
            <w:gridSpan w:val="2"/>
            <w:tcBorders>
              <w:top w:val="nil"/>
              <w:left w:val="nil"/>
              <w:bottom w:val="nil"/>
              <w:right w:val="nil"/>
            </w:tcBorders>
            <w:vAlign w:val="center"/>
          </w:tcPr>
          <w:p w:rsidR="00F05B26" w:rsidRPr="0098621D" w:rsidRDefault="00F05B26" w:rsidP="00215746">
            <w:pPr>
              <w:pStyle w:val="Kopfzeile1"/>
              <w:rPr>
                <w:sz w:val="8"/>
              </w:rPr>
            </w:pPr>
          </w:p>
        </w:tc>
      </w:tr>
      <w:tr w:rsidR="00F05B26" w:rsidRPr="0098621D">
        <w:tblPrEx>
          <w:tblCellMar>
            <w:left w:w="108" w:type="dxa"/>
            <w:right w:w="108" w:type="dxa"/>
          </w:tblCellMar>
        </w:tblPrEx>
        <w:trPr>
          <w:gridAfter w:val="1"/>
          <w:wAfter w:w="38" w:type="dxa"/>
          <w:cantSplit/>
          <w:trHeight w:val="405"/>
        </w:trPr>
        <w:tc>
          <w:tcPr>
            <w:tcW w:w="1843" w:type="dxa"/>
            <w:tcBorders>
              <w:top w:val="nil"/>
              <w:left w:val="nil"/>
              <w:bottom w:val="nil"/>
              <w:right w:val="nil"/>
            </w:tcBorders>
            <w:vAlign w:val="center"/>
          </w:tcPr>
          <w:p w:rsidR="00F05B26" w:rsidRPr="00D149DA" w:rsidRDefault="00F05B26" w:rsidP="00215746">
            <w:pPr>
              <w:pStyle w:val="Kopfzeile1"/>
            </w:pPr>
            <w:r w:rsidRPr="00D149DA">
              <w:t>Date issued:</w:t>
            </w:r>
            <w:r w:rsidR="005269EA" w:rsidRPr="00D149DA">
              <w:t xml:space="preserve"> </w:t>
            </w:r>
          </w:p>
        </w:tc>
        <w:tc>
          <w:tcPr>
            <w:tcW w:w="7797" w:type="dxa"/>
            <w:gridSpan w:val="3"/>
            <w:tcBorders>
              <w:top w:val="nil"/>
              <w:left w:val="nil"/>
              <w:bottom w:val="nil"/>
              <w:right w:val="nil"/>
            </w:tcBorders>
            <w:vAlign w:val="center"/>
          </w:tcPr>
          <w:p w:rsidR="00F05B26" w:rsidRPr="0098621D" w:rsidRDefault="00697E9B" w:rsidP="00F1392E">
            <w:pPr>
              <w:pStyle w:val="Kopfzeile1"/>
            </w:pPr>
            <w:r>
              <w:t>1</w:t>
            </w:r>
            <w:r w:rsidR="00F1392E">
              <w:t>9</w:t>
            </w:r>
            <w:bookmarkStart w:id="0" w:name="_GoBack"/>
            <w:bookmarkEnd w:id="0"/>
            <w:r>
              <w:t xml:space="preserve"> June </w:t>
            </w:r>
            <w:r w:rsidR="00A82B1F">
              <w:t>201</w:t>
            </w:r>
            <w:r w:rsidR="007601AD">
              <w:t>4</w:t>
            </w:r>
          </w:p>
        </w:tc>
      </w:tr>
      <w:tr w:rsidR="00F05B26" w:rsidRPr="0098621D">
        <w:tblPrEx>
          <w:tblCellMar>
            <w:left w:w="108" w:type="dxa"/>
            <w:right w:w="108" w:type="dxa"/>
          </w:tblCellMar>
        </w:tblPrEx>
        <w:trPr>
          <w:gridAfter w:val="1"/>
          <w:wAfter w:w="38" w:type="dxa"/>
          <w:cantSplit/>
          <w:trHeight w:val="405"/>
        </w:trPr>
        <w:tc>
          <w:tcPr>
            <w:tcW w:w="1843" w:type="dxa"/>
            <w:tcBorders>
              <w:top w:val="nil"/>
              <w:left w:val="nil"/>
              <w:bottom w:val="nil"/>
              <w:right w:val="nil"/>
            </w:tcBorders>
            <w:vAlign w:val="center"/>
          </w:tcPr>
          <w:p w:rsidR="00F05B26" w:rsidRPr="00D149DA" w:rsidRDefault="00F05B26" w:rsidP="00215746">
            <w:pPr>
              <w:pStyle w:val="Kopfzeile1"/>
            </w:pPr>
            <w:r w:rsidRPr="00D149DA">
              <w:t>Source:</w:t>
            </w:r>
            <w:r w:rsidR="00ED7AEC" w:rsidRPr="00D149DA">
              <w:t xml:space="preserve"> </w:t>
            </w:r>
          </w:p>
        </w:tc>
        <w:tc>
          <w:tcPr>
            <w:tcW w:w="7797" w:type="dxa"/>
            <w:gridSpan w:val="3"/>
            <w:tcBorders>
              <w:top w:val="nil"/>
              <w:left w:val="nil"/>
              <w:bottom w:val="nil"/>
              <w:right w:val="nil"/>
            </w:tcBorders>
            <w:vAlign w:val="center"/>
          </w:tcPr>
          <w:p w:rsidR="00F05B26" w:rsidRPr="0098621D" w:rsidRDefault="00A82B1F" w:rsidP="00215746">
            <w:pPr>
              <w:pStyle w:val="Kopfzeile1"/>
            </w:pPr>
            <w:r>
              <w:t>ECO</w:t>
            </w:r>
          </w:p>
        </w:tc>
      </w:tr>
      <w:tr w:rsidR="00F05B26" w:rsidRPr="0098621D">
        <w:tblPrEx>
          <w:tblCellMar>
            <w:left w:w="108" w:type="dxa"/>
            <w:right w:w="108" w:type="dxa"/>
          </w:tblCellMar>
        </w:tblPrEx>
        <w:trPr>
          <w:gridAfter w:val="1"/>
          <w:wAfter w:w="38" w:type="dxa"/>
          <w:cantSplit/>
          <w:trHeight w:val="405"/>
        </w:trPr>
        <w:tc>
          <w:tcPr>
            <w:tcW w:w="1843" w:type="dxa"/>
            <w:tcBorders>
              <w:top w:val="nil"/>
              <w:left w:val="nil"/>
              <w:bottom w:val="nil"/>
              <w:right w:val="nil"/>
            </w:tcBorders>
            <w:vAlign w:val="center"/>
          </w:tcPr>
          <w:p w:rsidR="00F05B26" w:rsidRPr="00D149DA" w:rsidRDefault="00F05B26" w:rsidP="00215746">
            <w:pPr>
              <w:pStyle w:val="Kopfzeile1"/>
            </w:pPr>
            <w:r w:rsidRPr="00D149DA">
              <w:t>Subject:</w:t>
            </w:r>
            <w:r w:rsidR="005269EA" w:rsidRPr="00D149DA">
              <w:t xml:space="preserve"> </w:t>
            </w:r>
          </w:p>
        </w:tc>
        <w:tc>
          <w:tcPr>
            <w:tcW w:w="7797" w:type="dxa"/>
            <w:gridSpan w:val="3"/>
            <w:tcBorders>
              <w:top w:val="nil"/>
              <w:left w:val="nil"/>
              <w:bottom w:val="nil"/>
              <w:right w:val="nil"/>
            </w:tcBorders>
            <w:vAlign w:val="center"/>
          </w:tcPr>
          <w:p w:rsidR="00F05B26" w:rsidRPr="001E0E49" w:rsidRDefault="00A82B1F" w:rsidP="001E0E49">
            <w:pPr>
              <w:pStyle w:val="Kopfzeile1"/>
            </w:pPr>
            <w:r w:rsidRPr="00A82B1F">
              <w:t>ECO Bulletin on on</w:t>
            </w:r>
            <w:r>
              <w:t>-</w:t>
            </w:r>
            <w:r w:rsidRPr="00A82B1F">
              <w:t>going/new issues in other regions or organisations</w:t>
            </w:r>
          </w:p>
        </w:tc>
      </w:tr>
      <w:tr w:rsidR="00493F86" w:rsidRPr="0098621D" w:rsidTr="00FF320E">
        <w:tblPrEx>
          <w:tblCellMar>
            <w:left w:w="108" w:type="dxa"/>
            <w:right w:w="108" w:type="dxa"/>
          </w:tblCellMar>
        </w:tblPrEx>
        <w:trPr>
          <w:gridAfter w:val="1"/>
          <w:wAfter w:w="38" w:type="dxa"/>
          <w:cantSplit/>
          <w:trHeight w:val="1040"/>
        </w:trPr>
        <w:tc>
          <w:tcPr>
            <w:tcW w:w="9640" w:type="dxa"/>
            <w:gridSpan w:val="4"/>
            <w:tcBorders>
              <w:top w:val="nil"/>
              <w:left w:val="nil"/>
              <w:bottom w:val="nil"/>
              <w:right w:val="nil"/>
            </w:tcBorders>
            <w:vAlign w:val="center"/>
          </w:tcPr>
          <w:p w:rsidR="00493F86" w:rsidRPr="006D7413" w:rsidRDefault="005723B3" w:rsidP="00FF320E">
            <w:pPr>
              <w:rPr>
                <w:rFonts w:cs="Arial"/>
                <w:szCs w:val="24"/>
              </w:rPr>
            </w:pPr>
            <w:r>
              <w:rPr>
                <w:noProof/>
                <w:lang w:val="fr-FR" w:eastAsia="fr-FR"/>
              </w:rPr>
              <mc:AlternateContent>
                <mc:Choice Requires="wps">
                  <w:drawing>
                    <wp:anchor distT="0" distB="0" distL="114300" distR="114300" simplePos="0" relativeHeight="251657728" behindDoc="1" locked="0" layoutInCell="1" allowOverlap="1" wp14:anchorId="7D6DA159" wp14:editId="71D3BF27">
                      <wp:simplePos x="0" y="0"/>
                      <wp:positionH relativeFrom="column">
                        <wp:posOffset>3263900</wp:posOffset>
                      </wp:positionH>
                      <wp:positionV relativeFrom="paragraph">
                        <wp:posOffset>193675</wp:posOffset>
                      </wp:positionV>
                      <wp:extent cx="457200" cy="271145"/>
                      <wp:effectExtent l="0" t="0" r="19050" b="14605"/>
                      <wp:wrapTight wrapText="bothSides">
                        <wp:wrapPolygon edited="0">
                          <wp:start x="0" y="0"/>
                          <wp:lineTo x="0" y="21246"/>
                          <wp:lineTo x="21600" y="2124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DF1FBB" w:rsidRPr="00254FD9" w:rsidRDefault="00DF1FBB" w:rsidP="005348B2">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7pt;margin-top:15.25pt;width:36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">
                      <v:textbox>
                        <w:txbxContent>
                          <w:p w:rsidR="00DF1FBB" w:rsidRPr="00254FD9" w:rsidRDefault="00DF1FBB" w:rsidP="005348B2">
                            <w:pPr>
                              <w:spacing w:after="0"/>
                              <w:jc w:val="center"/>
                              <w:rPr>
                                <w:rFonts w:cs="Arial"/>
                                <w:szCs w:val="24"/>
                                <w:lang w:val="de-DE"/>
                              </w:rPr>
                            </w:pPr>
                            <w:r>
                              <w:rPr>
                                <w:rFonts w:cs="Arial"/>
                                <w:szCs w:val="24"/>
                                <w:lang w:val="de-DE"/>
                              </w:rPr>
                              <w:t>N</w:t>
                            </w:r>
                          </w:p>
                        </w:txbxContent>
                      </v:textbox>
                      <w10:wrap type="tight"/>
                    </v:shape>
                  </w:pict>
                </mc:Fallback>
              </mc:AlternateContent>
            </w:r>
          </w:p>
          <w:p w:rsidR="00493F86" w:rsidRDefault="001D181E" w:rsidP="00FF320E">
            <w:r>
              <w:t>Group membership</w:t>
            </w:r>
            <w:r w:rsidR="00493F86" w:rsidRPr="0016435A">
              <w:t xml:space="preserve"> required</w:t>
            </w:r>
            <w:r>
              <w:t xml:space="preserve"> </w:t>
            </w:r>
            <w:proofErr w:type="gramStart"/>
            <w:r>
              <w:t>to read</w:t>
            </w:r>
            <w:proofErr w:type="gramEnd"/>
            <w:r>
              <w:t>? (Y/N)</w:t>
            </w:r>
          </w:p>
          <w:p w:rsidR="00493F86" w:rsidRPr="00DD103C" w:rsidRDefault="00493F86" w:rsidP="00FF320E">
            <w:pPr>
              <w:pStyle w:val="Header1"/>
              <w:rPr>
                <w:lang w:eastAsia="de-DE"/>
              </w:rPr>
            </w:pPr>
          </w:p>
        </w:tc>
      </w:tr>
      <w:tr w:rsidR="00493F86" w:rsidRPr="0098621D" w:rsidTr="00FF320E">
        <w:tblPrEx>
          <w:tblCellMar>
            <w:left w:w="108" w:type="dxa"/>
            <w:right w:w="108" w:type="dxa"/>
          </w:tblCellMar>
        </w:tblPrEx>
        <w:trPr>
          <w:gridAfter w:val="1"/>
          <w:wAfter w:w="38" w:type="dxa"/>
          <w:cantSplit/>
          <w:trHeight w:hRule="exact" w:val="74"/>
        </w:trPr>
        <w:tc>
          <w:tcPr>
            <w:tcW w:w="9640" w:type="dxa"/>
            <w:gridSpan w:val="4"/>
            <w:tcBorders>
              <w:top w:val="nil"/>
              <w:left w:val="nil"/>
              <w:bottom w:val="nil"/>
              <w:right w:val="nil"/>
            </w:tcBorders>
            <w:vAlign w:val="center"/>
          </w:tcPr>
          <w:p w:rsidR="00493F86" w:rsidRPr="003D778B" w:rsidRDefault="00493F86" w:rsidP="00FF320E">
            <w:pPr>
              <w:pStyle w:val="Header1"/>
              <w:rPr>
                <w:lang w:eastAsia="de-DE"/>
              </w:rPr>
            </w:pPr>
          </w:p>
          <w:p w:rsidR="00493F86" w:rsidRPr="0098621D" w:rsidRDefault="00493F86" w:rsidP="00FF320E">
            <w:pPr>
              <w:pStyle w:val="Header1"/>
              <w:rPr>
                <w:sz w:val="8"/>
                <w:lang w:eastAsia="de-DE"/>
              </w:rPr>
            </w:pP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5"/>
            <w:tcBorders>
              <w:bottom w:val="nil"/>
            </w:tcBorders>
          </w:tcPr>
          <w:p w:rsidR="001E0E49" w:rsidRDefault="001E0E49" w:rsidP="001E0E49">
            <w:pPr>
              <w:pStyle w:val="Kopfzeile1"/>
              <w:rPr>
                <w:lang w:val="en-US"/>
              </w:rPr>
            </w:pPr>
            <w:r w:rsidRPr="001E0E49">
              <w:rPr>
                <w:lang w:val="en-US"/>
              </w:rPr>
              <w:t>Summary:</w:t>
            </w:r>
            <w:r>
              <w:rPr>
                <w:lang w:val="en-US"/>
              </w:rPr>
              <w:t xml:space="preserve"> </w:t>
            </w:r>
          </w:p>
        </w:tc>
      </w:tr>
      <w:tr w:rsidR="001E0E49" w:rsidRPr="0052322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5"/>
            <w:tcBorders>
              <w:top w:val="nil"/>
              <w:bottom w:val="single" w:sz="4" w:space="0" w:color="auto"/>
            </w:tcBorders>
          </w:tcPr>
          <w:p w:rsidR="001E0E49" w:rsidRPr="00523220" w:rsidRDefault="00A82B1F" w:rsidP="008E4001">
            <w:r w:rsidRPr="00523220">
              <w:t xml:space="preserve">This </w:t>
            </w:r>
            <w:r w:rsidR="00977355" w:rsidRPr="00523220">
              <w:t xml:space="preserve">ECO Bulletin </w:t>
            </w:r>
            <w:r w:rsidRPr="00523220">
              <w:t xml:space="preserve">provides a summary update on aspects of </w:t>
            </w:r>
            <w:r w:rsidR="008E4001" w:rsidRPr="00523220">
              <w:t xml:space="preserve">progress </w:t>
            </w:r>
            <w:r w:rsidR="00061978" w:rsidRPr="00523220">
              <w:t xml:space="preserve">in spectrum management </w:t>
            </w:r>
            <w:r w:rsidR="00D765E7" w:rsidRPr="00523220">
              <w:t>outside the CEPT</w:t>
            </w:r>
            <w:r w:rsidRPr="00523220">
              <w:t>. The</w:t>
            </w:r>
            <w:r w:rsidR="008E4001" w:rsidRPr="00523220">
              <w:t xml:space="preserve"> items </w:t>
            </w:r>
            <w:r w:rsidR="00421CAC" w:rsidRPr="00523220">
              <w:t xml:space="preserve">in this bulletin </w:t>
            </w:r>
            <w:r w:rsidR="008E4001" w:rsidRPr="00523220">
              <w:t>include:</w:t>
            </w:r>
          </w:p>
          <w:p w:rsidR="00916B79" w:rsidRPr="00523220" w:rsidRDefault="00E92AE8" w:rsidP="007601AD">
            <w:pPr>
              <w:pStyle w:val="Paragraphedeliste"/>
              <w:numPr>
                <w:ilvl w:val="0"/>
                <w:numId w:val="18"/>
              </w:numPr>
            </w:pPr>
            <w:r w:rsidRPr="00E92AE8">
              <w:t xml:space="preserve">AT&amp;T seeks regulatory approval for DA2GC </w:t>
            </w:r>
            <w:r>
              <w:t xml:space="preserve">(Direct Air To Ground Communications) </w:t>
            </w:r>
            <w:r w:rsidRPr="00E92AE8">
              <w:t>in the USA</w:t>
            </w:r>
            <w:r w:rsidR="00916B79" w:rsidRPr="00523220">
              <w:t>;</w:t>
            </w:r>
          </w:p>
          <w:p w:rsidR="00100372" w:rsidRPr="00523220" w:rsidRDefault="00E92AE8" w:rsidP="00100372">
            <w:pPr>
              <w:pStyle w:val="Paragraphedeliste"/>
              <w:numPr>
                <w:ilvl w:val="0"/>
                <w:numId w:val="18"/>
              </w:numPr>
            </w:pPr>
            <w:r w:rsidRPr="00E92AE8">
              <w:t>DA2GC testing in China and Australia</w:t>
            </w:r>
            <w:r w:rsidR="006B2227" w:rsidRPr="00523220">
              <w:t>;</w:t>
            </w:r>
          </w:p>
          <w:p w:rsidR="00980A99" w:rsidRPr="00F1392E" w:rsidRDefault="00E92AE8" w:rsidP="00100372">
            <w:pPr>
              <w:pStyle w:val="Paragraphedeliste"/>
              <w:numPr>
                <w:ilvl w:val="0"/>
                <w:numId w:val="18"/>
              </w:numPr>
              <w:rPr>
                <w:lang w:val="fr-FR"/>
              </w:rPr>
            </w:pPr>
            <w:r w:rsidRPr="00F1392E">
              <w:rPr>
                <w:lang w:val="fr-FR"/>
              </w:rPr>
              <w:t xml:space="preserve">Update </w:t>
            </w:r>
            <w:proofErr w:type="spellStart"/>
            <w:r w:rsidRPr="00F1392E">
              <w:rPr>
                <w:lang w:val="fr-FR"/>
              </w:rPr>
              <w:t>from</w:t>
            </w:r>
            <w:proofErr w:type="spellEnd"/>
            <w:r w:rsidRPr="00F1392E">
              <w:rPr>
                <w:lang w:val="fr-FR"/>
              </w:rPr>
              <w:t xml:space="preserve"> APT (new APT Reports, questionnaires etc.)</w:t>
            </w:r>
            <w:r w:rsidR="00980A99" w:rsidRPr="00F1392E">
              <w:rPr>
                <w:lang w:val="fr-FR"/>
              </w:rPr>
              <w:t>;</w:t>
            </w:r>
          </w:p>
          <w:p w:rsidR="00677187" w:rsidRDefault="00677187" w:rsidP="00677187">
            <w:pPr>
              <w:pStyle w:val="Paragraphedeliste"/>
              <w:numPr>
                <w:ilvl w:val="0"/>
                <w:numId w:val="18"/>
              </w:numPr>
            </w:pPr>
            <w:r w:rsidRPr="00677187">
              <w:t xml:space="preserve">FCC - 5 GHz U-NII </w:t>
            </w:r>
            <w:r>
              <w:t xml:space="preserve"> - existing </w:t>
            </w:r>
            <w:r w:rsidR="00982D6E">
              <w:t xml:space="preserve">U-NII </w:t>
            </w:r>
            <w:r>
              <w:t xml:space="preserve">bands – </w:t>
            </w:r>
            <w:r w:rsidR="00982D6E">
              <w:t xml:space="preserve">with regards to </w:t>
            </w:r>
            <w:r>
              <w:t>changes;</w:t>
            </w:r>
          </w:p>
          <w:p w:rsidR="00677187" w:rsidRDefault="00677187" w:rsidP="00677187">
            <w:pPr>
              <w:pStyle w:val="Paragraphedeliste"/>
              <w:numPr>
                <w:ilvl w:val="0"/>
                <w:numId w:val="18"/>
              </w:numPr>
            </w:pPr>
            <w:r>
              <w:t xml:space="preserve">FCC/IEEE actions concerning new proposed </w:t>
            </w:r>
            <w:r w:rsidR="00982D6E">
              <w:t>‘</w:t>
            </w:r>
            <w:r>
              <w:t>UNII-4</w:t>
            </w:r>
            <w:r w:rsidR="00982D6E">
              <w:t>’</w:t>
            </w:r>
            <w:r>
              <w:t xml:space="preserve"> band 5850-5925 MHz, also with regard to coexistence specifications;</w:t>
            </w:r>
          </w:p>
          <w:p w:rsidR="00677187" w:rsidRDefault="00677187" w:rsidP="00677187">
            <w:pPr>
              <w:pStyle w:val="Paragraphedeliste"/>
              <w:numPr>
                <w:ilvl w:val="0"/>
                <w:numId w:val="18"/>
              </w:numPr>
            </w:pPr>
            <w:r w:rsidRPr="00677187">
              <w:t>FCC unveils framework for the spectrum incentive auction - 600 MHz band plan</w:t>
            </w:r>
            <w:r>
              <w:t>;</w:t>
            </w:r>
          </w:p>
          <w:p w:rsidR="00677187" w:rsidRDefault="00677187" w:rsidP="00677187">
            <w:pPr>
              <w:pStyle w:val="Paragraphedeliste"/>
              <w:numPr>
                <w:ilvl w:val="0"/>
                <w:numId w:val="18"/>
              </w:numPr>
            </w:pPr>
            <w:r w:rsidRPr="00677187">
              <w:t>FCC actions regarding 3550-3650 MHz (Spectrum Access System ‘SAS’)</w:t>
            </w:r>
            <w:r>
              <w:t>;</w:t>
            </w:r>
          </w:p>
          <w:p w:rsidR="00677187" w:rsidRPr="00677187" w:rsidRDefault="00677187" w:rsidP="00677187">
            <w:pPr>
              <w:pStyle w:val="Paragraphedeliste"/>
              <w:numPr>
                <w:ilvl w:val="0"/>
                <w:numId w:val="18"/>
              </w:numPr>
            </w:pPr>
            <w:r w:rsidRPr="00677187">
              <w:t>Australian Spectrum Review</w:t>
            </w:r>
            <w:r>
              <w:t>;</w:t>
            </w:r>
          </w:p>
          <w:p w:rsidR="00677187" w:rsidRDefault="00677187" w:rsidP="00677187">
            <w:pPr>
              <w:pStyle w:val="Paragraphedeliste"/>
              <w:numPr>
                <w:ilvl w:val="0"/>
                <w:numId w:val="18"/>
              </w:numPr>
            </w:pPr>
            <w:r w:rsidRPr="00677187">
              <w:t>FCC – Report and Order on Rules for Upcoming Auctions</w:t>
            </w:r>
            <w:r>
              <w:t>;</w:t>
            </w:r>
          </w:p>
          <w:p w:rsidR="00677187" w:rsidRPr="00677187" w:rsidRDefault="00677187" w:rsidP="00677187">
            <w:pPr>
              <w:pStyle w:val="Paragraphedeliste"/>
              <w:numPr>
                <w:ilvl w:val="0"/>
                <w:numId w:val="18"/>
              </w:numPr>
            </w:pPr>
            <w:r w:rsidRPr="00677187">
              <w:t>FCC Workshop on GPS Protection and Receiver Performance</w:t>
            </w:r>
            <w:r>
              <w:t>;</w:t>
            </w:r>
          </w:p>
          <w:p w:rsidR="000C0A61" w:rsidRDefault="00677187" w:rsidP="00677187">
            <w:pPr>
              <w:pStyle w:val="Paragraphedeliste"/>
              <w:numPr>
                <w:ilvl w:val="0"/>
                <w:numId w:val="18"/>
              </w:numPr>
            </w:pPr>
            <w:r w:rsidRPr="00677187">
              <w:t>CITEL – Status of Preparations for WRC-15</w:t>
            </w:r>
          </w:p>
          <w:p w:rsidR="00976BDD" w:rsidRPr="00523220" w:rsidRDefault="00976BDD" w:rsidP="00677187">
            <w:pPr>
              <w:pStyle w:val="Paragraphedeliste"/>
              <w:numPr>
                <w:ilvl w:val="0"/>
                <w:numId w:val="18"/>
              </w:numPr>
            </w:pPr>
            <w:r>
              <w:t>Worldwide activities on Short Range Device usage harmonisation</w:t>
            </w:r>
          </w:p>
        </w:tc>
      </w:tr>
    </w:tbl>
    <w:p w:rsidR="00421CAC" w:rsidRPr="00523220" w:rsidRDefault="00421CAC">
      <w:r w:rsidRPr="00523220">
        <w:rPr>
          <w:b/>
        </w:rPr>
        <w:br w:type="page"/>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0"/>
      </w:tblGrid>
      <w:tr w:rsidR="001E0E49" w:rsidRPr="00523220" w:rsidTr="004002F7">
        <w:trPr>
          <w:cantSplit/>
          <w:trHeight w:val="443"/>
        </w:trPr>
        <w:tc>
          <w:tcPr>
            <w:tcW w:w="9640" w:type="dxa"/>
            <w:tcBorders>
              <w:bottom w:val="nil"/>
            </w:tcBorders>
          </w:tcPr>
          <w:p w:rsidR="001E0E49" w:rsidRPr="00523220" w:rsidRDefault="001E0E49" w:rsidP="001E0E49">
            <w:pPr>
              <w:pStyle w:val="Kopfzeile1"/>
            </w:pPr>
            <w:r w:rsidRPr="00523220">
              <w:lastRenderedPageBreak/>
              <w:t xml:space="preserve">Proposal: </w:t>
            </w:r>
          </w:p>
        </w:tc>
      </w:tr>
      <w:tr w:rsidR="001E0E49" w:rsidRPr="00523220" w:rsidTr="004002F7">
        <w:trPr>
          <w:cantSplit/>
          <w:trHeight w:val="945"/>
        </w:trPr>
        <w:tc>
          <w:tcPr>
            <w:tcW w:w="9640" w:type="dxa"/>
            <w:tcBorders>
              <w:top w:val="nil"/>
              <w:bottom w:val="single" w:sz="4" w:space="0" w:color="auto"/>
            </w:tcBorders>
          </w:tcPr>
          <w:p w:rsidR="00977355" w:rsidRPr="00523220" w:rsidRDefault="00A82B1F" w:rsidP="001E0E49">
            <w:r w:rsidRPr="00523220">
              <w:t>Thi</w:t>
            </w:r>
            <w:r w:rsidR="00154CD8">
              <w:t>s bulletin is to note by the ECC Plenary</w:t>
            </w:r>
            <w:r w:rsidRPr="00523220">
              <w:t>. More detailed input on some of the subjects covered is being input to the groups dealing with the respective subject</w:t>
            </w:r>
            <w:r w:rsidR="00E2376B" w:rsidRPr="00523220">
              <w:t>s</w:t>
            </w:r>
            <w:r w:rsidRPr="00523220">
              <w:t>.</w:t>
            </w:r>
          </w:p>
          <w:p w:rsidR="00154CD8" w:rsidRDefault="00690A9D" w:rsidP="00980A99">
            <w:r w:rsidRPr="00523220">
              <w:t xml:space="preserve">Several </w:t>
            </w:r>
            <w:r w:rsidR="00980A99" w:rsidRPr="00523220">
              <w:t xml:space="preserve">of the </w:t>
            </w:r>
            <w:r w:rsidRPr="00523220">
              <w:t xml:space="preserve">issues </w:t>
            </w:r>
            <w:r w:rsidR="00154CD8">
              <w:t xml:space="preserve">covered in this bulletin </w:t>
            </w:r>
            <w:r w:rsidR="00980A99" w:rsidRPr="00523220">
              <w:t>should be noted or discussed at the respective WG/ PT level</w:t>
            </w:r>
            <w:r w:rsidR="00154CD8">
              <w:t xml:space="preserve">.  This includes </w:t>
            </w:r>
            <w:r w:rsidR="00980A99" w:rsidRPr="00523220">
              <w:t xml:space="preserve">information related to </w:t>
            </w:r>
            <w:r w:rsidR="00677187">
              <w:t xml:space="preserve">DA2GC, GNSS jammers, </w:t>
            </w:r>
            <w:r w:rsidR="00154CD8">
              <w:t xml:space="preserve">and the US </w:t>
            </w:r>
            <w:r w:rsidR="00677187" w:rsidRPr="00677187">
              <w:t xml:space="preserve">proposed </w:t>
            </w:r>
            <w:r w:rsidR="00677187">
              <w:t>‘</w:t>
            </w:r>
            <w:r w:rsidR="00677187" w:rsidRPr="00677187">
              <w:t>UNII-4 band</w:t>
            </w:r>
            <w:r w:rsidR="00677187">
              <w:t>’</w:t>
            </w:r>
            <w:r w:rsidR="00677187" w:rsidRPr="00677187">
              <w:t xml:space="preserve"> 5850-5925 </w:t>
            </w:r>
            <w:proofErr w:type="spellStart"/>
            <w:r w:rsidR="00677187" w:rsidRPr="00677187">
              <w:t>MHz</w:t>
            </w:r>
            <w:r w:rsidR="00677187">
              <w:t>.</w:t>
            </w:r>
            <w:proofErr w:type="spellEnd"/>
          </w:p>
          <w:p w:rsidR="00890C4D" w:rsidRDefault="00982D6E" w:rsidP="00980A99">
            <w:r>
              <w:t>The concept of the FCC for a new Part 96 on SAS (Spectrum Access Systems) is proposed to give some consideration in the ECC since it combines priority access (similar to LSA) and general authorised use in a way that could possibly lead to more efficient use of the spectrum.</w:t>
            </w:r>
          </w:p>
          <w:p w:rsidR="00C24300" w:rsidRDefault="00C24300" w:rsidP="00980A99">
            <w:r>
              <w:t>Some presentations from the workshop on SRD/UWB on 3 June 2014 (as per CEPT initiative) revealed activities e.g. in Korea, and the USA, for which no activity is noted so far in the ECC:  e.g. on high power wireless charging such as for electric cars with and without communications, or UWB medical applications</w:t>
            </w:r>
            <w:r w:rsidRPr="00C24300">
              <w:t>.</w:t>
            </w:r>
          </w:p>
          <w:p w:rsidR="00E2376B" w:rsidRPr="00523220" w:rsidRDefault="00890C4D" w:rsidP="00677187">
            <w:r>
              <w:t xml:space="preserve">Some topics were covered in the ECC-ECC-IC liaison meeting in September 2013, but this bulletin provides more comprehensive detail and an update (e.g. </w:t>
            </w:r>
            <w:r w:rsidR="00677187">
              <w:t xml:space="preserve">on </w:t>
            </w:r>
            <w:r>
              <w:t>600 MHz incentive auction in the US).</w:t>
            </w:r>
            <w:r w:rsidR="00980A99" w:rsidRPr="00523220">
              <w:t xml:space="preserve"> </w:t>
            </w:r>
          </w:p>
        </w:tc>
      </w:tr>
      <w:tr w:rsidR="001E0E49" w:rsidRPr="00523220" w:rsidTr="004002F7">
        <w:trPr>
          <w:cantSplit/>
          <w:trHeight w:val="431"/>
        </w:trPr>
        <w:tc>
          <w:tcPr>
            <w:tcW w:w="9640" w:type="dxa"/>
            <w:tcBorders>
              <w:bottom w:val="nil"/>
            </w:tcBorders>
          </w:tcPr>
          <w:p w:rsidR="001E0E49" w:rsidRPr="00523220" w:rsidRDefault="001E0E49" w:rsidP="001E0E49">
            <w:pPr>
              <w:pStyle w:val="Kopfzeile1"/>
            </w:pPr>
            <w:r w:rsidRPr="00523220">
              <w:t>Background:</w:t>
            </w:r>
            <w:r w:rsidR="00ED7AEC" w:rsidRPr="00523220">
              <w:t xml:space="preserve"> </w:t>
            </w:r>
          </w:p>
        </w:tc>
      </w:tr>
      <w:tr w:rsidR="001E0E49" w:rsidRPr="00523220" w:rsidTr="004002F7">
        <w:trPr>
          <w:cantSplit/>
          <w:trHeight w:val="784"/>
        </w:trPr>
        <w:tc>
          <w:tcPr>
            <w:tcW w:w="9640" w:type="dxa"/>
            <w:tcBorders>
              <w:top w:val="nil"/>
              <w:bottom w:val="single" w:sz="4" w:space="0" w:color="auto"/>
            </w:tcBorders>
          </w:tcPr>
          <w:p w:rsidR="000B27FA" w:rsidRPr="00523220" w:rsidRDefault="00A82B1F" w:rsidP="004002F7">
            <w:pPr>
              <w:rPr>
                <w:bCs/>
                <w:szCs w:val="24"/>
              </w:rPr>
            </w:pPr>
            <w:r w:rsidRPr="00523220">
              <w:rPr>
                <w:bCs/>
                <w:szCs w:val="24"/>
              </w:rPr>
              <w:t xml:space="preserve">The Office brings to each ECC meeting a bulletin on activities in radio communications in other world regions, where a regulatory dimension is raised (e.g. by innovative services or technology). </w:t>
            </w:r>
          </w:p>
          <w:p w:rsidR="001E0E49" w:rsidRPr="00523220" w:rsidRDefault="00A82B1F" w:rsidP="004002F7">
            <w:pPr>
              <w:rPr>
                <w:bCs/>
                <w:szCs w:val="24"/>
              </w:rPr>
            </w:pPr>
            <w:r w:rsidRPr="00523220">
              <w:rPr>
                <w:bCs/>
                <w:szCs w:val="24"/>
              </w:rPr>
              <w:t>The primary objective is to identify whether the ECC needs to investigate further or consider possible new actions. A secondary but more frequently addressed objective is to enable comparison to be made with the regulatory approach in other regions to subjects already treated by the ECC (including, where relevant, to the work of the CPG).</w:t>
            </w:r>
          </w:p>
        </w:tc>
      </w:tr>
    </w:tbl>
    <w:p w:rsidR="00E43F97" w:rsidRPr="00523220" w:rsidRDefault="00E43F97" w:rsidP="00E71841">
      <w:pPr>
        <w:ind w:left="360"/>
        <w:rPr>
          <w:b/>
          <w:sz w:val="28"/>
          <w:szCs w:val="28"/>
        </w:rPr>
      </w:pPr>
    </w:p>
    <w:p w:rsidR="00E71841" w:rsidRPr="00523220" w:rsidRDefault="00E43F97" w:rsidP="00E71841">
      <w:pPr>
        <w:ind w:left="360"/>
        <w:rPr>
          <w:b/>
          <w:sz w:val="28"/>
          <w:szCs w:val="28"/>
        </w:rPr>
      </w:pPr>
      <w:r w:rsidRPr="00523220">
        <w:rPr>
          <w:b/>
          <w:sz w:val="28"/>
          <w:szCs w:val="28"/>
        </w:rPr>
        <w:br w:type="page"/>
      </w:r>
    </w:p>
    <w:p w:rsidR="00916B79" w:rsidRPr="00523220" w:rsidRDefault="00697E9B" w:rsidP="00697E9B">
      <w:pPr>
        <w:pStyle w:val="Paragraphedeliste"/>
        <w:numPr>
          <w:ilvl w:val="0"/>
          <w:numId w:val="33"/>
        </w:numPr>
        <w:spacing w:after="0"/>
        <w:rPr>
          <w:b/>
          <w:sz w:val="28"/>
          <w:szCs w:val="28"/>
        </w:rPr>
      </w:pPr>
      <w:r w:rsidRPr="00697E9B">
        <w:rPr>
          <w:b/>
          <w:sz w:val="28"/>
          <w:szCs w:val="28"/>
        </w:rPr>
        <w:lastRenderedPageBreak/>
        <w:t>AT&amp;T seeks regulatory approval for DA2GC in the USA</w:t>
      </w:r>
    </w:p>
    <w:p w:rsidR="00697E9B" w:rsidRDefault="00697E9B" w:rsidP="00697E9B"/>
    <w:p w:rsidR="00697E9B" w:rsidRDefault="00697E9B" w:rsidP="00697E9B">
      <w:r>
        <w:t xml:space="preserve">Telecom operator AT&amp;T announced on 5 May 2014 </w:t>
      </w:r>
      <w:r w:rsidR="00154CD8">
        <w:t>that it seeks</w:t>
      </w:r>
      <w:r>
        <w:t xml:space="preserve"> to use frequencies</w:t>
      </w:r>
      <w:r w:rsidR="00154CD8">
        <w:t xml:space="preserve"> </w:t>
      </w:r>
      <w:r w:rsidR="00671707">
        <w:t>in its ownership</w:t>
      </w:r>
      <w:r>
        <w:t xml:space="preserve"> in the 2.3 GHz Wireless Communication Service (WCS) band in the USA for a nation-wide Direct-Air-to-Ground Communications System. AT&amp;T will need permission from the FCC to make use of the spectrum in that way.</w:t>
      </w:r>
    </w:p>
    <w:p w:rsidR="00697E9B" w:rsidRDefault="00697E9B" w:rsidP="00697E9B">
      <w:r>
        <w:t>In addition, an FAA approval process applies. AT&amp;T wants to use 2x5 MHz of spectrum (4G LTE, FDD mode) and plans to build ≥ 1 000 towers (ground stations) for such a system in the USA. The system would be a second DA2GCS in the USA</w:t>
      </w:r>
      <w:r w:rsidR="00154CD8">
        <w:t>,</w:t>
      </w:r>
      <w:r>
        <w:t xml:space="preserve"> after the existing </w:t>
      </w:r>
      <w:proofErr w:type="spellStart"/>
      <w:r>
        <w:t>Gogo</w:t>
      </w:r>
      <w:proofErr w:type="spellEnd"/>
      <w:r>
        <w:t>-system.</w:t>
      </w:r>
    </w:p>
    <w:p w:rsidR="00697E9B" w:rsidRDefault="00697E9B" w:rsidP="00697E9B">
      <w:r>
        <w:t>AT&amp;T has a p</w:t>
      </w:r>
      <w:r w:rsidRPr="00697E9B">
        <w:t xml:space="preserve">artnership with Honeywell </w:t>
      </w:r>
      <w:r>
        <w:t xml:space="preserve">and indicates that the </w:t>
      </w:r>
      <w:r w:rsidRPr="00697E9B">
        <w:t>high-speed 4G LTE</w:t>
      </w:r>
      <w:r w:rsidR="00154CD8">
        <w:t>-</w:t>
      </w:r>
      <w:r w:rsidRPr="00697E9B">
        <w:t xml:space="preserve">based in-flight connectivity service </w:t>
      </w:r>
      <w:r>
        <w:t xml:space="preserve">is </w:t>
      </w:r>
      <w:r w:rsidRPr="00697E9B">
        <w:t>for airlines and passengers in commercial, business and general aviation</w:t>
      </w:r>
      <w:r w:rsidR="00D151F6">
        <w:t>, and that AT&amp;T sees a significant market opportunity for such services.</w:t>
      </w:r>
    </w:p>
    <w:p w:rsidR="00697E9B" w:rsidRDefault="00154CD8" w:rsidP="00697E9B">
      <w:r>
        <w:t>The AT&amp;T a</w:t>
      </w:r>
      <w:r w:rsidR="00D151F6">
        <w:t>nnouncement</w:t>
      </w:r>
      <w:r>
        <w:t xml:space="preserve"> is in the following</w:t>
      </w:r>
      <w:r w:rsidR="00D151F6">
        <w:t xml:space="preserve">: </w:t>
      </w:r>
      <w:hyperlink r:id="rId10" w:history="1">
        <w:r w:rsidR="00D151F6" w:rsidRPr="00D151F6">
          <w:rPr>
            <w:rStyle w:val="Lienhypertexte"/>
          </w:rPr>
          <w:t>Link</w:t>
        </w:r>
      </w:hyperlink>
    </w:p>
    <w:p w:rsidR="00D151F6" w:rsidRDefault="00D151F6" w:rsidP="00697E9B">
      <w:r>
        <w:t>AT&amp;T</w:t>
      </w:r>
      <w:r w:rsidR="00671707">
        <w:t xml:space="preserve"> bought</w:t>
      </w:r>
      <w:r w:rsidR="000B39F4">
        <w:t xml:space="preserve"> </w:t>
      </w:r>
      <w:r>
        <w:t xml:space="preserve">the 2.3 GHz </w:t>
      </w:r>
      <w:r w:rsidR="007C415E">
        <w:t>US-</w:t>
      </w:r>
      <w:r>
        <w:t xml:space="preserve">nationwide spectrum from </w:t>
      </w:r>
      <w:proofErr w:type="spellStart"/>
      <w:r w:rsidRPr="00D151F6">
        <w:t>Nextwave</w:t>
      </w:r>
      <w:proofErr w:type="spellEnd"/>
      <w:r w:rsidRPr="00D151F6">
        <w:t xml:space="preserve"> </w:t>
      </w:r>
      <w:r>
        <w:t>in 2012, including more than the 2x5 MHz of spectrum, for 600 M</w:t>
      </w:r>
      <w:r w:rsidR="00671707">
        <w:t>$</w:t>
      </w:r>
      <w:r>
        <w:t xml:space="preserve">US. </w:t>
      </w:r>
      <w:r w:rsidR="007C415E">
        <w:t>Although this purchase included more items, the spectrum opportunity costs may be significant for 2x5 MHz of nationwide available spectrum</w:t>
      </w:r>
      <w:r w:rsidR="00671707">
        <w:t xml:space="preserve">.  </w:t>
      </w:r>
      <w:proofErr w:type="gramStart"/>
      <w:r w:rsidR="00671707">
        <w:t>T</w:t>
      </w:r>
      <w:r w:rsidR="007C415E">
        <w:t xml:space="preserve">he decision to use this spectrum for DA2GC </w:t>
      </w:r>
      <w:r w:rsidR="00671707">
        <w:t xml:space="preserve">therefore may be </w:t>
      </w:r>
      <w:r w:rsidR="007C415E">
        <w:t>surprising</w:t>
      </w:r>
      <w:r w:rsidR="00671707">
        <w:t>,</w:t>
      </w:r>
      <w:r w:rsidR="007C415E">
        <w:t xml:space="preserve"> but </w:t>
      </w:r>
      <w:r w:rsidR="00671707">
        <w:t xml:space="preserve">it is certainly </w:t>
      </w:r>
      <w:r w:rsidR="007C415E">
        <w:t>deliberate.</w:t>
      </w:r>
      <w:proofErr w:type="gramEnd"/>
    </w:p>
    <w:p w:rsidR="00677187" w:rsidRDefault="00677187" w:rsidP="00697E9B"/>
    <w:p w:rsidR="007C415E" w:rsidRPr="007C415E" w:rsidRDefault="007C415E" w:rsidP="007C415E">
      <w:pPr>
        <w:pStyle w:val="Paragraphedeliste"/>
        <w:numPr>
          <w:ilvl w:val="0"/>
          <w:numId w:val="33"/>
        </w:numPr>
        <w:spacing w:after="0"/>
        <w:rPr>
          <w:b/>
          <w:sz w:val="28"/>
          <w:szCs w:val="28"/>
        </w:rPr>
      </w:pPr>
      <w:r w:rsidRPr="007C415E">
        <w:rPr>
          <w:b/>
          <w:sz w:val="28"/>
          <w:szCs w:val="28"/>
        </w:rPr>
        <w:t>DA2GC testing in China and Australia</w:t>
      </w:r>
    </w:p>
    <w:p w:rsidR="007C415E" w:rsidRDefault="007C415E" w:rsidP="00697E9B"/>
    <w:p w:rsidR="007C415E" w:rsidRDefault="007C415E" w:rsidP="00697E9B">
      <w:r>
        <w:t xml:space="preserve">DA2GC testing was performed in China and Australia based on 4G LTE technology. </w:t>
      </w:r>
    </w:p>
    <w:p w:rsidR="00D151F6" w:rsidRPr="00D151F6" w:rsidRDefault="00D151F6" w:rsidP="007C415E">
      <w:r w:rsidRPr="00D151F6">
        <w:t>China</w:t>
      </w:r>
      <w:r w:rsidR="007C415E">
        <w:t xml:space="preserve"> (announced in April 2014)</w:t>
      </w:r>
      <w:r w:rsidRPr="00D151F6">
        <w:t>:</w:t>
      </w:r>
    </w:p>
    <w:p w:rsidR="00D151F6" w:rsidRPr="00D151F6" w:rsidRDefault="00B55292" w:rsidP="00D151F6">
      <w:pPr>
        <w:spacing w:after="0"/>
        <w:jc w:val="left"/>
        <w:rPr>
          <w:rFonts w:ascii="Calibri" w:hAnsi="Calibri"/>
          <w:sz w:val="20"/>
          <w:lang w:eastAsia="da-DK"/>
        </w:rPr>
      </w:pPr>
      <w:hyperlink r:id="rId11" w:history="1">
        <w:r w:rsidR="007C415E" w:rsidRPr="007941C2">
          <w:rPr>
            <w:rStyle w:val="Lienhypertexte"/>
            <w:rFonts w:ascii="Calibri" w:hAnsi="Calibri"/>
            <w:sz w:val="20"/>
            <w:lang w:eastAsia="da-DK"/>
          </w:rPr>
          <w:t>http://wwwen.zte.com.cn/en/press_center/news/201404/t20140418_422565.html</w:t>
        </w:r>
        <w:r w:rsidR="007C415E" w:rsidRPr="007C415E">
          <w:rPr>
            <w:rStyle w:val="Lienhypertexte"/>
            <w:rFonts w:ascii="Calibri" w:hAnsi="Calibri"/>
            <w:sz w:val="20"/>
            <w:lang w:eastAsia="da-DK"/>
          </w:rPr>
          <w:t xml:space="preserve"> (18</w:t>
        </w:r>
      </w:hyperlink>
      <w:r w:rsidR="007C415E" w:rsidRPr="007C415E">
        <w:rPr>
          <w:rFonts w:ascii="Calibri" w:hAnsi="Calibri"/>
          <w:sz w:val="20"/>
          <w:lang w:eastAsia="da-DK"/>
        </w:rPr>
        <w:t xml:space="preserve"> </w:t>
      </w:r>
    </w:p>
    <w:p w:rsidR="00D151F6" w:rsidRPr="00D151F6" w:rsidRDefault="00D151F6" w:rsidP="00D151F6">
      <w:pPr>
        <w:spacing w:after="0"/>
        <w:jc w:val="left"/>
        <w:rPr>
          <w:rFonts w:ascii="Calibri" w:hAnsi="Calibri"/>
          <w:sz w:val="20"/>
          <w:lang w:val="en-US" w:eastAsia="da-DK"/>
        </w:rPr>
      </w:pPr>
    </w:p>
    <w:p w:rsidR="00D151F6" w:rsidRPr="00D151F6" w:rsidRDefault="00D151F6" w:rsidP="007C415E">
      <w:r w:rsidRPr="00D151F6">
        <w:t>Australi</w:t>
      </w:r>
      <w:r w:rsidR="007C415E">
        <w:t>a (announced in May 2014)</w:t>
      </w:r>
      <w:r w:rsidRPr="00D151F6">
        <w:t>:</w:t>
      </w:r>
    </w:p>
    <w:p w:rsidR="00D151F6" w:rsidRPr="00D151F6" w:rsidRDefault="00B55292" w:rsidP="00D151F6">
      <w:pPr>
        <w:spacing w:after="0"/>
        <w:jc w:val="left"/>
        <w:rPr>
          <w:rFonts w:ascii="Calibri" w:hAnsi="Calibri"/>
          <w:sz w:val="20"/>
          <w:lang w:val="en-US" w:eastAsia="da-DK"/>
        </w:rPr>
      </w:pPr>
      <w:hyperlink r:id="rId12" w:history="1">
        <w:r w:rsidR="00D151F6" w:rsidRPr="00D151F6">
          <w:rPr>
            <w:rFonts w:ascii="Calibri" w:hAnsi="Calibri"/>
            <w:color w:val="0000FF"/>
            <w:sz w:val="20"/>
            <w:u w:val="single"/>
            <w:lang w:val="en-US" w:eastAsia="da-DK"/>
          </w:rPr>
          <w:t>http://delimiter.com.au/2014/05/12/telstra-testing-flight-4g-broadband/</w:t>
        </w:r>
      </w:hyperlink>
    </w:p>
    <w:p w:rsidR="00697E9B" w:rsidRDefault="00697E9B" w:rsidP="00697E9B">
      <w:pPr>
        <w:rPr>
          <w:lang w:val="en-US"/>
        </w:rPr>
      </w:pPr>
    </w:p>
    <w:p w:rsidR="007C415E" w:rsidRDefault="007C415E" w:rsidP="007C415E">
      <w:pPr>
        <w:rPr>
          <w:lang w:val="en-US"/>
        </w:rPr>
      </w:pPr>
      <w:r>
        <w:rPr>
          <w:lang w:val="en-US"/>
        </w:rPr>
        <w:t xml:space="preserve">In response to an APT questionnaire on DA2GC, the Chinese administration indicated that more than 50% of the future </w:t>
      </w:r>
      <w:r w:rsidRPr="007C415E">
        <w:rPr>
          <w:lang w:val="en-US"/>
        </w:rPr>
        <w:t xml:space="preserve">market size </w:t>
      </w:r>
      <w:r>
        <w:rPr>
          <w:lang w:val="en-US"/>
        </w:rPr>
        <w:t>(p</w:t>
      </w:r>
      <w:r w:rsidRPr="007C415E">
        <w:rPr>
          <w:lang w:val="en-US"/>
        </w:rPr>
        <w:t xml:space="preserve">ercentage of all airplanes in </w:t>
      </w:r>
      <w:r>
        <w:rPr>
          <w:lang w:val="en-US"/>
        </w:rPr>
        <w:t xml:space="preserve">a </w:t>
      </w:r>
      <w:r w:rsidRPr="007C415E">
        <w:rPr>
          <w:lang w:val="en-US"/>
        </w:rPr>
        <w:t>country</w:t>
      </w:r>
      <w:r w:rsidR="006C7D8C">
        <w:rPr>
          <w:lang w:val="en-US"/>
        </w:rPr>
        <w:t xml:space="preserve">) are expected </w:t>
      </w:r>
      <w:proofErr w:type="gramStart"/>
      <w:r w:rsidR="006C7D8C">
        <w:rPr>
          <w:lang w:val="en-US"/>
        </w:rPr>
        <w:t xml:space="preserve">to </w:t>
      </w:r>
      <w:r w:rsidRPr="007C415E">
        <w:rPr>
          <w:lang w:val="en-US"/>
        </w:rPr>
        <w:t xml:space="preserve"> use</w:t>
      </w:r>
      <w:proofErr w:type="gramEnd"/>
      <w:r w:rsidRPr="007C415E">
        <w:rPr>
          <w:lang w:val="en-US"/>
        </w:rPr>
        <w:t xml:space="preserve"> </w:t>
      </w:r>
      <w:r>
        <w:rPr>
          <w:lang w:val="en-US"/>
        </w:rPr>
        <w:t>the DA2GC applications</w:t>
      </w:r>
      <w:r w:rsidR="006C7D8C">
        <w:rPr>
          <w:lang w:val="en-US"/>
        </w:rPr>
        <w:t>. TELSTRA (Australia) referred in their response to the investigations/ developments in Europe</w:t>
      </w:r>
      <w:r w:rsidR="000B39F4">
        <w:rPr>
          <w:lang w:val="en-US"/>
        </w:rPr>
        <w:t>,</w:t>
      </w:r>
      <w:r w:rsidR="006C7D8C">
        <w:rPr>
          <w:lang w:val="en-US"/>
        </w:rPr>
        <w:t xml:space="preserve"> which </w:t>
      </w:r>
      <w:r w:rsidR="00671707">
        <w:rPr>
          <w:lang w:val="en-US"/>
        </w:rPr>
        <w:t xml:space="preserve">they </w:t>
      </w:r>
      <w:r w:rsidR="006C7D8C">
        <w:rPr>
          <w:lang w:val="en-US"/>
        </w:rPr>
        <w:t>are monitor</w:t>
      </w:r>
      <w:r w:rsidR="00671707">
        <w:rPr>
          <w:lang w:val="en-US"/>
        </w:rPr>
        <w:t>ing</w:t>
      </w:r>
      <w:r w:rsidR="006C7D8C">
        <w:rPr>
          <w:lang w:val="en-US"/>
        </w:rPr>
        <w:t>.</w:t>
      </w:r>
    </w:p>
    <w:p w:rsidR="006C7D8C" w:rsidRDefault="006C7D8C" w:rsidP="007C415E">
      <w:pPr>
        <w:rPr>
          <w:lang w:val="en-US"/>
        </w:rPr>
      </w:pPr>
    </w:p>
    <w:p w:rsidR="006C7D8C" w:rsidRPr="006C7D8C" w:rsidRDefault="006C7D8C" w:rsidP="006C7D8C">
      <w:pPr>
        <w:pStyle w:val="Paragraphedeliste"/>
        <w:numPr>
          <w:ilvl w:val="0"/>
          <w:numId w:val="33"/>
        </w:numPr>
        <w:spacing w:after="0"/>
        <w:rPr>
          <w:b/>
          <w:sz w:val="28"/>
          <w:szCs w:val="28"/>
        </w:rPr>
      </w:pPr>
      <w:r w:rsidRPr="006C7D8C">
        <w:rPr>
          <w:b/>
          <w:sz w:val="28"/>
          <w:szCs w:val="28"/>
        </w:rPr>
        <w:t>16th Meeting of the APT Wireless Group (AWG-16)</w:t>
      </w:r>
    </w:p>
    <w:p w:rsidR="006C7D8C" w:rsidRDefault="006C7D8C" w:rsidP="006C7D8C">
      <w:pPr>
        <w:spacing w:after="0"/>
        <w:rPr>
          <w:b/>
          <w:sz w:val="28"/>
          <w:szCs w:val="28"/>
          <w:lang w:val="en-US"/>
        </w:rPr>
      </w:pPr>
    </w:p>
    <w:p w:rsidR="00270D2F" w:rsidRDefault="00270D2F" w:rsidP="00270D2F">
      <w:r w:rsidRPr="00916B79">
        <w:t xml:space="preserve">The Asia-Pacific </w:t>
      </w:r>
      <w:proofErr w:type="spellStart"/>
      <w:r w:rsidRPr="00916B79">
        <w:t>Telecommunity</w:t>
      </w:r>
      <w:proofErr w:type="spellEnd"/>
      <w:r w:rsidRPr="00916B79">
        <w:t xml:space="preserve"> (APT) organi</w:t>
      </w:r>
      <w:r>
        <w:t>s</w:t>
      </w:r>
      <w:r w:rsidRPr="00916B79">
        <w:t>ed the 1</w:t>
      </w:r>
      <w:r>
        <w:t>6</w:t>
      </w:r>
      <w:r w:rsidRPr="00916B79">
        <w:t>th Meeting of the APT Wireless Group (AWG-1</w:t>
      </w:r>
      <w:r>
        <w:t>6</w:t>
      </w:r>
      <w:r w:rsidRPr="00916B79">
        <w:t xml:space="preserve">) from </w:t>
      </w:r>
      <w:r w:rsidRPr="00EB6FB1">
        <w:t xml:space="preserve">18 – 21 March 2014, </w:t>
      </w:r>
      <w:proofErr w:type="spellStart"/>
      <w:r w:rsidRPr="00EB6FB1">
        <w:t>Pattaya</w:t>
      </w:r>
      <w:proofErr w:type="spellEnd"/>
      <w:r w:rsidRPr="00EB6FB1">
        <w:t>, Thailand</w:t>
      </w:r>
      <w:r w:rsidRPr="00916B79">
        <w:t>.</w:t>
      </w:r>
    </w:p>
    <w:p w:rsidR="00270D2F" w:rsidRDefault="00270D2F" w:rsidP="00270D2F">
      <w:r>
        <w:t>The summary records are here embedded:</w:t>
      </w:r>
    </w:p>
    <w:bookmarkStart w:id="1" w:name="_MON_1464087298"/>
    <w:bookmarkEnd w:id="1"/>
    <w:p w:rsidR="00270D2F" w:rsidRDefault="00270D2F" w:rsidP="00270D2F">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3" o:title=""/>
          </v:shape>
          <o:OLEObject Type="Embed" ProgID="Word.Document.12" ShapeID="_x0000_i1025" DrawAspect="Icon" ObjectID="_1464717345" r:id="rId14">
            <o:FieldCodes>\s</o:FieldCodes>
          </o:OLEObject>
        </w:object>
      </w:r>
    </w:p>
    <w:p w:rsidR="006C7D8C" w:rsidRDefault="006C7D8C" w:rsidP="006C7D8C">
      <w:r>
        <w:t xml:space="preserve">The recent </w:t>
      </w:r>
      <w:r w:rsidRPr="006F70A7">
        <w:rPr>
          <w:b/>
        </w:rPr>
        <w:t>APT e-Newsletters</w:t>
      </w:r>
      <w:r>
        <w:t xml:space="preserve"> are available under: </w:t>
      </w:r>
      <w:hyperlink r:id="rId15" w:history="1">
        <w:r w:rsidRPr="00567DD6">
          <w:rPr>
            <w:rStyle w:val="Lienhypertexte"/>
          </w:rPr>
          <w:t>http://www.apt.int/Publications</w:t>
        </w:r>
      </w:hyperlink>
      <w:r>
        <w:t xml:space="preserve"> </w:t>
      </w:r>
      <w:r w:rsidR="00270D2F">
        <w:t>(at the bottom of the page)</w:t>
      </w:r>
    </w:p>
    <w:p w:rsidR="00277CF8" w:rsidRDefault="00277CF8" w:rsidP="00277CF8">
      <w:r>
        <w:t>The following new (or newly revised) APT Reports have been approved:</w:t>
      </w:r>
    </w:p>
    <w:p w:rsidR="00277CF8" w:rsidRDefault="00277CF8" w:rsidP="00277CF8"/>
    <w:tbl>
      <w:tblPr>
        <w:tblpPr w:leftFromText="45" w:rightFromText="45" w:vertAnchor="text"/>
        <w:tblW w:w="5323" w:type="pct"/>
        <w:tblCellSpacing w:w="7" w:type="dxa"/>
        <w:tblBorders>
          <w:top w:val="single" w:sz="6" w:space="0" w:color="D2D2D2"/>
          <w:left w:val="single" w:sz="6" w:space="0" w:color="D2D2D2"/>
          <w:bottom w:val="single" w:sz="6" w:space="0" w:color="D2D2D2"/>
          <w:right w:val="single" w:sz="6" w:space="0" w:color="D2D2D2"/>
        </w:tblBorders>
        <w:tblCellMar>
          <w:left w:w="0" w:type="dxa"/>
          <w:right w:w="0" w:type="dxa"/>
        </w:tblCellMar>
        <w:tblLook w:val="04A0" w:firstRow="1" w:lastRow="0" w:firstColumn="1" w:lastColumn="0" w:noHBand="0" w:noVBand="1"/>
      </w:tblPr>
      <w:tblGrid>
        <w:gridCol w:w="1888"/>
        <w:gridCol w:w="7101"/>
        <w:gridCol w:w="1161"/>
      </w:tblGrid>
      <w:tr w:rsidR="00277CF8" w:rsidTr="00B83ED4">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B55292" w:rsidP="00B83ED4">
            <w:pPr>
              <w:spacing w:line="312" w:lineRule="auto"/>
              <w:rPr>
                <w:rFonts w:cs="Arial"/>
                <w:sz w:val="18"/>
                <w:szCs w:val="18"/>
              </w:rPr>
            </w:pPr>
            <w:hyperlink r:id="rId16" w:history="1">
              <w:r w:rsidR="00277CF8">
                <w:rPr>
                  <w:rStyle w:val="Lienhypertexte"/>
                  <w:rFonts w:cs="Arial"/>
                  <w:sz w:val="18"/>
                  <w:szCs w:val="18"/>
                </w:rPr>
                <w:t>APT/AWG/REP-37 (Rev.1)</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277CF8" w:rsidRDefault="00277CF8" w:rsidP="00B83ED4">
            <w:pPr>
              <w:spacing w:line="312" w:lineRule="auto"/>
              <w:rPr>
                <w:rFonts w:cs="Arial"/>
                <w:sz w:val="18"/>
                <w:szCs w:val="18"/>
              </w:rPr>
            </w:pPr>
            <w:r>
              <w:rPr>
                <w:rFonts w:cs="Arial"/>
                <w:sz w:val="18"/>
                <w:szCs w:val="18"/>
              </w:rPr>
              <w:t>APT Report on "Frequency Usage of the Band 3400-3600 MHz" </w:t>
            </w:r>
          </w:p>
          <w:p w:rsidR="00277CF8" w:rsidRDefault="00277CF8" w:rsidP="00B83ED4">
            <w:pPr>
              <w:spacing w:line="312" w:lineRule="auto"/>
              <w:rPr>
                <w:rFonts w:cs="Arial"/>
                <w:sz w:val="18"/>
                <w:szCs w:val="18"/>
              </w:rPr>
            </w:pPr>
            <w:r>
              <w:rPr>
                <w:rFonts w:cs="Arial"/>
                <w:sz w:val="18"/>
                <w:szCs w:val="18"/>
              </w:rPr>
              <w:t>(may be of interest in PT1)</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277CF8" w:rsidP="00B83ED4">
            <w:pPr>
              <w:spacing w:line="312" w:lineRule="auto"/>
              <w:jc w:val="center"/>
              <w:rPr>
                <w:rFonts w:cs="Arial"/>
                <w:sz w:val="18"/>
                <w:szCs w:val="18"/>
              </w:rPr>
            </w:pPr>
            <w:r>
              <w:rPr>
                <w:rFonts w:cs="Arial"/>
                <w:sz w:val="18"/>
                <w:szCs w:val="18"/>
              </w:rPr>
              <w:t>Revised 03/2014</w:t>
            </w:r>
          </w:p>
        </w:tc>
      </w:tr>
      <w:tr w:rsidR="00277CF8" w:rsidTr="00B83ED4">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B55292" w:rsidP="00B83ED4">
            <w:pPr>
              <w:spacing w:line="312" w:lineRule="auto"/>
              <w:rPr>
                <w:rFonts w:cs="Arial"/>
                <w:sz w:val="18"/>
                <w:szCs w:val="18"/>
              </w:rPr>
            </w:pPr>
            <w:hyperlink r:id="rId17" w:history="1">
              <w:r w:rsidR="00277CF8">
                <w:rPr>
                  <w:rStyle w:val="Lienhypertexte"/>
                  <w:rFonts w:cs="Arial"/>
                  <w:sz w:val="18"/>
                  <w:szCs w:val="18"/>
                </w:rPr>
                <w:t>APT/AWG/REP-43</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277CF8" w:rsidRDefault="00277CF8" w:rsidP="00B83ED4">
            <w:pPr>
              <w:spacing w:line="312" w:lineRule="auto"/>
              <w:rPr>
                <w:rFonts w:cs="Arial"/>
                <w:sz w:val="18"/>
                <w:szCs w:val="18"/>
              </w:rPr>
            </w:pPr>
            <w:r>
              <w:rPr>
                <w:rFonts w:cs="Arial"/>
                <w:sz w:val="18"/>
                <w:szCs w:val="18"/>
              </w:rPr>
              <w:t>APT Report on "Visualization Spectrum Monitoring and DF/ Location System"</w:t>
            </w:r>
          </w:p>
          <w:p w:rsidR="00277CF8" w:rsidRDefault="00277CF8" w:rsidP="00671707">
            <w:pPr>
              <w:spacing w:line="312" w:lineRule="auto"/>
              <w:rPr>
                <w:rFonts w:cs="Arial"/>
                <w:sz w:val="18"/>
                <w:szCs w:val="18"/>
              </w:rPr>
            </w:pPr>
            <w:r>
              <w:rPr>
                <w:rFonts w:cs="Arial"/>
                <w:sz w:val="18"/>
                <w:szCs w:val="18"/>
              </w:rPr>
              <w:t>(subject discussed at recent ITU-R WP1C meeting, may be of interest for FM22)</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277CF8" w:rsidP="00B83ED4">
            <w:pPr>
              <w:spacing w:line="312" w:lineRule="auto"/>
              <w:jc w:val="center"/>
              <w:rPr>
                <w:rFonts w:cs="Arial"/>
                <w:sz w:val="18"/>
                <w:szCs w:val="18"/>
              </w:rPr>
            </w:pPr>
            <w:r>
              <w:rPr>
                <w:rFonts w:cs="Arial"/>
                <w:sz w:val="18"/>
                <w:szCs w:val="18"/>
              </w:rPr>
              <w:t>03/2014</w:t>
            </w:r>
          </w:p>
        </w:tc>
      </w:tr>
      <w:tr w:rsidR="00277CF8" w:rsidTr="00B83ED4">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B55292" w:rsidP="00B83ED4">
            <w:pPr>
              <w:spacing w:line="312" w:lineRule="auto"/>
              <w:rPr>
                <w:rFonts w:cs="Arial"/>
                <w:sz w:val="18"/>
                <w:szCs w:val="18"/>
              </w:rPr>
            </w:pPr>
            <w:hyperlink r:id="rId18" w:history="1">
              <w:r w:rsidR="00277CF8">
                <w:rPr>
                  <w:rStyle w:val="Lienhypertexte"/>
                  <w:rFonts w:cs="Arial"/>
                  <w:sz w:val="18"/>
                  <w:szCs w:val="18"/>
                </w:rPr>
                <w:t>APT/AWG/REP-44</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277CF8" w:rsidRDefault="00277CF8" w:rsidP="00B83ED4">
            <w:pPr>
              <w:spacing w:line="312" w:lineRule="auto"/>
              <w:rPr>
                <w:rFonts w:cs="Arial"/>
                <w:sz w:val="18"/>
                <w:szCs w:val="18"/>
              </w:rPr>
            </w:pPr>
            <w:r>
              <w:rPr>
                <w:rFonts w:cs="Arial"/>
                <w:sz w:val="18"/>
                <w:szCs w:val="18"/>
              </w:rPr>
              <w:t>APT Report on "Coexistence between Services at the Boundary of the 700 MHz and 800 MHz Bands"</w:t>
            </w:r>
          </w:p>
          <w:p w:rsidR="00277CF8" w:rsidRDefault="00277CF8" w:rsidP="00B83ED4">
            <w:pPr>
              <w:spacing w:line="312" w:lineRule="auto"/>
              <w:rPr>
                <w:rFonts w:cs="Arial"/>
                <w:sz w:val="18"/>
                <w:szCs w:val="18"/>
              </w:rPr>
            </w:pPr>
            <w:r>
              <w:rPr>
                <w:rFonts w:cs="Arial"/>
                <w:sz w:val="18"/>
                <w:szCs w:val="18"/>
              </w:rPr>
              <w:t>(may be of interest in PT1 and WGSE)</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277CF8" w:rsidP="00B83ED4">
            <w:pPr>
              <w:spacing w:line="312" w:lineRule="auto"/>
              <w:jc w:val="center"/>
              <w:rPr>
                <w:rFonts w:cs="Arial"/>
                <w:sz w:val="18"/>
                <w:szCs w:val="18"/>
              </w:rPr>
            </w:pPr>
            <w:r>
              <w:rPr>
                <w:rFonts w:cs="Arial"/>
                <w:sz w:val="18"/>
                <w:szCs w:val="18"/>
              </w:rPr>
              <w:t>03/2014</w:t>
            </w:r>
          </w:p>
        </w:tc>
      </w:tr>
      <w:tr w:rsidR="00277CF8" w:rsidTr="00B83ED4">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B55292" w:rsidP="00B83ED4">
            <w:pPr>
              <w:spacing w:line="312" w:lineRule="auto"/>
              <w:rPr>
                <w:rFonts w:cs="Arial"/>
                <w:sz w:val="18"/>
                <w:szCs w:val="18"/>
              </w:rPr>
            </w:pPr>
            <w:hyperlink r:id="rId19" w:history="1">
              <w:r w:rsidR="00277CF8">
                <w:rPr>
                  <w:rStyle w:val="Lienhypertexte"/>
                  <w:rFonts w:cs="Arial"/>
                  <w:sz w:val="18"/>
                  <w:szCs w:val="18"/>
                </w:rPr>
                <w:t>APT/AWG/REP-45</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277CF8" w:rsidRDefault="00277CF8" w:rsidP="00B83ED4">
            <w:pPr>
              <w:spacing w:line="312" w:lineRule="auto"/>
              <w:rPr>
                <w:rFonts w:cs="Arial"/>
                <w:sz w:val="18"/>
                <w:szCs w:val="18"/>
              </w:rPr>
            </w:pPr>
            <w:r>
              <w:rPr>
                <w:rFonts w:cs="Arial"/>
                <w:sz w:val="18"/>
                <w:szCs w:val="18"/>
              </w:rPr>
              <w:t>APT Report on "Studies in addressing the Inefficiency associated with the Asymmetry of existing unplanned FSS Uplink/ Downlink Spectrum in the 10-15 GHZ Band"</w:t>
            </w:r>
          </w:p>
          <w:p w:rsidR="00277CF8" w:rsidRDefault="00671707" w:rsidP="00B83ED4">
            <w:pPr>
              <w:spacing w:line="312" w:lineRule="auto"/>
              <w:rPr>
                <w:rFonts w:cs="Arial"/>
                <w:sz w:val="18"/>
                <w:szCs w:val="18"/>
              </w:rPr>
            </w:pPr>
            <w:r>
              <w:rPr>
                <w:rFonts w:cs="Arial"/>
                <w:sz w:val="18"/>
                <w:szCs w:val="18"/>
              </w:rPr>
              <w:t>(</w:t>
            </w:r>
            <w:r w:rsidR="00277CF8">
              <w:rPr>
                <w:rFonts w:cs="Arial"/>
                <w:sz w:val="18"/>
                <w:szCs w:val="18"/>
              </w:rPr>
              <w:t>FM44 for information)</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277CF8" w:rsidP="00B83ED4">
            <w:pPr>
              <w:spacing w:line="312" w:lineRule="auto"/>
              <w:jc w:val="center"/>
              <w:rPr>
                <w:rFonts w:cs="Arial"/>
                <w:sz w:val="18"/>
                <w:szCs w:val="18"/>
              </w:rPr>
            </w:pPr>
            <w:r>
              <w:rPr>
                <w:rFonts w:cs="Arial"/>
                <w:sz w:val="18"/>
                <w:szCs w:val="18"/>
              </w:rPr>
              <w:t>03/2014</w:t>
            </w:r>
          </w:p>
        </w:tc>
      </w:tr>
      <w:tr w:rsidR="00277CF8" w:rsidTr="00B83ED4">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B55292" w:rsidP="00B83ED4">
            <w:pPr>
              <w:spacing w:line="312" w:lineRule="auto"/>
              <w:rPr>
                <w:rFonts w:cs="Arial"/>
                <w:sz w:val="18"/>
                <w:szCs w:val="18"/>
              </w:rPr>
            </w:pPr>
            <w:hyperlink r:id="rId20" w:history="1">
              <w:r w:rsidR="00277CF8">
                <w:rPr>
                  <w:rStyle w:val="Lienhypertexte"/>
                  <w:rFonts w:cs="Arial"/>
                  <w:sz w:val="18"/>
                  <w:szCs w:val="18"/>
                </w:rPr>
                <w:t>APT/AWG/REP-46</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277CF8" w:rsidRDefault="00277CF8" w:rsidP="00B83ED4">
            <w:pPr>
              <w:spacing w:line="312" w:lineRule="auto"/>
              <w:rPr>
                <w:rFonts w:cs="Arial"/>
                <w:sz w:val="18"/>
                <w:szCs w:val="18"/>
              </w:rPr>
            </w:pPr>
            <w:r>
              <w:rPr>
                <w:rFonts w:cs="Arial"/>
                <w:sz w:val="18"/>
                <w:szCs w:val="18"/>
              </w:rPr>
              <w:t>APT Report on "APT Frequency Usage of the Bands 1 980-2 010 MHZ AND 2 170 - 2 200 MHz in Asia Pacific Region"</w:t>
            </w:r>
          </w:p>
          <w:p w:rsidR="00277CF8" w:rsidRDefault="00277CF8" w:rsidP="00B83ED4">
            <w:pPr>
              <w:spacing w:line="312" w:lineRule="auto"/>
              <w:rPr>
                <w:rFonts w:cs="Arial"/>
                <w:sz w:val="18"/>
                <w:szCs w:val="18"/>
              </w:rPr>
            </w:pPr>
            <w:r>
              <w:rPr>
                <w:rFonts w:cs="Arial"/>
                <w:sz w:val="18"/>
                <w:szCs w:val="18"/>
              </w:rPr>
              <w:t>(mostly planned for future broadband mobile in Asia)</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277CF8" w:rsidP="00B83ED4">
            <w:pPr>
              <w:spacing w:line="312" w:lineRule="auto"/>
              <w:jc w:val="center"/>
              <w:rPr>
                <w:rFonts w:cs="Arial"/>
                <w:sz w:val="18"/>
                <w:szCs w:val="18"/>
              </w:rPr>
            </w:pPr>
            <w:r>
              <w:rPr>
                <w:rFonts w:cs="Arial"/>
                <w:sz w:val="18"/>
                <w:szCs w:val="18"/>
              </w:rPr>
              <w:t>03/2014</w:t>
            </w:r>
          </w:p>
        </w:tc>
      </w:tr>
      <w:tr w:rsidR="00277CF8" w:rsidTr="00B83ED4">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B55292" w:rsidP="00B83ED4">
            <w:pPr>
              <w:spacing w:line="312" w:lineRule="auto"/>
              <w:rPr>
                <w:rFonts w:cs="Arial"/>
                <w:sz w:val="18"/>
                <w:szCs w:val="18"/>
              </w:rPr>
            </w:pPr>
            <w:hyperlink r:id="rId21" w:history="1">
              <w:r w:rsidR="00277CF8">
                <w:rPr>
                  <w:rStyle w:val="Lienhypertexte"/>
                  <w:rFonts w:cs="Arial"/>
                  <w:sz w:val="18"/>
                  <w:szCs w:val="18"/>
                </w:rPr>
                <w:t>APT/AWG/REP-47</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277CF8" w:rsidRDefault="00277CF8" w:rsidP="00B83ED4">
            <w:pPr>
              <w:spacing w:line="312" w:lineRule="auto"/>
              <w:rPr>
                <w:rFonts w:cs="Arial"/>
                <w:sz w:val="18"/>
                <w:szCs w:val="18"/>
              </w:rPr>
            </w:pPr>
            <w:r>
              <w:rPr>
                <w:rFonts w:cs="Arial"/>
                <w:sz w:val="18"/>
                <w:szCs w:val="18"/>
              </w:rPr>
              <w:t>APT Report on "Future IMT Technologies"</w:t>
            </w:r>
          </w:p>
          <w:p w:rsidR="00277CF8" w:rsidRDefault="00277CF8" w:rsidP="00B83ED4">
            <w:pPr>
              <w:spacing w:line="312" w:lineRule="auto"/>
              <w:rPr>
                <w:rFonts w:cs="Arial"/>
                <w:sz w:val="18"/>
                <w:szCs w:val="18"/>
              </w:rPr>
            </w:pPr>
            <w:r>
              <w:rPr>
                <w:rFonts w:cs="Arial"/>
                <w:sz w:val="18"/>
                <w:szCs w:val="18"/>
              </w:rPr>
              <w:t xml:space="preserve">(Tech paper; may be of interest for several groups) </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277CF8" w:rsidP="00B83ED4">
            <w:pPr>
              <w:spacing w:line="312" w:lineRule="auto"/>
              <w:jc w:val="center"/>
              <w:rPr>
                <w:rFonts w:cs="Arial"/>
                <w:sz w:val="18"/>
                <w:szCs w:val="18"/>
              </w:rPr>
            </w:pPr>
            <w:r>
              <w:rPr>
                <w:rFonts w:cs="Arial"/>
                <w:sz w:val="18"/>
                <w:szCs w:val="18"/>
              </w:rPr>
              <w:t>03/2014</w:t>
            </w:r>
          </w:p>
        </w:tc>
      </w:tr>
      <w:tr w:rsidR="00277CF8" w:rsidTr="00B83ED4">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B55292" w:rsidP="00B83ED4">
            <w:pPr>
              <w:spacing w:line="312" w:lineRule="auto"/>
              <w:rPr>
                <w:rFonts w:cs="Arial"/>
                <w:sz w:val="18"/>
                <w:szCs w:val="18"/>
              </w:rPr>
            </w:pPr>
            <w:hyperlink r:id="rId22" w:history="1">
              <w:r w:rsidR="00277CF8">
                <w:rPr>
                  <w:rStyle w:val="Lienhypertexte"/>
                  <w:rFonts w:cs="Arial"/>
                  <w:sz w:val="18"/>
                  <w:szCs w:val="18"/>
                </w:rPr>
                <w:t>APT/AWG/REP-48</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277CF8" w:rsidRDefault="00277CF8" w:rsidP="00B83ED4">
            <w:pPr>
              <w:spacing w:line="312" w:lineRule="auto"/>
              <w:rPr>
                <w:rFonts w:cs="Arial"/>
                <w:sz w:val="18"/>
                <w:szCs w:val="18"/>
              </w:rPr>
            </w:pPr>
            <w:r>
              <w:rPr>
                <w:rFonts w:cs="Arial"/>
                <w:sz w:val="18"/>
                <w:szCs w:val="18"/>
              </w:rPr>
              <w:t>APT Survey Report on "Wireless Power Transmission"</w:t>
            </w:r>
          </w:p>
          <w:p w:rsidR="00277CF8" w:rsidRDefault="00277CF8" w:rsidP="00B83ED4">
            <w:pPr>
              <w:spacing w:line="312" w:lineRule="auto"/>
              <w:rPr>
                <w:rFonts w:cs="Arial"/>
                <w:sz w:val="18"/>
                <w:szCs w:val="18"/>
              </w:rPr>
            </w:pPr>
            <w:r>
              <w:rPr>
                <w:rFonts w:cs="Arial"/>
                <w:sz w:val="18"/>
                <w:szCs w:val="18"/>
              </w:rPr>
              <w:t>(subject was recently discussed in ITU-R WP1A)</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277CF8" w:rsidP="00B83ED4">
            <w:pPr>
              <w:spacing w:line="312" w:lineRule="auto"/>
              <w:jc w:val="center"/>
              <w:rPr>
                <w:rFonts w:cs="Arial"/>
                <w:sz w:val="18"/>
                <w:szCs w:val="18"/>
              </w:rPr>
            </w:pPr>
            <w:r>
              <w:rPr>
                <w:rFonts w:cs="Arial"/>
                <w:sz w:val="18"/>
                <w:szCs w:val="18"/>
              </w:rPr>
              <w:t>03/2014</w:t>
            </w:r>
          </w:p>
        </w:tc>
      </w:tr>
      <w:tr w:rsidR="00277CF8" w:rsidTr="00B83ED4">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B55292" w:rsidP="00B83ED4">
            <w:pPr>
              <w:spacing w:line="312" w:lineRule="auto"/>
              <w:rPr>
                <w:rFonts w:cs="Arial"/>
                <w:sz w:val="18"/>
                <w:szCs w:val="18"/>
              </w:rPr>
            </w:pPr>
            <w:hyperlink r:id="rId23" w:history="1">
              <w:r w:rsidR="00277CF8">
                <w:rPr>
                  <w:rStyle w:val="Lienhypertexte"/>
                  <w:rFonts w:cs="Arial"/>
                  <w:sz w:val="18"/>
                  <w:szCs w:val="18"/>
                </w:rPr>
                <w:t>APT/AWG/REP-49</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277CF8" w:rsidRDefault="00277CF8" w:rsidP="00B83ED4">
            <w:pPr>
              <w:spacing w:line="312" w:lineRule="auto"/>
              <w:rPr>
                <w:rFonts w:cs="Arial"/>
                <w:sz w:val="18"/>
                <w:szCs w:val="18"/>
              </w:rPr>
            </w:pPr>
            <w:r>
              <w:rPr>
                <w:rFonts w:cs="Arial"/>
                <w:sz w:val="18"/>
                <w:szCs w:val="18"/>
              </w:rPr>
              <w:t>APT Survey Report on Maritime VHF Band Usage and consideration of New Applications in the Region of APT</w:t>
            </w:r>
          </w:p>
          <w:p w:rsidR="00277CF8" w:rsidRDefault="00277CF8" w:rsidP="00B83ED4">
            <w:pPr>
              <w:spacing w:line="312" w:lineRule="auto"/>
              <w:rPr>
                <w:rFonts w:cs="Arial"/>
                <w:sz w:val="18"/>
                <w:szCs w:val="18"/>
              </w:rPr>
            </w:pPr>
            <w:r>
              <w:rPr>
                <w:rFonts w:cs="Arial"/>
                <w:sz w:val="18"/>
                <w:szCs w:val="18"/>
              </w:rPr>
              <w:t>(Subject of interest for FM FG Maritime)</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277CF8" w:rsidRDefault="00277CF8" w:rsidP="00B83ED4">
            <w:pPr>
              <w:spacing w:line="312" w:lineRule="auto"/>
              <w:jc w:val="center"/>
              <w:rPr>
                <w:rFonts w:cs="Arial"/>
                <w:sz w:val="18"/>
                <w:szCs w:val="18"/>
              </w:rPr>
            </w:pPr>
            <w:r>
              <w:rPr>
                <w:rFonts w:cs="Arial"/>
                <w:sz w:val="18"/>
                <w:szCs w:val="18"/>
              </w:rPr>
              <w:t>03/2014</w:t>
            </w:r>
          </w:p>
        </w:tc>
      </w:tr>
    </w:tbl>
    <w:p w:rsidR="00671707" w:rsidRDefault="00671707" w:rsidP="00277CF8"/>
    <w:p w:rsidR="00277CF8" w:rsidRDefault="00277CF8" w:rsidP="00277CF8">
      <w:r w:rsidRPr="00916B79">
        <w:t>The following circulation of questionnaires has been approved by AWG-1</w:t>
      </w:r>
      <w:r>
        <w:t>6</w:t>
      </w:r>
      <w:r w:rsidRPr="00916B79">
        <w:t xml:space="preserve"> (</w:t>
      </w:r>
      <w:r>
        <w:t>March 2014</w:t>
      </w:r>
      <w:r w:rsidRPr="00916B79">
        <w:t xml:space="preserve">) </w:t>
      </w:r>
    </w:p>
    <w:p w:rsidR="00277CF8" w:rsidRPr="00330291" w:rsidRDefault="00277CF8" w:rsidP="00277CF8">
      <w:pPr>
        <w:numPr>
          <w:ilvl w:val="1"/>
          <w:numId w:val="29"/>
        </w:numPr>
        <w:spacing w:before="100" w:beforeAutospacing="1" w:after="100" w:afterAutospacing="1" w:line="312" w:lineRule="auto"/>
        <w:jc w:val="left"/>
        <w:rPr>
          <w:rStyle w:val="Lienhypertexte"/>
        </w:rPr>
      </w:pPr>
      <w:r w:rsidRPr="00330291">
        <w:rPr>
          <w:rFonts w:cs="Arial"/>
          <w:b/>
          <w:bCs/>
          <w:sz w:val="24"/>
          <w:szCs w:val="24"/>
          <w:lang w:val="en" w:eastAsia="da-DK"/>
        </w:rPr>
        <w:t>Circulation of Questionnaires approved by AWG-16 (March 2014)</w:t>
      </w:r>
      <w:r>
        <w:rPr>
          <w:rFonts w:cs="Arial"/>
          <w:b/>
          <w:bCs/>
          <w:sz w:val="24"/>
          <w:szCs w:val="24"/>
          <w:lang w:val="en" w:eastAsia="da-DK"/>
        </w:rPr>
        <w:t xml:space="preserve"> </w:t>
      </w:r>
      <w:hyperlink r:id="rId24" w:history="1">
        <w:r w:rsidRPr="00330291">
          <w:rPr>
            <w:rStyle w:val="Lienhypertexte"/>
          </w:rPr>
          <w:t>Circular Letter</w:t>
        </w:r>
      </w:hyperlink>
    </w:p>
    <w:p w:rsidR="00277CF8" w:rsidRPr="00330291" w:rsidRDefault="00B55292" w:rsidP="00277CF8">
      <w:pPr>
        <w:numPr>
          <w:ilvl w:val="1"/>
          <w:numId w:val="29"/>
        </w:numPr>
        <w:rPr>
          <w:rStyle w:val="Lienhypertexte"/>
        </w:rPr>
      </w:pPr>
      <w:hyperlink r:id="rId25" w:history="1">
        <w:r w:rsidR="00277CF8" w:rsidRPr="00330291">
          <w:rPr>
            <w:rStyle w:val="Lienhypertexte"/>
          </w:rPr>
          <w:t>Questionnaire on Usage of the Frequency Band 13.75-14 GHz in the Asia-Pacific Region</w:t>
        </w:r>
      </w:hyperlink>
      <w:r w:rsidR="00277CF8">
        <w:rPr>
          <w:rStyle w:val="Lienhypertexte"/>
        </w:rPr>
        <w:t xml:space="preserve">  </w:t>
      </w:r>
    </w:p>
    <w:p w:rsidR="00277CF8" w:rsidRPr="00330291" w:rsidRDefault="00B55292" w:rsidP="00277CF8">
      <w:pPr>
        <w:numPr>
          <w:ilvl w:val="1"/>
          <w:numId w:val="29"/>
        </w:numPr>
        <w:rPr>
          <w:rStyle w:val="Lienhypertexte"/>
        </w:rPr>
      </w:pPr>
      <w:hyperlink r:id="rId26" w:history="1">
        <w:r w:rsidR="00277CF8" w:rsidRPr="00330291">
          <w:rPr>
            <w:rStyle w:val="Lienhypertexte"/>
          </w:rPr>
          <w:t>Questionnaire on Fixed Wireless System</w:t>
        </w:r>
      </w:hyperlink>
      <w:r w:rsidR="00277CF8">
        <w:rPr>
          <w:rStyle w:val="Lienhypertexte"/>
        </w:rPr>
        <w:t xml:space="preserve"> </w:t>
      </w:r>
      <w:r w:rsidR="00277CF8" w:rsidRPr="00277CF8">
        <w:rPr>
          <w:rStyle w:val="Lienhypertexte"/>
        </w:rPr>
        <w:t>(similarities with ECC Report 173 in WGSE/SE19)</w:t>
      </w:r>
    </w:p>
    <w:p w:rsidR="00677187" w:rsidRPr="00677187" w:rsidRDefault="00277CF8" w:rsidP="00277CF8">
      <w:pPr>
        <w:numPr>
          <w:ilvl w:val="1"/>
          <w:numId w:val="29"/>
        </w:numPr>
        <w:spacing w:before="100" w:beforeAutospacing="1" w:after="100" w:afterAutospacing="1" w:line="312" w:lineRule="auto"/>
        <w:jc w:val="left"/>
        <w:rPr>
          <w:color w:val="0000FF"/>
          <w:u w:val="single"/>
          <w:lang w:val="nb-NO"/>
        </w:rPr>
      </w:pPr>
      <w:r w:rsidRPr="00330291">
        <w:rPr>
          <w:rFonts w:cs="Arial"/>
          <w:b/>
          <w:bCs/>
          <w:sz w:val="24"/>
          <w:szCs w:val="24"/>
          <w:lang w:val="en" w:eastAsia="da-DK"/>
        </w:rPr>
        <w:t xml:space="preserve">Circular Letters to update APT Reports approved by AWG-16 (March 2014) </w:t>
      </w:r>
    </w:p>
    <w:p w:rsidR="00277CF8" w:rsidRPr="00330291" w:rsidRDefault="00B55292" w:rsidP="00277CF8">
      <w:pPr>
        <w:numPr>
          <w:ilvl w:val="1"/>
          <w:numId w:val="29"/>
        </w:numPr>
        <w:spacing w:before="100" w:beforeAutospacing="1" w:after="100" w:afterAutospacing="1" w:line="312" w:lineRule="auto"/>
        <w:jc w:val="left"/>
        <w:rPr>
          <w:rStyle w:val="Lienhypertexte"/>
          <w:lang w:val="nb-NO"/>
        </w:rPr>
      </w:pPr>
      <w:hyperlink r:id="rId27" w:history="1">
        <w:r w:rsidR="00277CF8" w:rsidRPr="00330291">
          <w:rPr>
            <w:rStyle w:val="Lienhypertexte"/>
            <w:lang w:val="nb-NO"/>
          </w:rPr>
          <w:t>Request for update information on APT/AWG/REP-07(Rev.2) and APT/AWG/REP-35</w:t>
        </w:r>
      </w:hyperlink>
    </w:p>
    <w:p w:rsidR="00277CF8" w:rsidRDefault="00B55292" w:rsidP="00277CF8">
      <w:pPr>
        <w:numPr>
          <w:ilvl w:val="1"/>
          <w:numId w:val="29"/>
        </w:numPr>
        <w:spacing w:before="100" w:beforeAutospacing="1" w:after="100" w:afterAutospacing="1" w:line="312" w:lineRule="auto"/>
        <w:jc w:val="left"/>
        <w:rPr>
          <w:rStyle w:val="Lienhypertexte"/>
        </w:rPr>
      </w:pPr>
      <w:hyperlink r:id="rId28" w:history="1">
        <w:r w:rsidR="00277CF8" w:rsidRPr="00330291">
          <w:rPr>
            <w:rStyle w:val="Lienhypertexte"/>
            <w:lang w:val="nb-NO"/>
          </w:rPr>
          <w:t>Request of update information in APT/AWG/REP-15 (Rev.1)</w:t>
        </w:r>
      </w:hyperlink>
    </w:p>
    <w:p w:rsidR="00277CF8" w:rsidRDefault="00193380" w:rsidP="00277CF8">
      <w:pPr>
        <w:spacing w:after="0"/>
        <w:jc w:val="left"/>
        <w:rPr>
          <w:lang w:val="en"/>
        </w:rPr>
      </w:pPr>
      <w:r w:rsidRPr="00193380">
        <w:rPr>
          <w:rStyle w:val="Lienhypertexte"/>
        </w:rPr>
        <w:t>(</w:t>
      </w:r>
      <w:proofErr w:type="gramStart"/>
      <w:r>
        <w:rPr>
          <w:rStyle w:val="Lienhypertexte"/>
        </w:rPr>
        <w:t>for</w:t>
      </w:r>
      <w:proofErr w:type="gramEnd"/>
      <w:r>
        <w:rPr>
          <w:rStyle w:val="Lienhypertexte"/>
        </w:rPr>
        <w:t xml:space="preserve"> </w:t>
      </w:r>
      <w:r w:rsidRPr="00193380">
        <w:rPr>
          <w:rStyle w:val="Lienhypertexte"/>
        </w:rPr>
        <w:t xml:space="preserve">FM22, FM44, SRD/MG, CPG, PT1, WGSE/SE19 and also other groups in the ECC to note) </w:t>
      </w:r>
      <w:r w:rsidR="00277CF8">
        <w:rPr>
          <w:lang w:val="en"/>
        </w:rPr>
        <w:br w:type="page"/>
      </w:r>
    </w:p>
    <w:p w:rsidR="00941053" w:rsidRPr="00941053" w:rsidRDefault="00941053" w:rsidP="00941053">
      <w:pPr>
        <w:pStyle w:val="Paragraphedeliste"/>
        <w:numPr>
          <w:ilvl w:val="0"/>
          <w:numId w:val="33"/>
        </w:numPr>
        <w:spacing w:after="0"/>
        <w:rPr>
          <w:b/>
          <w:sz w:val="28"/>
          <w:szCs w:val="28"/>
        </w:rPr>
      </w:pPr>
      <w:r w:rsidRPr="00941053">
        <w:rPr>
          <w:b/>
          <w:sz w:val="28"/>
          <w:szCs w:val="28"/>
        </w:rPr>
        <w:lastRenderedPageBreak/>
        <w:t>FCC - 5 GHz U-NII (Report and Order) - FCC 14-30</w:t>
      </w:r>
    </w:p>
    <w:p w:rsidR="00941053" w:rsidRDefault="00941053" w:rsidP="00941053"/>
    <w:p w:rsidR="00941053" w:rsidRDefault="00B55292" w:rsidP="00941053">
      <w:hyperlink r:id="rId29" w:history="1">
        <w:r w:rsidR="00941053" w:rsidRPr="007941C2">
          <w:rPr>
            <w:rStyle w:val="Lienhypertexte"/>
          </w:rPr>
          <w:t>http://www.fcc.gov/document/5-ghz-u-nii-ro</w:t>
        </w:r>
      </w:hyperlink>
      <w:r w:rsidR="00941053">
        <w:t xml:space="preserve"> </w:t>
      </w:r>
    </w:p>
    <w:p w:rsidR="00941053" w:rsidRDefault="00941053" w:rsidP="00941053">
      <w:r>
        <w:t>The FCC has revised Part 15 of the Commission’s Rules (ET Docket No. 13-49) to permit Unlicensed National Information Infrastructure (U-NII) Devices in the 5 GHz Band, adopted 31 March 2014.</w:t>
      </w:r>
    </w:p>
    <w:p w:rsidR="00941053" w:rsidRPr="00941053" w:rsidRDefault="00941053" w:rsidP="00941053">
      <w:pPr>
        <w:jc w:val="left"/>
      </w:pPr>
      <w:r w:rsidRPr="00941053">
        <w:t xml:space="preserve">In this First Report and Order, </w:t>
      </w:r>
      <w:r>
        <w:t xml:space="preserve">the FCC </w:t>
      </w:r>
      <w:r w:rsidRPr="00941053">
        <w:t>increase</w:t>
      </w:r>
      <w:r>
        <w:t>s</w:t>
      </w:r>
      <w:r w:rsidRPr="00941053">
        <w:t xml:space="preserve"> the utility of the 5 GHz band</w:t>
      </w:r>
      <w:r w:rsidR="00671707">
        <w:t xml:space="preserve"> for</w:t>
      </w:r>
      <w:r w:rsidRPr="00941053">
        <w:br/>
        <w:t xml:space="preserve">U-NII devices </w:t>
      </w:r>
      <w:r w:rsidR="00671707">
        <w:t xml:space="preserve">in the ranges where they </w:t>
      </w:r>
      <w:r w:rsidRPr="00941053">
        <w:t>are currently permitted to operate, and modify certain U-NII rules and testing procedures to ensure that U-NII devices do not cause harmful interference to authori</w:t>
      </w:r>
      <w:r>
        <w:t>s</w:t>
      </w:r>
      <w:r w:rsidRPr="00941053">
        <w:t>ed users</w:t>
      </w:r>
      <w:r>
        <w:t xml:space="preserve"> of </w:t>
      </w:r>
      <w:r w:rsidRPr="00941053">
        <w:t>these bands. Specifically:</w:t>
      </w:r>
    </w:p>
    <w:p w:rsidR="00941053" w:rsidRDefault="00941053" w:rsidP="00941053">
      <w:pPr>
        <w:pStyle w:val="Paragraphedeliste"/>
        <w:numPr>
          <w:ilvl w:val="0"/>
          <w:numId w:val="44"/>
        </w:numPr>
        <w:jc w:val="left"/>
      </w:pPr>
      <w:r w:rsidRPr="00941053">
        <w:t>For U-NII devices in the 5.15-5.25 GHz band, remov</w:t>
      </w:r>
      <w:r>
        <w:t xml:space="preserve">al of </w:t>
      </w:r>
      <w:r w:rsidRPr="00941053">
        <w:t xml:space="preserve">the indoor-only restriction and increase </w:t>
      </w:r>
      <w:r>
        <w:t xml:space="preserve">of </w:t>
      </w:r>
      <w:r w:rsidRPr="00941053">
        <w:t>the permitted power, thus increasing the utility of spectrum and accommodating the next generation of Wi-Fi technology.</w:t>
      </w:r>
    </w:p>
    <w:p w:rsidR="00941053" w:rsidRDefault="00941053" w:rsidP="00941053">
      <w:pPr>
        <w:pStyle w:val="Paragraphedeliste"/>
        <w:numPr>
          <w:ilvl w:val="0"/>
          <w:numId w:val="44"/>
        </w:numPr>
        <w:jc w:val="left"/>
      </w:pPr>
      <w:r>
        <w:t>E</w:t>
      </w:r>
      <w:r w:rsidRPr="00941053">
        <w:t>xten</w:t>
      </w:r>
      <w:r>
        <w:t xml:space="preserve">sion of </w:t>
      </w:r>
      <w:r w:rsidRPr="00941053">
        <w:t xml:space="preserve">the upper edge of the 5.725-5.825 GHz band </w:t>
      </w:r>
      <w:r w:rsidR="00671707">
        <w:t xml:space="preserve">up </w:t>
      </w:r>
      <w:r w:rsidRPr="00941053">
        <w:t xml:space="preserve">to 5.85 GHz and consolidate the Part 15 rules applicable to all digitally modulated devices operating across this 125 </w:t>
      </w:r>
      <w:r w:rsidR="00976BDD">
        <w:t>MHz</w:t>
      </w:r>
      <w:r w:rsidRPr="00941053">
        <w:t xml:space="preserve"> of spectrum to ensure that all such devices comply with U-NII requirements intended to protect authori</w:t>
      </w:r>
      <w:r>
        <w:t>s</w:t>
      </w:r>
      <w:r w:rsidRPr="00941053">
        <w:t xml:space="preserve">ed users from harmful interference. </w:t>
      </w:r>
    </w:p>
    <w:p w:rsidR="00941053" w:rsidRDefault="00941053" w:rsidP="00941053">
      <w:pPr>
        <w:pStyle w:val="Paragraphedeliste"/>
        <w:numPr>
          <w:ilvl w:val="0"/>
          <w:numId w:val="44"/>
        </w:numPr>
        <w:jc w:val="left"/>
      </w:pPr>
      <w:r>
        <w:t xml:space="preserve">It is </w:t>
      </w:r>
      <w:r w:rsidRPr="00941053">
        <w:t>require</w:t>
      </w:r>
      <w:r>
        <w:t>d</w:t>
      </w:r>
      <w:r w:rsidRPr="00941053">
        <w:t xml:space="preserve"> that all U-NII device software be secured to prevent its modification to ensure that the devices will operate as authori</w:t>
      </w:r>
      <w:r>
        <w:t>s</w:t>
      </w:r>
      <w:r w:rsidRPr="00941053">
        <w:t xml:space="preserve">ed by the </w:t>
      </w:r>
      <w:r>
        <w:t>FCC</w:t>
      </w:r>
      <w:r w:rsidRPr="00941053">
        <w:t>, thus reducing the potential for harmful interference to authori</w:t>
      </w:r>
      <w:r>
        <w:t>s</w:t>
      </w:r>
      <w:r w:rsidRPr="00941053">
        <w:t xml:space="preserve">ed users. </w:t>
      </w:r>
    </w:p>
    <w:p w:rsidR="00941053" w:rsidRDefault="00941053" w:rsidP="00941053">
      <w:pPr>
        <w:pStyle w:val="Paragraphedeliste"/>
        <w:numPr>
          <w:ilvl w:val="0"/>
          <w:numId w:val="44"/>
        </w:numPr>
        <w:jc w:val="left"/>
      </w:pPr>
      <w:r w:rsidRPr="00941053">
        <w:t xml:space="preserve">To protect Terminal Doppler Weather Radar (TDWR) systems and other radar systems operating in the 5.250-5.350 GHz and 5.470-5.725 GHz bands from harmful interference, </w:t>
      </w:r>
      <w:r>
        <w:t xml:space="preserve">hence a </w:t>
      </w:r>
      <w:r w:rsidRPr="00941053">
        <w:t>modif</w:t>
      </w:r>
      <w:r>
        <w:t xml:space="preserve">ication of </w:t>
      </w:r>
      <w:r w:rsidRPr="00941053">
        <w:t>certain technical rules and compliance measurement procedures for U-NII devices operating in these bands.</w:t>
      </w:r>
    </w:p>
    <w:p w:rsidR="00941053" w:rsidRDefault="00941053" w:rsidP="00941053">
      <w:pPr>
        <w:jc w:val="left"/>
      </w:pPr>
    </w:p>
    <w:p w:rsidR="00941053" w:rsidRDefault="00941053" w:rsidP="00941053">
      <w:pPr>
        <w:jc w:val="left"/>
      </w:pPr>
      <w:r>
        <w:t>The Report &amp; Order does not address the use of U-NII devices into the 5.35-5.47 GHz and 5.85-5.925 GHz bands, pending additional technical analyses of those bands. These bands are the subject of further study and will be addressed in a separate future order.</w:t>
      </w:r>
    </w:p>
    <w:p w:rsidR="00DF1FBB" w:rsidRDefault="00DF1FBB" w:rsidP="00941053">
      <w:pPr>
        <w:jc w:val="left"/>
        <w:rPr>
          <w:lang w:val="da-DK"/>
        </w:rPr>
      </w:pPr>
      <w:r w:rsidRPr="00DF1FBB">
        <w:rPr>
          <w:lang w:val="da-DK"/>
        </w:rPr>
        <w:t>(for WGFM, FM55, SRD/MG, WGSE, SE24)</w:t>
      </w:r>
    </w:p>
    <w:p w:rsidR="00677187" w:rsidRPr="00DF1FBB" w:rsidRDefault="00677187" w:rsidP="00941053">
      <w:pPr>
        <w:jc w:val="left"/>
        <w:rPr>
          <w:lang w:val="da-DK"/>
        </w:rPr>
      </w:pPr>
    </w:p>
    <w:p w:rsidR="005D73C8" w:rsidRPr="0072124A" w:rsidRDefault="00C6430C" w:rsidP="0072124A">
      <w:pPr>
        <w:pStyle w:val="Paragraphedeliste"/>
        <w:numPr>
          <w:ilvl w:val="0"/>
          <w:numId w:val="33"/>
        </w:numPr>
        <w:spacing w:after="0"/>
        <w:rPr>
          <w:b/>
          <w:sz w:val="28"/>
          <w:szCs w:val="28"/>
        </w:rPr>
      </w:pPr>
      <w:r w:rsidRPr="0072124A">
        <w:rPr>
          <w:b/>
          <w:sz w:val="28"/>
          <w:szCs w:val="28"/>
        </w:rPr>
        <w:t>FCC and IEEE – 5 GHz – New UNII-4 Band (5850-5925 MHz)</w:t>
      </w:r>
    </w:p>
    <w:p w:rsidR="0072124A" w:rsidRDefault="0072124A" w:rsidP="00941053">
      <w:pPr>
        <w:jc w:val="left"/>
      </w:pPr>
    </w:p>
    <w:p w:rsidR="00C6430C" w:rsidRDefault="00C6430C" w:rsidP="00941053">
      <w:pPr>
        <w:jc w:val="left"/>
      </w:pPr>
      <w:r>
        <w:t xml:space="preserve">The following document gives an overview on the IEEE </w:t>
      </w:r>
      <w:proofErr w:type="gramStart"/>
      <w:r>
        <w:t>activities,</w:t>
      </w:r>
      <w:proofErr w:type="gramEnd"/>
      <w:r>
        <w:t xml:space="preserve"> especially in the so-called DSRC </w:t>
      </w:r>
      <w:r w:rsidR="00983D9C">
        <w:t>‘</w:t>
      </w:r>
      <w:r w:rsidR="001E7B96">
        <w:t>T</w:t>
      </w:r>
      <w:r>
        <w:t xml:space="preserve">iger </w:t>
      </w:r>
      <w:r w:rsidR="001E7B96">
        <w:t>T</w:t>
      </w:r>
      <w:r>
        <w:t>eam</w:t>
      </w:r>
      <w:r w:rsidR="00983D9C">
        <w:t>’</w:t>
      </w:r>
      <w:r>
        <w:t xml:space="preserve"> (The term DSRC is equivalent </w:t>
      </w:r>
      <w:r w:rsidR="00983D9C">
        <w:t>to</w:t>
      </w:r>
      <w:r>
        <w:t xml:space="preserve"> ITS – Intelligent Transport Services – in Europe)</w:t>
      </w:r>
    </w:p>
    <w:bookmarkStart w:id="2" w:name="_MON_1464174764"/>
    <w:bookmarkEnd w:id="2"/>
    <w:p w:rsidR="00B83ED4" w:rsidRDefault="005D73C8" w:rsidP="007601AD">
      <w:r>
        <w:object w:dxaOrig="1531" w:dyaOrig="990">
          <v:shape id="_x0000_i1026" type="#_x0000_t75" style="width:76.4pt;height:49.45pt" o:ole="">
            <v:imagedata r:id="rId30" o:title=""/>
          </v:shape>
          <o:OLEObject Type="Embed" ProgID="PowerPoint.Show.8" ShapeID="_x0000_i1026" DrawAspect="Icon" ObjectID="_1464717346" r:id="rId31"/>
        </w:object>
      </w:r>
    </w:p>
    <w:p w:rsidR="00C6430C" w:rsidRDefault="00C6430C" w:rsidP="007601AD">
      <w:r>
        <w:t>Participants in the Tiger Team have a variety of perspectives, including the WLAN and automotive industries, government, and academia. Since its inception, the group has engaged in extensive discussions about the status and performance of ITS systems, explored requirements for band sharing, and had presentations on some preliminary proposals for sharing techniques.  Various entities are working on simulation and mode</w:t>
      </w:r>
      <w:r w:rsidR="001E7B96">
        <w:t>l</w:t>
      </w:r>
      <w:r>
        <w:t>ling of these proposals as well as testing of prototypes as they are developed. The goal is to reach some level of consensus about the viability of one or more techniques for protecting DSRC systems from harmful interference, as stated in the NPRM. Model</w:t>
      </w:r>
      <w:r w:rsidR="001E7B96">
        <w:t>l</w:t>
      </w:r>
      <w:r>
        <w:t xml:space="preserve">ing and simulation efforts are underway, and there is the possibility that more coexistence methods may be proposed in the coming months that would also be incorporated into the analysis. Initial results from these </w:t>
      </w:r>
      <w:r>
        <w:lastRenderedPageBreak/>
        <w:t>simulation efforts are anticipated by mid-2014. Prototype development is also underway, and initial results from tests of these prototypes are anticipated to begin in the latter part of 2014. IEEE 802.11</w:t>
      </w:r>
      <w:r w:rsidR="001E7B96">
        <w:t>-</w:t>
      </w:r>
      <w:r>
        <w:t>sponsored technical activities will continue to explore ITS coexistence techniques through 2014 and beyond. If viable candidates for sharing are identified as part of this effort, it is anticipated that extensive field testing will be conducted by WLAN and ITS stakeholders outside of IEEE 802.11. The actions are considered to yield credible technical proposals that will eventually garner industry support and assist the FCC in moving forward with this NPRM</w:t>
      </w:r>
      <w:r w:rsidR="004C7F92">
        <w:t>.</w:t>
      </w:r>
    </w:p>
    <w:p w:rsidR="00C6430C" w:rsidRDefault="00C6430C" w:rsidP="007601AD">
      <w:r>
        <w:t xml:space="preserve">It is worth to </w:t>
      </w:r>
      <w:r w:rsidR="0072124A">
        <w:t xml:space="preserve">observe </w:t>
      </w:r>
      <w:r>
        <w:t xml:space="preserve">that one </w:t>
      </w:r>
      <w:r w:rsidR="004C7F92">
        <w:t xml:space="preserve">proposed </w:t>
      </w:r>
      <w:r>
        <w:t>approach</w:t>
      </w:r>
      <w:r w:rsidR="004C7F92">
        <w:t xml:space="preserve"> for WAS/RLAN vs ITS coexistence is the modification of IEEE 802.11ac to perform carrier sensing to detect the ITS protocol (802.11p) preamble (i.e. a technology-specific approach).</w:t>
      </w:r>
      <w:r w:rsidR="0072124A">
        <w:t xml:space="preserve"> This can pose questions concerning the technology-neutrality of a potential future regulatory approach</w:t>
      </w:r>
      <w:r w:rsidR="00982D6E">
        <w:t>, if it would be the only technical option (e.g. how to protect other technologies used by the same radio service/application?).</w:t>
      </w:r>
    </w:p>
    <w:p w:rsidR="0072124A" w:rsidRDefault="00DF1FBB" w:rsidP="007601AD">
      <w:pPr>
        <w:rPr>
          <w:lang w:val="da-DK"/>
        </w:rPr>
      </w:pPr>
      <w:r w:rsidRPr="00DF1FBB">
        <w:rPr>
          <w:lang w:val="da-DK"/>
        </w:rPr>
        <w:t>(for WGFM, FM55, SRD/MG, WGSE, SE24)</w:t>
      </w:r>
    </w:p>
    <w:p w:rsidR="00DF1FBB" w:rsidRPr="00DF1FBB" w:rsidRDefault="00DF1FBB" w:rsidP="007601AD">
      <w:pPr>
        <w:rPr>
          <w:lang w:val="da-DK"/>
        </w:rPr>
      </w:pPr>
    </w:p>
    <w:p w:rsidR="00B83ED4" w:rsidRPr="0072124A" w:rsidRDefault="00B83ED4" w:rsidP="0072124A">
      <w:pPr>
        <w:pStyle w:val="Paragraphedeliste"/>
        <w:numPr>
          <w:ilvl w:val="0"/>
          <w:numId w:val="33"/>
        </w:numPr>
        <w:spacing w:after="0"/>
        <w:rPr>
          <w:b/>
          <w:sz w:val="28"/>
          <w:szCs w:val="28"/>
        </w:rPr>
      </w:pPr>
      <w:r w:rsidRPr="0072124A">
        <w:rPr>
          <w:b/>
          <w:sz w:val="28"/>
          <w:szCs w:val="28"/>
        </w:rPr>
        <w:t xml:space="preserve">FCC unveils framework for </w:t>
      </w:r>
      <w:r w:rsidR="001D08D5" w:rsidRPr="0072124A">
        <w:rPr>
          <w:b/>
          <w:sz w:val="28"/>
          <w:szCs w:val="28"/>
        </w:rPr>
        <w:t xml:space="preserve">the </w:t>
      </w:r>
      <w:r w:rsidRPr="0072124A">
        <w:rPr>
          <w:b/>
          <w:sz w:val="28"/>
          <w:szCs w:val="28"/>
        </w:rPr>
        <w:t xml:space="preserve">spectrum incentive auction </w:t>
      </w:r>
      <w:r w:rsidR="00D66735" w:rsidRPr="0072124A">
        <w:rPr>
          <w:b/>
          <w:sz w:val="28"/>
          <w:szCs w:val="28"/>
        </w:rPr>
        <w:t>- 600 MHz band plan</w:t>
      </w:r>
    </w:p>
    <w:p w:rsidR="00B83ED4" w:rsidRPr="0072124A" w:rsidRDefault="00B83ED4" w:rsidP="001D08D5">
      <w:pPr>
        <w:spacing w:before="100" w:beforeAutospacing="1" w:after="100" w:afterAutospacing="1"/>
        <w:jc w:val="left"/>
        <w:rPr>
          <w:rFonts w:cs="Arial"/>
          <w:szCs w:val="22"/>
          <w:lang w:val="en" w:eastAsia="da-DK"/>
        </w:rPr>
      </w:pPr>
      <w:r w:rsidRPr="0072124A">
        <w:rPr>
          <w:rFonts w:cs="Arial"/>
          <w:szCs w:val="22"/>
          <w:lang w:val="en" w:eastAsia="da-DK"/>
        </w:rPr>
        <w:t xml:space="preserve">The Federal Communications Commission (FCC) </w:t>
      </w:r>
      <w:r w:rsidR="00D66735" w:rsidRPr="0072124A">
        <w:rPr>
          <w:rFonts w:cs="Arial"/>
          <w:szCs w:val="22"/>
          <w:lang w:val="en" w:eastAsia="da-DK"/>
        </w:rPr>
        <w:t xml:space="preserve">issued on 15 May 2014 the report and order </w:t>
      </w:r>
      <w:r w:rsidRPr="0072124A">
        <w:rPr>
          <w:rFonts w:cs="Arial"/>
          <w:szCs w:val="22"/>
          <w:lang w:val="en" w:eastAsia="da-DK"/>
        </w:rPr>
        <w:t>on the main rules for the broadcast TV spectrum incentive auction</w:t>
      </w:r>
      <w:r w:rsidR="00D66735" w:rsidRPr="0072124A">
        <w:rPr>
          <w:rFonts w:cs="Arial"/>
          <w:szCs w:val="22"/>
          <w:lang w:val="en" w:eastAsia="da-DK"/>
        </w:rPr>
        <w:t xml:space="preserve"> </w:t>
      </w:r>
      <w:r w:rsidRPr="0072124A">
        <w:rPr>
          <w:rFonts w:cs="Arial"/>
          <w:szCs w:val="22"/>
          <w:lang w:val="en" w:eastAsia="da-DK"/>
        </w:rPr>
        <w:t>determin</w:t>
      </w:r>
      <w:r w:rsidR="00D66735" w:rsidRPr="0072124A">
        <w:rPr>
          <w:rFonts w:cs="Arial"/>
          <w:szCs w:val="22"/>
          <w:lang w:val="en" w:eastAsia="da-DK"/>
        </w:rPr>
        <w:t xml:space="preserve">ing </w:t>
      </w:r>
      <w:r w:rsidRPr="0072124A">
        <w:rPr>
          <w:rFonts w:cs="Arial"/>
          <w:szCs w:val="22"/>
          <w:lang w:val="en" w:eastAsia="da-DK"/>
        </w:rPr>
        <w:t>many significant issues and policy decisions</w:t>
      </w:r>
      <w:r w:rsidR="00D66735" w:rsidRPr="0072124A">
        <w:rPr>
          <w:rFonts w:cs="Arial"/>
          <w:szCs w:val="22"/>
          <w:lang w:val="en" w:eastAsia="da-DK"/>
        </w:rPr>
        <w:t xml:space="preserve">. </w:t>
      </w:r>
      <w:hyperlink r:id="rId32" w:history="1">
        <w:r w:rsidR="001D08D5" w:rsidRPr="0072124A">
          <w:rPr>
            <w:rStyle w:val="Lienhypertexte"/>
            <w:rFonts w:cs="Arial"/>
            <w:szCs w:val="22"/>
            <w:lang w:val="en" w:eastAsia="da-DK"/>
          </w:rPr>
          <w:t>Report and Order FCC 14-50</w:t>
        </w:r>
      </w:hyperlink>
      <w:r w:rsidR="001D08D5" w:rsidRPr="0072124A">
        <w:rPr>
          <w:rFonts w:cs="Arial"/>
          <w:szCs w:val="22"/>
          <w:lang w:val="en" w:eastAsia="da-DK"/>
        </w:rPr>
        <w:t xml:space="preserve"> , released 2 June 2014.</w:t>
      </w:r>
    </w:p>
    <w:p w:rsidR="00B83ED4" w:rsidRPr="0072124A" w:rsidRDefault="00B83ED4" w:rsidP="00B83ED4">
      <w:pPr>
        <w:spacing w:before="100" w:beforeAutospacing="1" w:after="100" w:afterAutospacing="1"/>
        <w:jc w:val="left"/>
        <w:rPr>
          <w:rFonts w:cs="Arial"/>
          <w:szCs w:val="22"/>
          <w:lang w:val="en" w:eastAsia="da-DK"/>
        </w:rPr>
      </w:pPr>
      <w:r w:rsidRPr="0072124A">
        <w:rPr>
          <w:rFonts w:cs="Arial"/>
          <w:szCs w:val="22"/>
          <w:lang w:val="en" w:eastAsia="da-DK"/>
        </w:rPr>
        <w:t xml:space="preserve">The </w:t>
      </w:r>
      <w:r w:rsidR="00D66735" w:rsidRPr="0072124A">
        <w:rPr>
          <w:rFonts w:cs="Arial"/>
          <w:szCs w:val="22"/>
          <w:lang w:val="en" w:eastAsia="da-DK"/>
        </w:rPr>
        <w:t xml:space="preserve">report and order </w:t>
      </w:r>
      <w:r w:rsidRPr="0072124A">
        <w:rPr>
          <w:rFonts w:cs="Arial"/>
          <w:szCs w:val="22"/>
          <w:lang w:val="en" w:eastAsia="da-DK"/>
        </w:rPr>
        <w:t xml:space="preserve">proposes a band plan for the 600 MHz band with specific paired uplink and downlink bands, enabling two-way communications, comprised of 5 MHz “building blocks”, consistent with the wireless industry's technical standards. The </w:t>
      </w:r>
      <w:r w:rsidR="00D66735" w:rsidRPr="0072124A">
        <w:rPr>
          <w:rFonts w:cs="Arial"/>
          <w:szCs w:val="22"/>
          <w:lang w:val="en" w:eastAsia="da-DK"/>
        </w:rPr>
        <w:t xml:space="preserve">report and order </w:t>
      </w:r>
      <w:r w:rsidRPr="0072124A">
        <w:rPr>
          <w:rFonts w:cs="Arial"/>
          <w:szCs w:val="22"/>
          <w:lang w:val="en" w:eastAsia="da-DK"/>
        </w:rPr>
        <w:t>allows for variation in the amount of spectrum recovered from broadcasters in different geographic areas to prevent the “least common denominator market” from limiting the quantity of spectrum that can be offered in the auction.</w:t>
      </w:r>
    </w:p>
    <w:p w:rsidR="00B83ED4" w:rsidRPr="0072124A" w:rsidRDefault="00B83ED4" w:rsidP="00B83ED4">
      <w:pPr>
        <w:spacing w:before="100" w:beforeAutospacing="1" w:after="100" w:afterAutospacing="1"/>
        <w:jc w:val="left"/>
        <w:rPr>
          <w:rFonts w:cs="Arial"/>
          <w:szCs w:val="22"/>
          <w:lang w:val="en" w:eastAsia="da-DK"/>
        </w:rPr>
      </w:pPr>
      <w:r w:rsidRPr="0072124A">
        <w:rPr>
          <w:rFonts w:cs="Arial"/>
          <w:szCs w:val="22"/>
          <w:lang w:val="en" w:eastAsia="da-DK"/>
        </w:rPr>
        <w:t xml:space="preserve">The proposal also adopts partial economic areas (PEAs) as the licensing area for the 600 MHz band to permit entry by providers that want to offer </w:t>
      </w:r>
      <w:proofErr w:type="spellStart"/>
      <w:r w:rsidRPr="0072124A">
        <w:rPr>
          <w:rFonts w:cs="Arial"/>
          <w:szCs w:val="22"/>
          <w:lang w:val="en" w:eastAsia="da-DK"/>
        </w:rPr>
        <w:t>localised</w:t>
      </w:r>
      <w:proofErr w:type="spellEnd"/>
      <w:r w:rsidRPr="0072124A">
        <w:rPr>
          <w:rFonts w:cs="Arial"/>
          <w:szCs w:val="22"/>
          <w:lang w:val="en" w:eastAsia="da-DK"/>
        </w:rPr>
        <w:t xml:space="preserve"> wireless broadband services while also allowing providers planning to offer service on a broader geographic scale to aggregate PEAs. It sets technical and services rules akin to those governing the adjacent 700 MHz band, and requires interoperability across the whole of the new 600 MHz band.</w:t>
      </w:r>
    </w:p>
    <w:p w:rsidR="00B83ED4" w:rsidRPr="0072124A" w:rsidRDefault="00B83ED4" w:rsidP="00B83ED4">
      <w:pPr>
        <w:spacing w:before="100" w:beforeAutospacing="1" w:after="100" w:afterAutospacing="1"/>
        <w:jc w:val="left"/>
        <w:rPr>
          <w:rFonts w:cs="Arial"/>
          <w:szCs w:val="22"/>
          <w:lang w:val="en" w:eastAsia="da-DK"/>
        </w:rPr>
      </w:pPr>
      <w:r w:rsidRPr="0072124A">
        <w:rPr>
          <w:rFonts w:cs="Arial"/>
          <w:szCs w:val="22"/>
          <w:lang w:val="en" w:eastAsia="da-DK"/>
        </w:rPr>
        <w:t xml:space="preserve">The </w:t>
      </w:r>
      <w:r w:rsidR="00D66735" w:rsidRPr="0072124A">
        <w:rPr>
          <w:rFonts w:cs="Arial"/>
          <w:szCs w:val="22"/>
          <w:lang w:val="en" w:eastAsia="da-DK"/>
        </w:rPr>
        <w:t xml:space="preserve">report and order </w:t>
      </w:r>
      <w:r w:rsidRPr="0072124A">
        <w:rPr>
          <w:rFonts w:cs="Arial"/>
          <w:szCs w:val="22"/>
          <w:lang w:val="en" w:eastAsia="da-DK"/>
        </w:rPr>
        <w:t>makes the 600 MHz guard band and channel 37 available for unlicensed use, thus making spectrum available for unlicensed devices nationwide. There could be 12-30 MHz of spectrum in the guard band and 6 MHz in channel 37 freed up, depending on how much spectrum broadcasters relinquish</w:t>
      </w:r>
      <w:r w:rsidR="00D66735" w:rsidRPr="0072124A">
        <w:rPr>
          <w:rFonts w:cs="Arial"/>
          <w:szCs w:val="22"/>
          <w:lang w:val="en" w:eastAsia="da-DK"/>
        </w:rPr>
        <w:t xml:space="preserve">. </w:t>
      </w:r>
      <w:r w:rsidRPr="0072124A">
        <w:rPr>
          <w:rFonts w:cs="Arial"/>
          <w:szCs w:val="22"/>
          <w:lang w:val="en" w:eastAsia="da-DK"/>
        </w:rPr>
        <w:t xml:space="preserve">There is likely to be a separate rulemaking proceeding shortly after the adoption of the </w:t>
      </w:r>
      <w:r w:rsidR="00D66735" w:rsidRPr="0072124A">
        <w:rPr>
          <w:rFonts w:cs="Arial"/>
          <w:szCs w:val="22"/>
          <w:lang w:val="en" w:eastAsia="da-DK"/>
        </w:rPr>
        <w:t xml:space="preserve">report and order </w:t>
      </w:r>
      <w:r w:rsidRPr="0072124A">
        <w:rPr>
          <w:rFonts w:cs="Arial"/>
          <w:szCs w:val="22"/>
          <w:lang w:val="en" w:eastAsia="da-DK"/>
        </w:rPr>
        <w:t>to consider changes to existing technical rules to govern the use of unlicensed devices in the 600 MHz band and channel 37 while protecting other users on the same or adjacent frequencies</w:t>
      </w:r>
      <w:r w:rsidR="00D66735" w:rsidRPr="0072124A">
        <w:rPr>
          <w:rFonts w:cs="Arial"/>
          <w:szCs w:val="22"/>
          <w:lang w:val="en" w:eastAsia="da-DK"/>
        </w:rPr>
        <w:t>.</w:t>
      </w:r>
    </w:p>
    <w:p w:rsidR="00B83ED4" w:rsidRPr="0072124A" w:rsidRDefault="00B83ED4" w:rsidP="0072124A">
      <w:pPr>
        <w:spacing w:before="100" w:beforeAutospacing="1" w:after="100" w:afterAutospacing="1"/>
        <w:jc w:val="left"/>
        <w:outlineLvl w:val="2"/>
        <w:rPr>
          <w:rFonts w:ascii="Times New Roman" w:hAnsi="Times New Roman"/>
          <w:b/>
          <w:bCs/>
          <w:sz w:val="27"/>
          <w:szCs w:val="27"/>
          <w:lang w:val="en" w:eastAsia="da-DK"/>
        </w:rPr>
      </w:pPr>
      <w:r w:rsidRPr="0072124A">
        <w:rPr>
          <w:rFonts w:ascii="Times New Roman" w:hAnsi="Times New Roman"/>
          <w:b/>
          <w:bCs/>
          <w:sz w:val="27"/>
          <w:szCs w:val="27"/>
          <w:lang w:val="en" w:eastAsia="da-DK"/>
        </w:rPr>
        <w:t>Auction process</w:t>
      </w:r>
      <w:r w:rsidR="001E7B96">
        <w:rPr>
          <w:rFonts w:ascii="Times New Roman" w:hAnsi="Times New Roman"/>
          <w:b/>
          <w:bCs/>
          <w:sz w:val="27"/>
          <w:szCs w:val="27"/>
          <w:lang w:val="en" w:eastAsia="da-DK"/>
        </w:rPr>
        <w:t xml:space="preserve"> – key elements</w:t>
      </w:r>
    </w:p>
    <w:p w:rsidR="00B83ED4" w:rsidRPr="0072124A" w:rsidRDefault="00B83ED4" w:rsidP="00B83ED4">
      <w:pPr>
        <w:spacing w:before="100" w:beforeAutospacing="1" w:after="100" w:afterAutospacing="1"/>
        <w:jc w:val="left"/>
        <w:rPr>
          <w:rFonts w:cs="Arial"/>
          <w:szCs w:val="22"/>
          <w:lang w:val="en" w:eastAsia="da-DK"/>
        </w:rPr>
      </w:pPr>
      <w:r w:rsidRPr="0072124A">
        <w:rPr>
          <w:rFonts w:cs="Arial"/>
          <w:szCs w:val="22"/>
          <w:lang w:val="en" w:eastAsia="da-DK"/>
        </w:rPr>
        <w:t>The reverse auction for broadcasters and subsequent forward auction for wireless providers will be integrated in a series of stages, each of which will consist of a reverse auction and forward auction bidding process aimed at a specific spectrum-clearing goal</w:t>
      </w:r>
      <w:r w:rsidR="001D08D5" w:rsidRPr="0072124A">
        <w:rPr>
          <w:rFonts w:cs="Arial"/>
          <w:szCs w:val="22"/>
          <w:lang w:val="en" w:eastAsia="da-DK"/>
        </w:rPr>
        <w:t>.</w:t>
      </w:r>
    </w:p>
    <w:p w:rsidR="00B83ED4" w:rsidRPr="0072124A" w:rsidRDefault="00B83ED4" w:rsidP="00B83ED4">
      <w:pPr>
        <w:spacing w:before="100" w:beforeAutospacing="1" w:after="100" w:afterAutospacing="1"/>
        <w:jc w:val="left"/>
        <w:rPr>
          <w:rFonts w:cs="Arial"/>
          <w:szCs w:val="22"/>
          <w:lang w:val="en" w:eastAsia="da-DK"/>
        </w:rPr>
      </w:pPr>
      <w:r w:rsidRPr="0072124A">
        <w:rPr>
          <w:rFonts w:cs="Arial"/>
          <w:szCs w:val="22"/>
          <w:lang w:val="en" w:eastAsia="da-DK"/>
        </w:rPr>
        <w:t>The reverse auction will use a descending clock format in which the price offered for each station for the participation option it chooses – go off air, channel share or move from UHF to VHF – will be adjusted downward as the rounds progress. The price offered to broadcasters will drop with each successive bidding round</w:t>
      </w:r>
      <w:r w:rsidR="001D08D5" w:rsidRPr="0072124A">
        <w:rPr>
          <w:rFonts w:cs="Arial"/>
          <w:szCs w:val="22"/>
          <w:lang w:val="en" w:eastAsia="da-DK"/>
        </w:rPr>
        <w:t>.</w:t>
      </w:r>
    </w:p>
    <w:p w:rsidR="00B83ED4" w:rsidRDefault="00B83ED4" w:rsidP="00B83ED4">
      <w:pPr>
        <w:spacing w:before="100" w:beforeAutospacing="1" w:after="100" w:afterAutospacing="1"/>
        <w:jc w:val="left"/>
        <w:rPr>
          <w:rFonts w:cs="Arial"/>
          <w:szCs w:val="22"/>
          <w:lang w:val="en" w:eastAsia="da-DK"/>
        </w:rPr>
      </w:pPr>
      <w:r w:rsidRPr="0072124A">
        <w:rPr>
          <w:rFonts w:cs="Arial"/>
          <w:szCs w:val="22"/>
          <w:lang w:val="en" w:eastAsia="da-DK"/>
        </w:rPr>
        <w:lastRenderedPageBreak/>
        <w:t xml:space="preserve">The forward auction will use a multiple round ascending clock format in which prices will generally rise from round to round as the demand for </w:t>
      </w:r>
      <w:proofErr w:type="spellStart"/>
      <w:r w:rsidRPr="0072124A">
        <w:rPr>
          <w:rFonts w:cs="Arial"/>
          <w:szCs w:val="22"/>
          <w:lang w:val="en" w:eastAsia="da-DK"/>
        </w:rPr>
        <w:t>licen</w:t>
      </w:r>
      <w:r w:rsidR="001D08D5" w:rsidRPr="0072124A">
        <w:rPr>
          <w:rFonts w:cs="Arial"/>
          <w:szCs w:val="22"/>
          <w:lang w:val="en" w:eastAsia="da-DK"/>
        </w:rPr>
        <w:t>c</w:t>
      </w:r>
      <w:r w:rsidRPr="0072124A">
        <w:rPr>
          <w:rFonts w:cs="Arial"/>
          <w:szCs w:val="22"/>
          <w:lang w:val="en" w:eastAsia="da-DK"/>
        </w:rPr>
        <w:t>es</w:t>
      </w:r>
      <w:proofErr w:type="spellEnd"/>
      <w:r w:rsidRPr="0072124A">
        <w:rPr>
          <w:rFonts w:cs="Arial"/>
          <w:szCs w:val="22"/>
          <w:lang w:val="en" w:eastAsia="da-DK"/>
        </w:rPr>
        <w:t xml:space="preserve"> exceeds the amount available, it said. When the clock price stops rising, the bidders still seeking </w:t>
      </w:r>
      <w:proofErr w:type="spellStart"/>
      <w:r w:rsidRPr="0072124A">
        <w:rPr>
          <w:rFonts w:cs="Arial"/>
          <w:szCs w:val="22"/>
          <w:lang w:val="en" w:eastAsia="da-DK"/>
        </w:rPr>
        <w:t>licen</w:t>
      </w:r>
      <w:r w:rsidR="001D08D5" w:rsidRPr="0072124A">
        <w:rPr>
          <w:rFonts w:cs="Arial"/>
          <w:szCs w:val="22"/>
          <w:lang w:val="en" w:eastAsia="da-DK"/>
        </w:rPr>
        <w:t>c</w:t>
      </w:r>
      <w:r w:rsidRPr="0072124A">
        <w:rPr>
          <w:rFonts w:cs="Arial"/>
          <w:szCs w:val="22"/>
          <w:lang w:val="en" w:eastAsia="da-DK"/>
        </w:rPr>
        <w:t>es</w:t>
      </w:r>
      <w:proofErr w:type="spellEnd"/>
      <w:r w:rsidRPr="0072124A">
        <w:rPr>
          <w:rFonts w:cs="Arial"/>
          <w:szCs w:val="22"/>
          <w:lang w:val="en" w:eastAsia="da-DK"/>
        </w:rPr>
        <w:t xml:space="preserve"> will be the winners.</w:t>
      </w:r>
    </w:p>
    <w:p w:rsidR="00B83ED4" w:rsidRPr="0072124A" w:rsidRDefault="001F2E1A" w:rsidP="00B83ED4">
      <w:pPr>
        <w:spacing w:before="100" w:beforeAutospacing="1" w:after="100" w:afterAutospacing="1"/>
        <w:jc w:val="left"/>
        <w:rPr>
          <w:rFonts w:cs="Arial"/>
          <w:szCs w:val="22"/>
          <w:lang w:val="en" w:eastAsia="da-DK"/>
        </w:rPr>
      </w:pPr>
      <w:r>
        <w:rPr>
          <w:rFonts w:cs="Arial"/>
          <w:szCs w:val="22"/>
          <w:lang w:val="en" w:eastAsia="da-DK"/>
        </w:rPr>
        <w:t xml:space="preserve">However, if that price does not </w:t>
      </w:r>
      <w:r w:rsidR="00B83ED4" w:rsidRPr="0072124A">
        <w:rPr>
          <w:rFonts w:cs="Arial"/>
          <w:szCs w:val="22"/>
          <w:lang w:val="en" w:eastAsia="da-DK"/>
        </w:rPr>
        <w:t>meet a specific</w:t>
      </w:r>
      <w:r w:rsidR="000B39F4">
        <w:rPr>
          <w:rFonts w:cs="Arial"/>
          <w:szCs w:val="22"/>
          <w:lang w:val="en" w:eastAsia="da-DK"/>
        </w:rPr>
        <w:t xml:space="preserve"> </w:t>
      </w:r>
      <w:r w:rsidR="00B83ED4" w:rsidRPr="0072124A">
        <w:rPr>
          <w:rFonts w:cs="Arial"/>
          <w:szCs w:val="22"/>
          <w:lang w:val="en" w:eastAsia="da-DK"/>
        </w:rPr>
        <w:t>reserve price determined by the FCC, the agency would reduce the clearing goal and start another stage of the auction.</w:t>
      </w:r>
    </w:p>
    <w:p w:rsidR="00B83ED4" w:rsidRPr="00B83ED4" w:rsidRDefault="00B83ED4" w:rsidP="001D08D5">
      <w:pPr>
        <w:spacing w:before="100" w:beforeAutospacing="1" w:after="100" w:afterAutospacing="1"/>
        <w:jc w:val="left"/>
        <w:outlineLvl w:val="2"/>
        <w:rPr>
          <w:rFonts w:ascii="Times New Roman" w:hAnsi="Times New Roman"/>
          <w:b/>
          <w:bCs/>
          <w:sz w:val="27"/>
          <w:szCs w:val="27"/>
          <w:lang w:val="en" w:eastAsia="da-DK"/>
        </w:rPr>
      </w:pPr>
      <w:r w:rsidRPr="00B83ED4">
        <w:rPr>
          <w:rFonts w:ascii="Times New Roman" w:hAnsi="Times New Roman"/>
          <w:b/>
          <w:bCs/>
          <w:sz w:val="27"/>
          <w:szCs w:val="27"/>
          <w:lang w:val="en" w:eastAsia="da-DK"/>
        </w:rPr>
        <w:t>Repacking and transition</w:t>
      </w:r>
    </w:p>
    <w:p w:rsidR="00B83ED4" w:rsidRPr="0072124A" w:rsidRDefault="00B83ED4" w:rsidP="00B83ED4">
      <w:pPr>
        <w:spacing w:before="100" w:beforeAutospacing="1" w:after="100" w:afterAutospacing="1"/>
        <w:jc w:val="left"/>
        <w:rPr>
          <w:rFonts w:cs="Arial"/>
          <w:szCs w:val="22"/>
          <w:lang w:val="en" w:eastAsia="da-DK"/>
        </w:rPr>
      </w:pPr>
      <w:r w:rsidRPr="0072124A">
        <w:rPr>
          <w:rFonts w:cs="Arial"/>
          <w:szCs w:val="22"/>
          <w:lang w:val="en" w:eastAsia="da-DK"/>
        </w:rPr>
        <w:t>TV stations opting to remain on air will be assigned new channels after the incentive auction. The proposed repacking methodology makes all reasonable efforts to preserve a station's coverage area and population</w:t>
      </w:r>
      <w:r w:rsidR="001D08D5" w:rsidRPr="0072124A">
        <w:rPr>
          <w:rFonts w:cs="Arial"/>
          <w:szCs w:val="22"/>
          <w:lang w:val="en" w:eastAsia="da-DK"/>
        </w:rPr>
        <w:t>.</w:t>
      </w:r>
    </w:p>
    <w:p w:rsidR="00B83ED4" w:rsidRPr="0072124A" w:rsidRDefault="00B83ED4" w:rsidP="00B83ED4">
      <w:pPr>
        <w:spacing w:before="100" w:beforeAutospacing="1" w:after="100" w:afterAutospacing="1"/>
        <w:jc w:val="left"/>
        <w:rPr>
          <w:rFonts w:cs="Arial"/>
          <w:szCs w:val="22"/>
          <w:lang w:val="en" w:eastAsia="da-DK"/>
        </w:rPr>
      </w:pPr>
      <w:r w:rsidRPr="0072124A">
        <w:rPr>
          <w:rFonts w:cs="Arial"/>
          <w:szCs w:val="22"/>
          <w:lang w:val="en" w:eastAsia="da-DK"/>
        </w:rPr>
        <w:t xml:space="preserve">The </w:t>
      </w:r>
      <w:r w:rsidR="001D08D5" w:rsidRPr="0072124A">
        <w:rPr>
          <w:rFonts w:cs="Arial"/>
          <w:szCs w:val="22"/>
          <w:lang w:val="en" w:eastAsia="da-DK"/>
        </w:rPr>
        <w:t xml:space="preserve">report and order </w:t>
      </w:r>
      <w:r w:rsidRPr="0072124A">
        <w:rPr>
          <w:rFonts w:cs="Arial"/>
          <w:szCs w:val="22"/>
          <w:lang w:val="en" w:eastAsia="da-DK"/>
        </w:rPr>
        <w:t xml:space="preserve">commits to </w:t>
      </w:r>
      <w:r w:rsidR="001F2E1A">
        <w:rPr>
          <w:rFonts w:cs="Arial"/>
          <w:szCs w:val="22"/>
          <w:lang w:val="en" w:eastAsia="da-DK"/>
        </w:rPr>
        <w:t xml:space="preserve">clearance and implementation of new channels </w:t>
      </w:r>
      <w:r w:rsidRPr="0072124A">
        <w:rPr>
          <w:rFonts w:cs="Arial"/>
          <w:szCs w:val="22"/>
          <w:lang w:val="en" w:eastAsia="da-DK"/>
        </w:rPr>
        <w:t>no later than 39 months after repacking becomes effective</w:t>
      </w:r>
      <w:r w:rsidR="001F2E1A" w:rsidRPr="001F2E1A">
        <w:rPr>
          <w:rFonts w:cs="Arial"/>
          <w:szCs w:val="22"/>
          <w:lang w:val="en" w:eastAsia="da-DK"/>
        </w:rPr>
        <w:t xml:space="preserve"> </w:t>
      </w:r>
      <w:r w:rsidR="001F2E1A" w:rsidRPr="0072124A">
        <w:rPr>
          <w:rFonts w:cs="Arial"/>
          <w:szCs w:val="22"/>
          <w:lang w:val="en" w:eastAsia="da-DK"/>
        </w:rPr>
        <w:t>with each station assigned a transition deadline tailored to its individual circumstances.</w:t>
      </w:r>
      <w:r w:rsidRPr="0072124A">
        <w:rPr>
          <w:rFonts w:cs="Arial"/>
          <w:szCs w:val="22"/>
          <w:lang w:val="en" w:eastAsia="da-DK"/>
        </w:rPr>
        <w:t xml:space="preserve"> Broadcasters that successfully bid to relinquish their </w:t>
      </w:r>
      <w:proofErr w:type="spellStart"/>
      <w:r w:rsidRPr="0072124A">
        <w:rPr>
          <w:rFonts w:cs="Arial"/>
          <w:szCs w:val="22"/>
          <w:lang w:val="en" w:eastAsia="da-DK"/>
        </w:rPr>
        <w:t>licences</w:t>
      </w:r>
      <w:proofErr w:type="spellEnd"/>
      <w:r w:rsidRPr="0072124A">
        <w:rPr>
          <w:rFonts w:cs="Arial"/>
          <w:szCs w:val="22"/>
          <w:lang w:val="en" w:eastAsia="da-DK"/>
        </w:rPr>
        <w:t xml:space="preserve"> or share channels must cease operations on their pre-auction channels three months from the date they receive their auction proceeds. </w:t>
      </w:r>
    </w:p>
    <w:p w:rsidR="00B83ED4" w:rsidRDefault="00B83ED4" w:rsidP="00B83ED4">
      <w:pPr>
        <w:spacing w:before="100" w:beforeAutospacing="1" w:after="100" w:afterAutospacing="1"/>
        <w:jc w:val="left"/>
        <w:rPr>
          <w:rFonts w:cs="Arial"/>
          <w:szCs w:val="22"/>
          <w:lang w:val="en" w:eastAsia="da-DK"/>
        </w:rPr>
      </w:pPr>
      <w:r w:rsidRPr="0072124A">
        <w:rPr>
          <w:rFonts w:cs="Arial"/>
          <w:szCs w:val="22"/>
          <w:lang w:val="en" w:eastAsia="da-DK"/>
        </w:rPr>
        <w:t>The auction is expected to take place</w:t>
      </w:r>
      <w:r w:rsidR="001D08D5" w:rsidRPr="0072124A">
        <w:rPr>
          <w:rFonts w:cs="Arial"/>
          <w:szCs w:val="22"/>
          <w:lang w:val="en" w:eastAsia="da-DK"/>
        </w:rPr>
        <w:t xml:space="preserve"> later on in </w:t>
      </w:r>
      <w:r w:rsidRPr="0072124A">
        <w:rPr>
          <w:rFonts w:cs="Arial"/>
          <w:szCs w:val="22"/>
          <w:lang w:val="en" w:eastAsia="da-DK"/>
        </w:rPr>
        <w:t>2015.</w:t>
      </w:r>
    </w:p>
    <w:p w:rsidR="00DF1FBB" w:rsidRPr="0072124A" w:rsidRDefault="00DF1FBB" w:rsidP="00B83ED4">
      <w:pPr>
        <w:spacing w:before="100" w:beforeAutospacing="1" w:after="100" w:afterAutospacing="1"/>
        <w:jc w:val="left"/>
        <w:rPr>
          <w:rFonts w:cs="Arial"/>
          <w:szCs w:val="22"/>
          <w:lang w:val="en" w:eastAsia="da-DK"/>
        </w:rPr>
      </w:pPr>
      <w:r>
        <w:rPr>
          <w:rFonts w:cs="Arial"/>
          <w:szCs w:val="22"/>
          <w:lang w:val="en" w:eastAsia="da-DK"/>
        </w:rPr>
        <w:t>(</w:t>
      </w:r>
      <w:proofErr w:type="gramStart"/>
      <w:r>
        <w:rPr>
          <w:rFonts w:cs="Arial"/>
          <w:szCs w:val="22"/>
          <w:lang w:val="en" w:eastAsia="da-DK"/>
        </w:rPr>
        <w:t>for</w:t>
      </w:r>
      <w:proofErr w:type="gramEnd"/>
      <w:r>
        <w:rPr>
          <w:rFonts w:cs="Arial"/>
          <w:szCs w:val="22"/>
          <w:lang w:val="en" w:eastAsia="da-DK"/>
        </w:rPr>
        <w:t xml:space="preserve"> TG6, PT1, CPG, WGFM</w:t>
      </w:r>
      <w:r w:rsidR="001F2E1A">
        <w:rPr>
          <w:rFonts w:cs="Arial"/>
          <w:szCs w:val="22"/>
          <w:lang w:val="en" w:eastAsia="da-DK"/>
        </w:rPr>
        <w:t>.  The principles applied may also be of more general interest to administrations</w:t>
      </w:r>
      <w:r>
        <w:rPr>
          <w:rFonts w:cs="Arial"/>
          <w:szCs w:val="22"/>
          <w:lang w:val="en" w:eastAsia="da-DK"/>
        </w:rPr>
        <w:t>)</w:t>
      </w:r>
    </w:p>
    <w:p w:rsidR="001D08D5" w:rsidRPr="00DF1FBB" w:rsidRDefault="00DF1FBB" w:rsidP="00DF1FBB">
      <w:pPr>
        <w:pStyle w:val="Paragraphedeliste"/>
        <w:numPr>
          <w:ilvl w:val="0"/>
          <w:numId w:val="33"/>
        </w:numPr>
        <w:spacing w:after="0"/>
        <w:rPr>
          <w:b/>
          <w:sz w:val="28"/>
          <w:szCs w:val="28"/>
        </w:rPr>
      </w:pPr>
      <w:r w:rsidRPr="00DF1FBB">
        <w:rPr>
          <w:b/>
          <w:sz w:val="28"/>
          <w:szCs w:val="28"/>
        </w:rPr>
        <w:t>FCC actions regarding 3550-3650 MHz (Spectrum Access System ‘SAS’)</w:t>
      </w:r>
    </w:p>
    <w:p w:rsidR="001D08D5" w:rsidRPr="00DF1FBB" w:rsidRDefault="0072124A" w:rsidP="0072124A">
      <w:pPr>
        <w:spacing w:before="100" w:beforeAutospacing="1" w:after="100" w:afterAutospacing="1"/>
        <w:jc w:val="left"/>
        <w:rPr>
          <w:rFonts w:cs="Arial"/>
          <w:szCs w:val="22"/>
          <w:lang w:val="en" w:eastAsia="da-DK"/>
        </w:rPr>
      </w:pPr>
      <w:r w:rsidRPr="00DF1FBB">
        <w:rPr>
          <w:rFonts w:cs="Arial"/>
          <w:szCs w:val="22"/>
          <w:lang w:val="en" w:eastAsia="da-DK"/>
        </w:rPr>
        <w:t>The 3.5 GHz Band is identified in the USA as potentially suitable for commercial broadband use, subject to significant geographic restrictions to protect existing Department of Defense (</w:t>
      </w:r>
      <w:proofErr w:type="spellStart"/>
      <w:proofErr w:type="gramStart"/>
      <w:r w:rsidRPr="00DF1FBB">
        <w:rPr>
          <w:rFonts w:cs="Arial"/>
          <w:szCs w:val="22"/>
          <w:lang w:val="en" w:eastAsia="da-DK"/>
        </w:rPr>
        <w:t>DoD</w:t>
      </w:r>
      <w:proofErr w:type="spellEnd"/>
      <w:proofErr w:type="gramEnd"/>
      <w:r w:rsidRPr="00DF1FBB">
        <w:rPr>
          <w:rFonts w:cs="Arial"/>
          <w:szCs w:val="22"/>
          <w:lang w:val="en" w:eastAsia="da-DK"/>
        </w:rPr>
        <w:t xml:space="preserve">) radar and FSS operations and to protect new commercial systems from co-channel interference from high-powered military in-band </w:t>
      </w:r>
      <w:proofErr w:type="spellStart"/>
      <w:r w:rsidRPr="00DF1FBB">
        <w:rPr>
          <w:rFonts w:cs="Arial"/>
          <w:szCs w:val="22"/>
          <w:lang w:val="en" w:eastAsia="da-DK"/>
        </w:rPr>
        <w:t>shipborne</w:t>
      </w:r>
      <w:proofErr w:type="spellEnd"/>
      <w:r w:rsidRPr="00DF1FBB">
        <w:rPr>
          <w:rFonts w:cs="Arial"/>
          <w:szCs w:val="22"/>
          <w:lang w:val="en" w:eastAsia="da-DK"/>
        </w:rPr>
        <w:t xml:space="preserve"> and adjacent band </w:t>
      </w:r>
      <w:proofErr w:type="spellStart"/>
      <w:r w:rsidRPr="00DF1FBB">
        <w:rPr>
          <w:rFonts w:cs="Arial"/>
          <w:szCs w:val="22"/>
          <w:lang w:val="en" w:eastAsia="da-DK"/>
        </w:rPr>
        <w:t>DoD</w:t>
      </w:r>
      <w:proofErr w:type="spellEnd"/>
      <w:r w:rsidRPr="00DF1FBB">
        <w:rPr>
          <w:rFonts w:cs="Arial"/>
          <w:szCs w:val="22"/>
          <w:lang w:val="en" w:eastAsia="da-DK"/>
        </w:rPr>
        <w:t xml:space="preserve"> ground-based radar systems</w:t>
      </w:r>
      <w:r w:rsidR="00D04E39" w:rsidRPr="00DF1FBB">
        <w:rPr>
          <w:rFonts w:cs="Arial"/>
          <w:szCs w:val="22"/>
          <w:lang w:val="en" w:eastAsia="da-DK"/>
        </w:rPr>
        <w:t>. This has already been reported in the last ECO bulletin.</w:t>
      </w:r>
    </w:p>
    <w:p w:rsidR="00DF1FBB" w:rsidRPr="00DF1FBB" w:rsidRDefault="00D04E39" w:rsidP="00D04E39">
      <w:pPr>
        <w:spacing w:before="100" w:beforeAutospacing="1" w:after="100" w:afterAutospacing="1"/>
        <w:jc w:val="left"/>
        <w:rPr>
          <w:rFonts w:cs="Arial"/>
          <w:szCs w:val="22"/>
          <w:lang w:val="en" w:eastAsia="da-DK"/>
        </w:rPr>
      </w:pPr>
      <w:r w:rsidRPr="00DF1FBB">
        <w:rPr>
          <w:rFonts w:cs="Arial"/>
          <w:szCs w:val="22"/>
          <w:lang w:val="en" w:eastAsia="da-DK"/>
        </w:rPr>
        <w:t>The FCC has published on 23 April 2014 a NPRM (N</w:t>
      </w:r>
      <w:r w:rsidR="001F2E1A">
        <w:rPr>
          <w:rFonts w:cs="Arial"/>
          <w:szCs w:val="22"/>
          <w:lang w:val="en" w:eastAsia="da-DK"/>
        </w:rPr>
        <w:t xml:space="preserve">otice of </w:t>
      </w:r>
      <w:r w:rsidRPr="00DF1FBB">
        <w:rPr>
          <w:rFonts w:cs="Arial"/>
          <w:szCs w:val="22"/>
          <w:lang w:val="en" w:eastAsia="da-DK"/>
        </w:rPr>
        <w:t xml:space="preserve">Proposed Rulemaking), </w:t>
      </w:r>
      <w:hyperlink r:id="rId33" w:history="1">
        <w:r w:rsidRPr="00DF1FBB">
          <w:rPr>
            <w:rStyle w:val="Lienhypertexte"/>
            <w:rFonts w:cs="Arial"/>
            <w:szCs w:val="22"/>
            <w:lang w:val="en" w:eastAsia="da-DK"/>
          </w:rPr>
          <w:t>Link</w:t>
        </w:r>
      </w:hyperlink>
      <w:r w:rsidRPr="00DF1FBB">
        <w:rPr>
          <w:rFonts w:cs="Arial"/>
          <w:szCs w:val="22"/>
          <w:lang w:val="en" w:eastAsia="da-DK"/>
        </w:rPr>
        <w:t xml:space="preserve">., with specific proposals for the 3550-3650 MHz band, for a new Citizens Broadband Radio Service in the 3.5 GHz Band The 3.5 GHz Band is considered as an ‘innovation band’, </w:t>
      </w:r>
      <w:r w:rsidR="00B53A7B">
        <w:rPr>
          <w:rFonts w:cs="Arial"/>
          <w:szCs w:val="22"/>
          <w:lang w:val="en" w:eastAsia="da-DK"/>
        </w:rPr>
        <w:t>to</w:t>
      </w:r>
      <w:r w:rsidRPr="00DF1FBB">
        <w:rPr>
          <w:rFonts w:cs="Arial"/>
          <w:szCs w:val="22"/>
          <w:lang w:val="en" w:eastAsia="da-DK"/>
        </w:rPr>
        <w:t xml:space="preserve"> explore new methods of spectrum sharing and promote diverse network technologies, with a focus on relatively low-powered applications. If successful, the spectrum sharing model proposed for this band could ultimately be expanded to other spectrum bands</w:t>
      </w:r>
      <w:r w:rsidR="00B53A7B">
        <w:rPr>
          <w:rFonts w:cs="Arial"/>
          <w:szCs w:val="22"/>
          <w:lang w:val="en" w:eastAsia="da-DK"/>
        </w:rPr>
        <w:t>.</w:t>
      </w:r>
    </w:p>
    <w:p w:rsidR="00DF1FBB" w:rsidRPr="00DF1FBB" w:rsidRDefault="00D04E39" w:rsidP="00D04E39">
      <w:pPr>
        <w:spacing w:before="100" w:beforeAutospacing="1" w:after="100" w:afterAutospacing="1"/>
        <w:jc w:val="left"/>
        <w:rPr>
          <w:rFonts w:cs="Arial"/>
          <w:szCs w:val="22"/>
          <w:lang w:val="en" w:eastAsia="da-DK"/>
        </w:rPr>
      </w:pPr>
      <w:r w:rsidRPr="00DF1FBB">
        <w:rPr>
          <w:rFonts w:cs="Arial"/>
          <w:szCs w:val="22"/>
          <w:lang w:val="en" w:eastAsia="da-DK"/>
        </w:rPr>
        <w:t xml:space="preserve">Specifically, the proposed rules would implement a framework to </w:t>
      </w:r>
      <w:proofErr w:type="spellStart"/>
      <w:r w:rsidRPr="00DF1FBB">
        <w:rPr>
          <w:rFonts w:cs="Arial"/>
          <w:szCs w:val="22"/>
          <w:lang w:val="en" w:eastAsia="da-DK"/>
        </w:rPr>
        <w:t>authorise</w:t>
      </w:r>
      <w:proofErr w:type="spellEnd"/>
      <w:r w:rsidRPr="00DF1FBB">
        <w:rPr>
          <w:rFonts w:cs="Arial"/>
          <w:szCs w:val="22"/>
          <w:lang w:val="en" w:eastAsia="da-DK"/>
        </w:rPr>
        <w:t xml:space="preserve"> a variety of small cell and other broadband uses of the 3.5 GHz Band on a shared basis with incumbent federal and non-federal users of the band, with oversight and enforcement through a </w:t>
      </w:r>
      <w:r w:rsidR="00B53A7B">
        <w:rPr>
          <w:rFonts w:cs="Arial"/>
          <w:szCs w:val="22"/>
          <w:lang w:val="en" w:eastAsia="da-DK"/>
        </w:rPr>
        <w:t>“</w:t>
      </w:r>
      <w:r w:rsidRPr="00DF1FBB">
        <w:rPr>
          <w:rFonts w:cs="Arial"/>
          <w:szCs w:val="22"/>
          <w:lang w:val="en" w:eastAsia="da-DK"/>
        </w:rPr>
        <w:t>Spectrum Access System</w:t>
      </w:r>
      <w:proofErr w:type="gramStart"/>
      <w:r w:rsidR="00B53A7B">
        <w:rPr>
          <w:rFonts w:cs="Arial"/>
          <w:szCs w:val="22"/>
          <w:lang w:val="en" w:eastAsia="da-DK"/>
        </w:rPr>
        <w:t>”</w:t>
      </w:r>
      <w:r w:rsidRPr="00DF1FBB">
        <w:rPr>
          <w:rFonts w:cs="Arial"/>
          <w:szCs w:val="22"/>
          <w:lang w:val="en" w:eastAsia="da-DK"/>
        </w:rPr>
        <w:t>(</w:t>
      </w:r>
      <w:proofErr w:type="gramEnd"/>
      <w:r w:rsidRPr="00DF1FBB">
        <w:rPr>
          <w:rFonts w:cs="Arial"/>
          <w:szCs w:val="22"/>
          <w:lang w:val="en" w:eastAsia="da-DK"/>
        </w:rPr>
        <w:t xml:space="preserve">SAS). </w:t>
      </w:r>
      <w:r w:rsidR="00B53A7B">
        <w:rPr>
          <w:rFonts w:cs="Arial"/>
          <w:szCs w:val="22"/>
          <w:lang w:val="en" w:eastAsia="da-DK"/>
        </w:rPr>
        <w:t>T</w:t>
      </w:r>
      <w:r w:rsidRPr="00DF1FBB">
        <w:rPr>
          <w:rFonts w:cs="Arial"/>
          <w:szCs w:val="22"/>
          <w:lang w:val="en" w:eastAsia="da-DK"/>
        </w:rPr>
        <w:t xml:space="preserve">he FCC proposes to establish a three-tiered </w:t>
      </w:r>
      <w:proofErr w:type="spellStart"/>
      <w:r w:rsidRPr="00DF1FBB">
        <w:rPr>
          <w:rFonts w:cs="Arial"/>
          <w:szCs w:val="22"/>
          <w:lang w:val="en" w:eastAsia="da-DK"/>
        </w:rPr>
        <w:t>authorisation</w:t>
      </w:r>
      <w:proofErr w:type="spellEnd"/>
      <w:r w:rsidRPr="00DF1FBB">
        <w:rPr>
          <w:rFonts w:cs="Arial"/>
          <w:szCs w:val="22"/>
          <w:lang w:val="en" w:eastAsia="da-DK"/>
        </w:rPr>
        <w:t xml:space="preserve"> framework – Incumbent Access, Priority Access, and General </w:t>
      </w:r>
      <w:proofErr w:type="spellStart"/>
      <w:r w:rsidRPr="00DF1FBB">
        <w:rPr>
          <w:rFonts w:cs="Arial"/>
          <w:szCs w:val="22"/>
          <w:lang w:val="en" w:eastAsia="da-DK"/>
        </w:rPr>
        <w:t>Authori</w:t>
      </w:r>
      <w:r w:rsidR="00982D6E">
        <w:rPr>
          <w:rFonts w:cs="Arial"/>
          <w:szCs w:val="22"/>
          <w:lang w:val="en" w:eastAsia="da-DK"/>
        </w:rPr>
        <w:t>s</w:t>
      </w:r>
      <w:r w:rsidRPr="00DF1FBB">
        <w:rPr>
          <w:rFonts w:cs="Arial"/>
          <w:szCs w:val="22"/>
          <w:lang w:val="en" w:eastAsia="da-DK"/>
        </w:rPr>
        <w:t>ed</w:t>
      </w:r>
      <w:proofErr w:type="spellEnd"/>
      <w:r w:rsidRPr="00DF1FBB">
        <w:rPr>
          <w:rFonts w:cs="Arial"/>
          <w:szCs w:val="22"/>
          <w:lang w:val="en" w:eastAsia="da-DK"/>
        </w:rPr>
        <w:t xml:space="preserve"> Access (GAA) tiers. </w:t>
      </w:r>
    </w:p>
    <w:p w:rsidR="00DF1FBB" w:rsidRPr="00DF1FBB" w:rsidRDefault="00D04E39" w:rsidP="00D04E39">
      <w:pPr>
        <w:spacing w:before="100" w:beforeAutospacing="1" w:after="100" w:afterAutospacing="1"/>
        <w:jc w:val="left"/>
        <w:rPr>
          <w:rFonts w:cs="Arial"/>
          <w:szCs w:val="22"/>
          <w:lang w:val="en" w:eastAsia="da-DK"/>
        </w:rPr>
      </w:pPr>
      <w:r w:rsidRPr="00DF1FBB">
        <w:rPr>
          <w:rFonts w:cs="Arial"/>
          <w:szCs w:val="22"/>
          <w:lang w:val="en" w:eastAsia="da-DK"/>
        </w:rPr>
        <w:t xml:space="preserve">Under this framework, existing primary operations – including </w:t>
      </w:r>
      <w:proofErr w:type="spellStart"/>
      <w:r w:rsidRPr="00DF1FBB">
        <w:rPr>
          <w:rFonts w:cs="Arial"/>
          <w:szCs w:val="22"/>
          <w:lang w:val="en" w:eastAsia="da-DK"/>
        </w:rPr>
        <w:t>authorised</w:t>
      </w:r>
      <w:proofErr w:type="spellEnd"/>
      <w:r w:rsidRPr="00DF1FBB">
        <w:rPr>
          <w:rFonts w:cs="Arial"/>
          <w:szCs w:val="22"/>
          <w:lang w:val="en" w:eastAsia="da-DK"/>
        </w:rPr>
        <w:t xml:space="preserve"> federal users and grandfathered Fixed Satellite Service (FSS) earth stations - would compose the Incumbent Access tier and would receive protection from harmful interference from Citizens Broadband Radio Service users. At this time, the FCC proposes to establish geographic exclusion zones</w:t>
      </w:r>
      <w:r w:rsidR="00DF1FBB" w:rsidRPr="00DF1FBB">
        <w:rPr>
          <w:rFonts w:cs="Arial"/>
          <w:szCs w:val="22"/>
          <w:lang w:val="en" w:eastAsia="da-DK"/>
        </w:rPr>
        <w:t xml:space="preserve">. </w:t>
      </w:r>
    </w:p>
    <w:p w:rsidR="00B53A7B" w:rsidRDefault="00DF1FBB" w:rsidP="00D04E39">
      <w:pPr>
        <w:spacing w:before="100" w:beforeAutospacing="1" w:after="100" w:afterAutospacing="1"/>
        <w:jc w:val="left"/>
        <w:rPr>
          <w:rFonts w:cs="Arial"/>
          <w:szCs w:val="22"/>
          <w:lang w:val="en" w:eastAsia="da-DK"/>
        </w:rPr>
      </w:pPr>
      <w:r w:rsidRPr="00DF1FBB">
        <w:rPr>
          <w:rFonts w:cs="Arial"/>
          <w:szCs w:val="22"/>
          <w:lang w:val="en" w:eastAsia="da-DK"/>
        </w:rPr>
        <w:t xml:space="preserve">A </w:t>
      </w:r>
      <w:r w:rsidR="00D04E39" w:rsidRPr="00DF1FBB">
        <w:rPr>
          <w:rFonts w:cs="Arial"/>
          <w:szCs w:val="22"/>
          <w:lang w:val="en" w:eastAsia="da-DK"/>
        </w:rPr>
        <w:t>SAS</w:t>
      </w:r>
      <w:r w:rsidRPr="00DF1FBB">
        <w:rPr>
          <w:rFonts w:cs="Arial"/>
          <w:szCs w:val="22"/>
          <w:lang w:val="en" w:eastAsia="da-DK"/>
        </w:rPr>
        <w:t xml:space="preserve"> is intended</w:t>
      </w:r>
      <w:r w:rsidR="00B53A7B">
        <w:rPr>
          <w:rFonts w:cs="Arial"/>
          <w:szCs w:val="22"/>
          <w:lang w:val="en" w:eastAsia="da-DK"/>
        </w:rPr>
        <w:t xml:space="preserve"> to be implemented using databases</w:t>
      </w:r>
      <w:r w:rsidR="00D04E39" w:rsidRPr="00DF1FBB">
        <w:rPr>
          <w:rFonts w:cs="Arial"/>
          <w:szCs w:val="22"/>
          <w:lang w:val="en" w:eastAsia="da-DK"/>
        </w:rPr>
        <w:t>, conceptually similar to, but more</w:t>
      </w:r>
      <w:r w:rsidRPr="00DF1FBB">
        <w:rPr>
          <w:rFonts w:cs="Arial"/>
          <w:szCs w:val="22"/>
          <w:lang w:val="en" w:eastAsia="da-DK"/>
        </w:rPr>
        <w:t xml:space="preserve"> </w:t>
      </w:r>
      <w:r w:rsidR="00D04E39" w:rsidRPr="00DF1FBB">
        <w:rPr>
          <w:rFonts w:cs="Arial"/>
          <w:szCs w:val="22"/>
          <w:lang w:val="en" w:eastAsia="da-DK"/>
        </w:rPr>
        <w:t>advanced than th</w:t>
      </w:r>
      <w:r w:rsidR="00B53A7B">
        <w:rPr>
          <w:rFonts w:cs="Arial"/>
          <w:szCs w:val="22"/>
          <w:lang w:val="en" w:eastAsia="da-DK"/>
        </w:rPr>
        <w:t>os</w:t>
      </w:r>
      <w:r w:rsidR="00D04E39" w:rsidRPr="00DF1FBB">
        <w:rPr>
          <w:rFonts w:cs="Arial"/>
          <w:szCs w:val="22"/>
          <w:lang w:val="en" w:eastAsia="da-DK"/>
        </w:rPr>
        <w:t xml:space="preserve">e used to manage Television White Spaces (TVWS) devices. </w:t>
      </w:r>
    </w:p>
    <w:p w:rsidR="00D04E39" w:rsidRPr="00DF1FBB" w:rsidRDefault="00B53A7B" w:rsidP="00D04E39">
      <w:pPr>
        <w:spacing w:before="100" w:beforeAutospacing="1" w:after="100" w:afterAutospacing="1"/>
        <w:jc w:val="left"/>
        <w:rPr>
          <w:rFonts w:cs="Arial"/>
          <w:szCs w:val="22"/>
          <w:lang w:val="en" w:eastAsia="da-DK"/>
        </w:rPr>
      </w:pPr>
      <w:r>
        <w:rPr>
          <w:rFonts w:cs="Arial"/>
          <w:szCs w:val="22"/>
          <w:lang w:val="en" w:eastAsia="da-DK"/>
        </w:rPr>
        <w:lastRenderedPageBreak/>
        <w:t xml:space="preserve">There is a variation to Europe’s LSA concept, and also to Europe’s existing </w:t>
      </w:r>
      <w:proofErr w:type="spellStart"/>
      <w:r>
        <w:rPr>
          <w:rFonts w:cs="Arial"/>
          <w:szCs w:val="22"/>
          <w:lang w:val="en" w:eastAsia="da-DK"/>
        </w:rPr>
        <w:t>licence</w:t>
      </w:r>
      <w:proofErr w:type="spellEnd"/>
      <w:r>
        <w:rPr>
          <w:rFonts w:cs="Arial"/>
          <w:szCs w:val="22"/>
          <w:lang w:val="en" w:eastAsia="da-DK"/>
        </w:rPr>
        <w:t xml:space="preserve">-exempt </w:t>
      </w:r>
      <w:proofErr w:type="spellStart"/>
      <w:r>
        <w:rPr>
          <w:rFonts w:cs="Arial"/>
          <w:szCs w:val="22"/>
          <w:lang w:val="en" w:eastAsia="da-DK"/>
        </w:rPr>
        <w:t>enviroment</w:t>
      </w:r>
      <w:proofErr w:type="spellEnd"/>
      <w:r>
        <w:rPr>
          <w:rFonts w:cs="Arial"/>
          <w:szCs w:val="22"/>
          <w:lang w:val="en" w:eastAsia="da-DK"/>
        </w:rPr>
        <w:t xml:space="preserve">.  </w:t>
      </w:r>
      <w:r w:rsidR="000B39F4">
        <w:rPr>
          <w:rFonts w:cs="Arial"/>
          <w:szCs w:val="22"/>
          <w:lang w:val="en" w:eastAsia="da-DK"/>
        </w:rPr>
        <w:t>T</w:t>
      </w:r>
      <w:r>
        <w:rPr>
          <w:rFonts w:cs="Arial"/>
          <w:szCs w:val="22"/>
          <w:lang w:val="en" w:eastAsia="da-DK"/>
        </w:rPr>
        <w:t>he FCC</w:t>
      </w:r>
      <w:r w:rsidR="00DF1FBB" w:rsidRPr="00DF1FBB">
        <w:rPr>
          <w:rFonts w:cs="Arial"/>
          <w:szCs w:val="22"/>
          <w:lang w:val="en" w:eastAsia="da-DK"/>
        </w:rPr>
        <w:t xml:space="preserve"> foresee</w:t>
      </w:r>
      <w:r>
        <w:rPr>
          <w:rFonts w:cs="Arial"/>
          <w:szCs w:val="22"/>
          <w:lang w:val="en" w:eastAsia="da-DK"/>
        </w:rPr>
        <w:t>s</w:t>
      </w:r>
      <w:r w:rsidR="00DF1FBB" w:rsidRPr="00DF1FBB">
        <w:rPr>
          <w:rFonts w:cs="Arial"/>
          <w:szCs w:val="22"/>
          <w:lang w:val="en" w:eastAsia="da-DK"/>
        </w:rPr>
        <w:t xml:space="preserve"> </w:t>
      </w:r>
      <w:r w:rsidR="00D04E39" w:rsidRPr="00DF1FBB">
        <w:rPr>
          <w:rFonts w:cs="Arial"/>
          <w:szCs w:val="22"/>
          <w:lang w:val="en" w:eastAsia="da-DK"/>
        </w:rPr>
        <w:t>to define Priority Access License</w:t>
      </w:r>
      <w:r w:rsidR="00DF1FBB" w:rsidRPr="00DF1FBB">
        <w:rPr>
          <w:rFonts w:cs="Arial"/>
          <w:szCs w:val="22"/>
          <w:lang w:val="en" w:eastAsia="da-DK"/>
        </w:rPr>
        <w:t>s</w:t>
      </w:r>
      <w:r w:rsidR="00D04E39" w:rsidRPr="00DF1FBB">
        <w:rPr>
          <w:rFonts w:cs="Arial"/>
          <w:szCs w:val="22"/>
          <w:lang w:val="en" w:eastAsia="da-DK"/>
        </w:rPr>
        <w:t xml:space="preserve"> (PAL</w:t>
      </w:r>
      <w:r w:rsidR="00DF1FBB" w:rsidRPr="00DF1FBB">
        <w:rPr>
          <w:rFonts w:cs="Arial"/>
          <w:szCs w:val="22"/>
          <w:lang w:val="en" w:eastAsia="da-DK"/>
        </w:rPr>
        <w:t>s</w:t>
      </w:r>
      <w:r w:rsidR="00D04E39" w:rsidRPr="00DF1FBB">
        <w:rPr>
          <w:rFonts w:cs="Arial"/>
          <w:szCs w:val="22"/>
          <w:lang w:val="en" w:eastAsia="da-DK"/>
        </w:rPr>
        <w:t xml:space="preserve">) as </w:t>
      </w:r>
      <w:proofErr w:type="spellStart"/>
      <w:r w:rsidR="00D04E39" w:rsidRPr="00DF1FBB">
        <w:rPr>
          <w:rFonts w:cs="Arial"/>
          <w:szCs w:val="22"/>
          <w:lang w:val="en" w:eastAsia="da-DK"/>
        </w:rPr>
        <w:t>authori</w:t>
      </w:r>
      <w:r w:rsidR="00DF1FBB" w:rsidRPr="00DF1FBB">
        <w:rPr>
          <w:rFonts w:cs="Arial"/>
          <w:szCs w:val="22"/>
          <w:lang w:val="en" w:eastAsia="da-DK"/>
        </w:rPr>
        <w:t>s</w:t>
      </w:r>
      <w:r w:rsidR="00D04E39" w:rsidRPr="00DF1FBB">
        <w:rPr>
          <w:rFonts w:cs="Arial"/>
          <w:szCs w:val="22"/>
          <w:lang w:val="en" w:eastAsia="da-DK"/>
        </w:rPr>
        <w:t>ation</w:t>
      </w:r>
      <w:r w:rsidR="00DF1FBB" w:rsidRPr="00DF1FBB">
        <w:rPr>
          <w:rFonts w:cs="Arial"/>
          <w:szCs w:val="22"/>
          <w:lang w:val="en" w:eastAsia="da-DK"/>
        </w:rPr>
        <w:t>s</w:t>
      </w:r>
      <w:proofErr w:type="spellEnd"/>
      <w:r w:rsidR="00D04E39" w:rsidRPr="00DF1FBB">
        <w:rPr>
          <w:rFonts w:cs="Arial"/>
          <w:szCs w:val="22"/>
          <w:lang w:val="en" w:eastAsia="da-DK"/>
        </w:rPr>
        <w:t xml:space="preserve"> to</w:t>
      </w:r>
      <w:r w:rsidR="00DF1FBB" w:rsidRPr="00DF1FBB">
        <w:rPr>
          <w:rFonts w:cs="Arial"/>
          <w:szCs w:val="22"/>
          <w:lang w:val="en" w:eastAsia="da-DK"/>
        </w:rPr>
        <w:t xml:space="preserve"> </w:t>
      </w:r>
      <w:r w:rsidR="00D04E39" w:rsidRPr="00DF1FBB">
        <w:rPr>
          <w:rFonts w:cs="Arial"/>
          <w:szCs w:val="22"/>
          <w:lang w:val="en" w:eastAsia="da-DK"/>
        </w:rPr>
        <w:t xml:space="preserve">use for one-year a 10 </w:t>
      </w:r>
      <w:r w:rsidR="00976BDD">
        <w:rPr>
          <w:rFonts w:cs="Arial"/>
          <w:szCs w:val="22"/>
          <w:lang w:val="en" w:eastAsia="da-DK"/>
        </w:rPr>
        <w:t>MHz</w:t>
      </w:r>
      <w:r w:rsidR="00D04E39" w:rsidRPr="00DF1FBB">
        <w:rPr>
          <w:rFonts w:cs="Arial"/>
          <w:szCs w:val="22"/>
          <w:lang w:val="en" w:eastAsia="da-DK"/>
        </w:rPr>
        <w:t xml:space="preserve"> channel in a single </w:t>
      </w:r>
      <w:r w:rsidR="00DF1FBB" w:rsidRPr="00DF1FBB">
        <w:rPr>
          <w:rFonts w:cs="Arial"/>
          <w:szCs w:val="22"/>
          <w:lang w:val="en" w:eastAsia="da-DK"/>
        </w:rPr>
        <w:t>defined area</w:t>
      </w:r>
      <w:r w:rsidR="00D04E39" w:rsidRPr="00DF1FBB">
        <w:rPr>
          <w:rFonts w:cs="Arial"/>
          <w:szCs w:val="22"/>
          <w:lang w:val="en" w:eastAsia="da-DK"/>
        </w:rPr>
        <w:t>. PALs would be open to any prospective</w:t>
      </w:r>
      <w:r w:rsidR="00DF1FBB" w:rsidRPr="00DF1FBB">
        <w:rPr>
          <w:rFonts w:cs="Arial"/>
          <w:szCs w:val="22"/>
          <w:lang w:val="en" w:eastAsia="da-DK"/>
        </w:rPr>
        <w:t xml:space="preserve"> </w:t>
      </w:r>
      <w:r w:rsidR="00D04E39" w:rsidRPr="00DF1FBB">
        <w:rPr>
          <w:rFonts w:cs="Arial"/>
          <w:szCs w:val="22"/>
          <w:lang w:val="en" w:eastAsia="da-DK"/>
        </w:rPr>
        <w:t>licensee that meets basic FCC qualifications and mutually exclusive applications for PALs would be</w:t>
      </w:r>
      <w:r w:rsidR="00DF1FBB" w:rsidRPr="00DF1FBB">
        <w:rPr>
          <w:rFonts w:cs="Arial"/>
          <w:szCs w:val="22"/>
          <w:lang w:val="en" w:eastAsia="da-DK"/>
        </w:rPr>
        <w:t xml:space="preserve"> </w:t>
      </w:r>
      <w:r w:rsidR="00D04E39" w:rsidRPr="00DF1FBB">
        <w:rPr>
          <w:rFonts w:cs="Arial"/>
          <w:szCs w:val="22"/>
          <w:lang w:val="en" w:eastAsia="da-DK"/>
        </w:rPr>
        <w:t>subject to competitive bidding. PAL channels would be dynamically coordinated by the SAS and the</w:t>
      </w:r>
      <w:r w:rsidR="00DF1FBB" w:rsidRPr="00DF1FBB">
        <w:rPr>
          <w:rFonts w:cs="Arial"/>
          <w:szCs w:val="22"/>
          <w:lang w:val="en" w:eastAsia="da-DK"/>
        </w:rPr>
        <w:t xml:space="preserve"> </w:t>
      </w:r>
      <w:r w:rsidR="00D04E39" w:rsidRPr="00DF1FBB">
        <w:rPr>
          <w:rFonts w:cs="Arial"/>
          <w:szCs w:val="22"/>
          <w:lang w:val="en" w:eastAsia="da-DK"/>
        </w:rPr>
        <w:t xml:space="preserve">exact spectral location of a given PAL </w:t>
      </w:r>
      <w:proofErr w:type="spellStart"/>
      <w:r w:rsidR="00D04E39" w:rsidRPr="00DF1FBB">
        <w:rPr>
          <w:rFonts w:cs="Arial"/>
          <w:szCs w:val="22"/>
          <w:lang w:val="en" w:eastAsia="da-DK"/>
        </w:rPr>
        <w:t>authori</w:t>
      </w:r>
      <w:r w:rsidR="00DF1FBB" w:rsidRPr="00DF1FBB">
        <w:rPr>
          <w:rFonts w:cs="Arial"/>
          <w:szCs w:val="22"/>
          <w:lang w:val="en" w:eastAsia="da-DK"/>
        </w:rPr>
        <w:t>s</w:t>
      </w:r>
      <w:r w:rsidR="00D04E39" w:rsidRPr="00DF1FBB">
        <w:rPr>
          <w:rFonts w:cs="Arial"/>
          <w:szCs w:val="22"/>
          <w:lang w:val="en" w:eastAsia="da-DK"/>
        </w:rPr>
        <w:t>ation</w:t>
      </w:r>
      <w:proofErr w:type="spellEnd"/>
      <w:r w:rsidR="00D04E39" w:rsidRPr="00DF1FBB">
        <w:rPr>
          <w:rFonts w:cs="Arial"/>
          <w:szCs w:val="22"/>
          <w:lang w:val="en" w:eastAsia="da-DK"/>
        </w:rPr>
        <w:t xml:space="preserve"> could shift from time to time as directed by the SAS</w:t>
      </w:r>
      <w:r w:rsidR="00DF1FBB" w:rsidRPr="00DF1FBB">
        <w:rPr>
          <w:rFonts w:cs="Arial"/>
          <w:szCs w:val="22"/>
          <w:lang w:val="en" w:eastAsia="da-DK"/>
        </w:rPr>
        <w:t xml:space="preserve"> </w:t>
      </w:r>
      <w:r w:rsidR="00D04E39" w:rsidRPr="00DF1FBB">
        <w:rPr>
          <w:rFonts w:cs="Arial"/>
          <w:szCs w:val="22"/>
          <w:lang w:val="en" w:eastAsia="da-DK"/>
        </w:rPr>
        <w:t xml:space="preserve">during its </w:t>
      </w:r>
      <w:proofErr w:type="spellStart"/>
      <w:r w:rsidR="00D04E39" w:rsidRPr="00DF1FBB">
        <w:rPr>
          <w:rFonts w:cs="Arial"/>
          <w:szCs w:val="22"/>
          <w:lang w:val="en" w:eastAsia="da-DK"/>
        </w:rPr>
        <w:t>licen</w:t>
      </w:r>
      <w:r>
        <w:rPr>
          <w:rFonts w:cs="Arial"/>
          <w:szCs w:val="22"/>
          <w:lang w:val="en" w:eastAsia="da-DK"/>
        </w:rPr>
        <w:t>c</w:t>
      </w:r>
      <w:r w:rsidR="00D04E39" w:rsidRPr="00DF1FBB">
        <w:rPr>
          <w:rFonts w:cs="Arial"/>
          <w:szCs w:val="22"/>
          <w:lang w:val="en" w:eastAsia="da-DK"/>
        </w:rPr>
        <w:t>e</w:t>
      </w:r>
      <w:proofErr w:type="spellEnd"/>
      <w:r w:rsidR="00D04E39" w:rsidRPr="00DF1FBB">
        <w:rPr>
          <w:rFonts w:cs="Arial"/>
          <w:szCs w:val="22"/>
          <w:lang w:val="en" w:eastAsia="da-DK"/>
        </w:rPr>
        <w:t xml:space="preserve"> </w:t>
      </w:r>
      <w:proofErr w:type="spellStart"/>
      <w:r w:rsidR="00D04E39" w:rsidRPr="00DF1FBB">
        <w:rPr>
          <w:rFonts w:cs="Arial"/>
          <w:szCs w:val="22"/>
          <w:lang w:val="en" w:eastAsia="da-DK"/>
        </w:rPr>
        <w:t>term.The</w:t>
      </w:r>
      <w:proofErr w:type="spellEnd"/>
      <w:r w:rsidR="00D04E39" w:rsidRPr="00DF1FBB">
        <w:rPr>
          <w:rFonts w:cs="Arial"/>
          <w:szCs w:val="22"/>
          <w:lang w:val="en" w:eastAsia="da-DK"/>
        </w:rPr>
        <w:t xml:space="preserve"> GAA tier would be licensed-by-rule to permit open, flexible access to the</w:t>
      </w:r>
      <w:r w:rsidR="00DF1FBB" w:rsidRPr="00DF1FBB">
        <w:rPr>
          <w:rFonts w:cs="Arial"/>
          <w:szCs w:val="22"/>
          <w:lang w:val="en" w:eastAsia="da-DK"/>
        </w:rPr>
        <w:t xml:space="preserve"> </w:t>
      </w:r>
      <w:r w:rsidR="00D04E39" w:rsidRPr="00DF1FBB">
        <w:rPr>
          <w:rFonts w:cs="Arial"/>
          <w:szCs w:val="22"/>
          <w:lang w:val="en" w:eastAsia="da-DK"/>
        </w:rPr>
        <w:t xml:space="preserve">band to the widest possible group of potential users. </w:t>
      </w:r>
      <w:r w:rsidR="00DF1FBB" w:rsidRPr="00DF1FBB">
        <w:rPr>
          <w:rFonts w:cs="Arial"/>
          <w:szCs w:val="22"/>
          <w:lang w:val="en" w:eastAsia="da-DK"/>
        </w:rPr>
        <w:t xml:space="preserve">The FCC </w:t>
      </w:r>
      <w:r w:rsidR="00D04E39" w:rsidRPr="00DF1FBB">
        <w:rPr>
          <w:rFonts w:cs="Arial"/>
          <w:szCs w:val="22"/>
          <w:lang w:val="en" w:eastAsia="da-DK"/>
        </w:rPr>
        <w:t>propose</w:t>
      </w:r>
      <w:r w:rsidR="00DF1FBB" w:rsidRPr="00DF1FBB">
        <w:rPr>
          <w:rFonts w:cs="Arial"/>
          <w:szCs w:val="22"/>
          <w:lang w:val="en" w:eastAsia="da-DK"/>
        </w:rPr>
        <w:t>s</w:t>
      </w:r>
      <w:r w:rsidR="00D04E39" w:rsidRPr="00DF1FBB">
        <w:rPr>
          <w:rFonts w:cs="Arial"/>
          <w:szCs w:val="22"/>
          <w:lang w:val="en" w:eastAsia="da-DK"/>
        </w:rPr>
        <w:t xml:space="preserve"> </w:t>
      </w:r>
      <w:r w:rsidR="00DF1FBB" w:rsidRPr="00DF1FBB">
        <w:rPr>
          <w:rFonts w:cs="Arial"/>
          <w:szCs w:val="22"/>
          <w:lang w:val="en" w:eastAsia="da-DK"/>
        </w:rPr>
        <w:t xml:space="preserve">also </w:t>
      </w:r>
      <w:r w:rsidR="00D04E39" w:rsidRPr="00DF1FBB">
        <w:rPr>
          <w:rFonts w:cs="Arial"/>
          <w:szCs w:val="22"/>
          <w:lang w:val="en" w:eastAsia="da-DK"/>
        </w:rPr>
        <w:t>to reserve at all times for GAA use, a</w:t>
      </w:r>
      <w:r w:rsidR="00DF1FBB" w:rsidRPr="00DF1FBB">
        <w:rPr>
          <w:rFonts w:cs="Arial"/>
          <w:szCs w:val="22"/>
          <w:lang w:val="en" w:eastAsia="da-DK"/>
        </w:rPr>
        <w:t xml:space="preserve"> </w:t>
      </w:r>
      <w:r w:rsidR="00D04E39" w:rsidRPr="00DF1FBB">
        <w:rPr>
          <w:rFonts w:cs="Arial"/>
          <w:szCs w:val="22"/>
          <w:lang w:val="en" w:eastAsia="da-DK"/>
        </w:rPr>
        <w:t>minimum of 50 percent of the band that is not encumbered by Incumbent Access tier users in any given</w:t>
      </w:r>
      <w:r w:rsidR="00DF1FBB" w:rsidRPr="00DF1FBB">
        <w:rPr>
          <w:rFonts w:cs="Arial"/>
          <w:szCs w:val="22"/>
          <w:lang w:val="en" w:eastAsia="da-DK"/>
        </w:rPr>
        <w:t xml:space="preserve"> </w:t>
      </w:r>
      <w:r w:rsidR="00D04E39" w:rsidRPr="00DF1FBB">
        <w:rPr>
          <w:rFonts w:cs="Arial"/>
          <w:szCs w:val="22"/>
          <w:lang w:val="en" w:eastAsia="da-DK"/>
        </w:rPr>
        <w:t>location.</w:t>
      </w:r>
    </w:p>
    <w:p w:rsidR="00B83ED4" w:rsidRDefault="00DF1FBB" w:rsidP="007601AD">
      <w:r>
        <w:t>(WGFM, FM53, PT1</w:t>
      </w:r>
      <w:r w:rsidR="00982D6E">
        <w:t>, SRD/MG</w:t>
      </w:r>
      <w:r>
        <w:t>)</w:t>
      </w:r>
    </w:p>
    <w:p w:rsidR="00B07F82" w:rsidRDefault="00B07F82" w:rsidP="007601AD"/>
    <w:p w:rsidR="00B07F82" w:rsidRPr="00B07F82" w:rsidRDefault="00B07F82" w:rsidP="00B07F82">
      <w:pPr>
        <w:pStyle w:val="Paragraphedeliste"/>
        <w:numPr>
          <w:ilvl w:val="0"/>
          <w:numId w:val="33"/>
        </w:numPr>
        <w:spacing w:after="0"/>
        <w:rPr>
          <w:b/>
          <w:sz w:val="28"/>
          <w:szCs w:val="28"/>
        </w:rPr>
      </w:pPr>
      <w:r w:rsidRPr="00B07F82">
        <w:rPr>
          <w:b/>
          <w:sz w:val="28"/>
          <w:szCs w:val="28"/>
        </w:rPr>
        <w:t>Australian Spectrum Review</w:t>
      </w:r>
    </w:p>
    <w:p w:rsidR="00982D6E" w:rsidRDefault="00982D6E" w:rsidP="00B83ED4"/>
    <w:p w:rsidR="00B83ED4" w:rsidRDefault="00B83ED4" w:rsidP="00B83ED4">
      <w:r>
        <w:t>The Australian government has issued a consultation concerning the issues it should address in its forthcoming comprehensive review of its spectrum management framework.</w:t>
      </w:r>
    </w:p>
    <w:p w:rsidR="00B83ED4" w:rsidRDefault="00B83ED4" w:rsidP="00B83ED4">
      <w:r>
        <w:t>The review seeks to modernise the framework, which was put in place in 1992, within the government's wider deregulation agenda. It shall be jointly carried out by the government and the country's independent spectrum regulator, ACMA.</w:t>
      </w:r>
    </w:p>
    <w:p w:rsidR="00B07F82" w:rsidRDefault="00B55292" w:rsidP="00B83ED4">
      <w:hyperlink r:id="rId34" w:history="1">
        <w:r w:rsidR="00B07F82" w:rsidRPr="00B07F82">
          <w:rPr>
            <w:rStyle w:val="Lienhypertexte"/>
          </w:rPr>
          <w:t>Link</w:t>
        </w:r>
      </w:hyperlink>
    </w:p>
    <w:p w:rsidR="00B07F82" w:rsidRDefault="00B07F82" w:rsidP="00B83ED4">
      <w:r>
        <w:t>In a first step, in a questionnaire, respondents are asked to indicate issues they like see to be addressed or prioritised as well as issues that should be put off the table.</w:t>
      </w:r>
    </w:p>
    <w:p w:rsidR="00B07F82" w:rsidRDefault="00B07F82" w:rsidP="00B83ED4">
      <w:r>
        <w:t>(General development of a strategic plan</w:t>
      </w:r>
      <w:r w:rsidR="00982D6E">
        <w:t xml:space="preserve"> in Australia</w:t>
      </w:r>
      <w:r>
        <w:t xml:space="preserve">, may lead to a new </w:t>
      </w:r>
      <w:r w:rsidR="00976BDD">
        <w:t xml:space="preserve">5-10 years’ </w:t>
      </w:r>
      <w:r>
        <w:t>Report on spectrum issues)</w:t>
      </w:r>
    </w:p>
    <w:p w:rsidR="00C740CF" w:rsidRDefault="00C740CF" w:rsidP="00B83ED4"/>
    <w:p w:rsidR="00C740CF" w:rsidRPr="00E92AE8" w:rsidRDefault="00C740CF" w:rsidP="00E92AE8">
      <w:pPr>
        <w:pStyle w:val="Paragraphedeliste"/>
        <w:numPr>
          <w:ilvl w:val="0"/>
          <w:numId w:val="33"/>
        </w:numPr>
        <w:spacing w:after="0"/>
        <w:rPr>
          <w:b/>
          <w:sz w:val="28"/>
          <w:szCs w:val="28"/>
        </w:rPr>
      </w:pPr>
      <w:r w:rsidRPr="00E92AE8">
        <w:rPr>
          <w:b/>
          <w:sz w:val="28"/>
          <w:szCs w:val="28"/>
        </w:rPr>
        <w:t xml:space="preserve">FCC – </w:t>
      </w:r>
      <w:r w:rsidR="00E92AE8" w:rsidRPr="00E92AE8">
        <w:rPr>
          <w:b/>
          <w:sz w:val="28"/>
          <w:szCs w:val="28"/>
        </w:rPr>
        <w:t>Report and Order on Rules for Upcoming Auctions</w:t>
      </w:r>
    </w:p>
    <w:p w:rsidR="00E92AE8" w:rsidRDefault="00E92AE8" w:rsidP="00C740CF"/>
    <w:p w:rsidR="00E92AE8" w:rsidRDefault="00C740CF" w:rsidP="00C740CF">
      <w:r>
        <w:t xml:space="preserve">The FCC </w:t>
      </w:r>
      <w:r w:rsidRPr="00C740CF">
        <w:t>update</w:t>
      </w:r>
      <w:r>
        <w:t>s</w:t>
      </w:r>
      <w:r w:rsidRPr="00C740CF">
        <w:t xml:space="preserve"> the spectrum screen used in </w:t>
      </w:r>
      <w:r>
        <w:t xml:space="preserve">their </w:t>
      </w:r>
      <w:r w:rsidRPr="00C740CF">
        <w:t>competitive review of secondary market spectrum acquisitions to reflect the current suitability and availability of spectrum for the provision of mobile telephony/broadband services.</w:t>
      </w:r>
      <w:r>
        <w:t xml:space="preserve"> </w:t>
      </w:r>
    </w:p>
    <w:bookmarkStart w:id="3" w:name="_MON_1464179565"/>
    <w:bookmarkEnd w:id="3"/>
    <w:p w:rsidR="00E92AE8" w:rsidRDefault="00E92AE8" w:rsidP="00C740CF">
      <w:r>
        <w:object w:dxaOrig="1531" w:dyaOrig="990">
          <v:shape id="_x0000_i1027" type="#_x0000_t75" style="width:76.4pt;height:49.45pt" o:ole="">
            <v:imagedata r:id="rId35" o:title=""/>
          </v:shape>
          <o:OLEObject Type="Embed" ProgID="Word.Document.12" ShapeID="_x0000_i1027" DrawAspect="Icon" ObjectID="_1464717347" r:id="rId36">
            <o:FieldCodes>\s</o:FieldCodes>
          </o:OLEObject>
        </w:object>
      </w:r>
    </w:p>
    <w:p w:rsidR="00C740CF" w:rsidRDefault="00C740CF" w:rsidP="00C740CF">
      <w:r>
        <w:t xml:space="preserve">The document also provides a good overview of the current spectrum issues </w:t>
      </w:r>
      <w:r w:rsidR="00E92AE8">
        <w:t>in the USA for mobile broadband services:</w:t>
      </w:r>
    </w:p>
    <w:p w:rsidR="00E92AE8" w:rsidRDefault="00E92AE8" w:rsidP="00E92AE8">
      <w:pPr>
        <w:ind w:left="567"/>
      </w:pPr>
      <w:r>
        <w:t></w:t>
      </w:r>
      <w:r>
        <w:tab/>
        <w:t xml:space="preserve">40 </w:t>
      </w:r>
      <w:r w:rsidR="00976BDD">
        <w:t>MHz</w:t>
      </w:r>
      <w:r>
        <w:t xml:space="preserve"> of AWS-4;</w:t>
      </w:r>
    </w:p>
    <w:p w:rsidR="00E92AE8" w:rsidRDefault="00E92AE8" w:rsidP="00E92AE8">
      <w:pPr>
        <w:ind w:left="567"/>
      </w:pPr>
      <w:r>
        <w:t></w:t>
      </w:r>
      <w:r>
        <w:tab/>
        <w:t xml:space="preserve">10 </w:t>
      </w:r>
      <w:r w:rsidR="00976BDD">
        <w:t>MHz</w:t>
      </w:r>
      <w:r>
        <w:t xml:space="preserve"> of H Block; </w:t>
      </w:r>
    </w:p>
    <w:p w:rsidR="00E92AE8" w:rsidRDefault="00E92AE8" w:rsidP="00E92AE8">
      <w:pPr>
        <w:ind w:left="567"/>
      </w:pPr>
      <w:r>
        <w:t></w:t>
      </w:r>
      <w:r>
        <w:tab/>
        <w:t xml:space="preserve">65 </w:t>
      </w:r>
      <w:r w:rsidR="00976BDD">
        <w:t>MHz</w:t>
      </w:r>
      <w:r>
        <w:t xml:space="preserve"> of AWS-3, </w:t>
      </w:r>
    </w:p>
    <w:p w:rsidR="00E92AE8" w:rsidRDefault="00E92AE8" w:rsidP="00E92AE8">
      <w:pPr>
        <w:ind w:left="567"/>
      </w:pPr>
      <w:r>
        <w:t></w:t>
      </w:r>
      <w:r>
        <w:tab/>
        <w:t xml:space="preserve">12 </w:t>
      </w:r>
      <w:r w:rsidR="00976BDD">
        <w:t>MHz</w:t>
      </w:r>
      <w:r>
        <w:t xml:space="preserve"> of BRS;</w:t>
      </w:r>
    </w:p>
    <w:p w:rsidR="00E92AE8" w:rsidRDefault="00E92AE8" w:rsidP="00E92AE8">
      <w:pPr>
        <w:ind w:left="567"/>
      </w:pPr>
      <w:r>
        <w:t></w:t>
      </w:r>
      <w:r>
        <w:tab/>
        <w:t xml:space="preserve">89 </w:t>
      </w:r>
      <w:r w:rsidR="00976BDD">
        <w:t>MHz</w:t>
      </w:r>
      <w:r>
        <w:t xml:space="preserve"> of EBS; and</w:t>
      </w:r>
    </w:p>
    <w:p w:rsidR="00E92AE8" w:rsidRDefault="00E92AE8" w:rsidP="00E92AE8">
      <w:pPr>
        <w:ind w:left="567"/>
      </w:pPr>
      <w:r>
        <w:t></w:t>
      </w:r>
      <w:r>
        <w:tab/>
      </w:r>
      <w:proofErr w:type="gramStart"/>
      <w:r>
        <w:t>The</w:t>
      </w:r>
      <w:proofErr w:type="gramEnd"/>
      <w:r>
        <w:t xml:space="preserve"> total amount of </w:t>
      </w:r>
      <w:r w:rsidR="00B53A7B">
        <w:t xml:space="preserve">the </w:t>
      </w:r>
      <w:r>
        <w:t>600 MHz spectrum auctioned in the Incentive Auction.</w:t>
      </w:r>
    </w:p>
    <w:p w:rsidR="00E92AE8" w:rsidRDefault="00E92AE8" w:rsidP="00E92AE8">
      <w:pPr>
        <w:ind w:left="567"/>
      </w:pPr>
      <w:r>
        <w:t xml:space="preserve">Subtract from </w:t>
      </w:r>
      <w:r w:rsidR="00976BDD">
        <w:t xml:space="preserve">FCC’s </w:t>
      </w:r>
      <w:r>
        <w:t>spectrum screen:</w:t>
      </w:r>
    </w:p>
    <w:p w:rsidR="00E92AE8" w:rsidRDefault="00E92AE8" w:rsidP="00E92AE8">
      <w:pPr>
        <w:ind w:left="567"/>
      </w:pPr>
      <w:r>
        <w:t></w:t>
      </w:r>
      <w:r>
        <w:tab/>
        <w:t xml:space="preserve">12.5 </w:t>
      </w:r>
      <w:r w:rsidR="00976BDD">
        <w:t>MHz</w:t>
      </w:r>
      <w:r>
        <w:t xml:space="preserve"> of SMR; and </w:t>
      </w:r>
    </w:p>
    <w:p w:rsidR="00E92AE8" w:rsidRDefault="00E92AE8" w:rsidP="00E92AE8">
      <w:pPr>
        <w:ind w:left="567"/>
      </w:pPr>
      <w:proofErr w:type="gramStart"/>
      <w:r>
        <w:t></w:t>
      </w:r>
      <w:r>
        <w:tab/>
        <w:t xml:space="preserve">10 </w:t>
      </w:r>
      <w:r w:rsidR="00976BDD">
        <w:t>MHz</w:t>
      </w:r>
      <w:r>
        <w:t xml:space="preserve"> that was the Upper 700 MHz D Block.</w:t>
      </w:r>
      <w:proofErr w:type="gramEnd"/>
    </w:p>
    <w:p w:rsidR="00E92AE8" w:rsidRDefault="00E92AE8" w:rsidP="00E92AE8">
      <w:r>
        <w:lastRenderedPageBreak/>
        <w:t xml:space="preserve">The FCC also establishes a market-based spectrum reserve of up to 30 </w:t>
      </w:r>
      <w:r w:rsidR="00976BDD">
        <w:t>MHz</w:t>
      </w:r>
      <w:r>
        <w:t xml:space="preserve"> in the Incentive Auction in each licen</w:t>
      </w:r>
      <w:r w:rsidR="00B53A7B">
        <w:t>c</w:t>
      </w:r>
      <w:r>
        <w:t xml:space="preserve">e area that is designed to ensure against excessive concentration in holdings of low-band spectrum (sub 1GHz) while including safeguards to ensure that all bidders bear a fair share of the cost of the Incentive Auction. In addition, it </w:t>
      </w:r>
      <w:proofErr w:type="gramStart"/>
      <w:r>
        <w:t>adopt</w:t>
      </w:r>
      <w:proofErr w:type="gramEnd"/>
      <w:r>
        <w:t xml:space="preserve"> limits on secondary market transactions of 600 MHz spectrum licenses.</w:t>
      </w:r>
    </w:p>
    <w:p w:rsidR="00C740CF" w:rsidRDefault="00C740CF" w:rsidP="00C740CF"/>
    <w:p w:rsidR="003846DD" w:rsidRPr="00C740CF" w:rsidRDefault="003846DD" w:rsidP="00C740CF">
      <w:pPr>
        <w:pStyle w:val="Paragraphedeliste"/>
        <w:numPr>
          <w:ilvl w:val="0"/>
          <w:numId w:val="33"/>
        </w:numPr>
        <w:spacing w:after="0"/>
        <w:rPr>
          <w:b/>
          <w:sz w:val="28"/>
          <w:szCs w:val="28"/>
        </w:rPr>
      </w:pPr>
      <w:r w:rsidRPr="00C740CF">
        <w:rPr>
          <w:b/>
          <w:sz w:val="28"/>
          <w:szCs w:val="28"/>
        </w:rPr>
        <w:t xml:space="preserve">FCC </w:t>
      </w:r>
      <w:r w:rsidR="00677187">
        <w:rPr>
          <w:b/>
          <w:sz w:val="28"/>
          <w:szCs w:val="28"/>
        </w:rPr>
        <w:t>W</w:t>
      </w:r>
      <w:r w:rsidRPr="00C740CF">
        <w:rPr>
          <w:b/>
          <w:sz w:val="28"/>
          <w:szCs w:val="28"/>
        </w:rPr>
        <w:t xml:space="preserve">orkshop on </w:t>
      </w:r>
      <w:r w:rsidR="00C740CF" w:rsidRPr="00C740CF">
        <w:rPr>
          <w:b/>
          <w:sz w:val="28"/>
          <w:szCs w:val="28"/>
        </w:rPr>
        <w:t>GPS Protection and Receiver Performance</w:t>
      </w:r>
    </w:p>
    <w:p w:rsidR="003846DD" w:rsidRDefault="003846DD" w:rsidP="003846DD"/>
    <w:p w:rsidR="003846DD" w:rsidRDefault="003846DD" w:rsidP="003846DD">
      <w:r>
        <w:t xml:space="preserve">As part of the FCC’s ongoing efforts to protect Global Positioning System (GPS) operations, the FCC’s Office of Engineering and Technology, in conjunction with the International Bureau, Public Safety and Homeland Security Bureau, and Wireless Telecommunications Bureau, hosted a workshop on GPS Protection and Receiver Performance, with an emphasis on Critical Infrastructure and Public Safety uses of GPS. The workshop was held on Friday, June 20, 2014. </w:t>
      </w:r>
    </w:p>
    <w:bookmarkStart w:id="4" w:name="_MON_1464179586"/>
    <w:bookmarkEnd w:id="4"/>
    <w:p w:rsidR="00B07F82" w:rsidRDefault="003846DD" w:rsidP="00B83ED4">
      <w:r>
        <w:object w:dxaOrig="1531" w:dyaOrig="990">
          <v:shape id="_x0000_i1028" type="#_x0000_t75" style="width:76.4pt;height:49.45pt" o:ole="">
            <v:imagedata r:id="rId37" o:title=""/>
          </v:shape>
          <o:OLEObject Type="Embed" ProgID="Word.Document.12" ShapeID="_x0000_i1028" DrawAspect="Icon" ObjectID="_1464717348" r:id="rId38">
            <o:FieldCodes>\s</o:FieldCodes>
          </o:OLEObject>
        </w:object>
      </w:r>
    </w:p>
    <w:p w:rsidR="003846DD" w:rsidRDefault="003846DD" w:rsidP="00B83ED4">
      <w:r>
        <w:t>In this context, it should be worth to note that also in Europe with the first Galileo satellites in space, the GNSS community is becoming now more aware of interference</w:t>
      </w:r>
      <w:r w:rsidR="00B53A7B">
        <w:t xml:space="preserve">, particularly </w:t>
      </w:r>
      <w:r>
        <w:t>from illegal GNSS jammers.</w:t>
      </w:r>
      <w:r w:rsidR="00C740CF">
        <w:t xml:space="preserve"> This was clearly expressed during the annual satellite navigation summit in March 2014 in Munich.</w:t>
      </w:r>
      <w:r>
        <w:t xml:space="preserve"> The annual interference statistics </w:t>
      </w:r>
      <w:r w:rsidR="00C740CF">
        <w:t xml:space="preserve">(collected information via a WGFM questionnaire) </w:t>
      </w:r>
      <w:r>
        <w:t>also provided evidence that problems exist and are growing</w:t>
      </w:r>
      <w:r w:rsidR="00C740CF">
        <w:t xml:space="preserve"> </w:t>
      </w:r>
      <w:r>
        <w:t xml:space="preserve">with the advent of more and more applications and systems </w:t>
      </w:r>
      <w:r w:rsidR="00C740CF">
        <w:t xml:space="preserve">using satellite positioning information </w:t>
      </w:r>
      <w:r>
        <w:t xml:space="preserve">(also wireless </w:t>
      </w:r>
      <w:r w:rsidR="00C740CF">
        <w:t xml:space="preserve">solutions </w:t>
      </w:r>
      <w:r>
        <w:t xml:space="preserve">such as ITS). One aspect </w:t>
      </w:r>
      <w:r w:rsidR="00C740CF">
        <w:t xml:space="preserve">is to find </w:t>
      </w:r>
      <w:r>
        <w:t>enforcement strategies against mobile GNSS jammers. FM22 will discuss</w:t>
      </w:r>
      <w:r w:rsidR="00C740CF">
        <w:t xml:space="preserve"> this subject at the </w:t>
      </w:r>
      <w:r>
        <w:t xml:space="preserve">next </w:t>
      </w:r>
      <w:r w:rsidR="00C740CF">
        <w:t xml:space="preserve">FM22 </w:t>
      </w:r>
      <w:r>
        <w:t>meeting.</w:t>
      </w:r>
    </w:p>
    <w:p w:rsidR="003846DD" w:rsidRDefault="00E92AE8" w:rsidP="00B83ED4">
      <w:r>
        <w:t>(WGFM, FM22)</w:t>
      </w:r>
    </w:p>
    <w:p w:rsidR="00E92AE8" w:rsidRDefault="00E92AE8" w:rsidP="00B83ED4"/>
    <w:p w:rsidR="00E92AE8" w:rsidRDefault="00E92AE8" w:rsidP="00E92AE8">
      <w:pPr>
        <w:pStyle w:val="Paragraphedeliste"/>
        <w:numPr>
          <w:ilvl w:val="0"/>
          <w:numId w:val="33"/>
        </w:numPr>
        <w:spacing w:after="0"/>
        <w:rPr>
          <w:b/>
          <w:sz w:val="28"/>
          <w:szCs w:val="28"/>
        </w:rPr>
      </w:pPr>
      <w:r w:rsidRPr="00E92AE8">
        <w:rPr>
          <w:b/>
          <w:sz w:val="28"/>
          <w:szCs w:val="28"/>
        </w:rPr>
        <w:t>CITEL – Status of Preparations for WRC-15 (March 2014)</w:t>
      </w:r>
    </w:p>
    <w:p w:rsidR="00E92AE8" w:rsidRDefault="00E92AE8" w:rsidP="00E92AE8">
      <w:pPr>
        <w:spacing w:after="0"/>
        <w:rPr>
          <w:b/>
          <w:sz w:val="28"/>
          <w:szCs w:val="28"/>
        </w:rPr>
      </w:pPr>
    </w:p>
    <w:p w:rsidR="00E92AE8" w:rsidRPr="00E92AE8" w:rsidRDefault="00E92AE8" w:rsidP="00E92AE8">
      <w:r w:rsidRPr="00E92AE8">
        <w:t>The embedded document provides an overview on CITEL positions for AIs of the WRC-15</w:t>
      </w:r>
    </w:p>
    <w:p w:rsidR="00B83ED4" w:rsidRDefault="00B07F82" w:rsidP="00B83ED4">
      <w:r>
        <w:object w:dxaOrig="1531" w:dyaOrig="990">
          <v:shape id="_x0000_i1029" type="#_x0000_t75" style="width:76.4pt;height:49.45pt" o:ole="">
            <v:imagedata r:id="rId39" o:title=""/>
          </v:shape>
          <o:OLEObject Type="Embed" ProgID="PowerPoint.Show.12" ShapeID="_x0000_i1029" DrawAspect="Icon" ObjectID="_1464717349" r:id="rId40"/>
        </w:object>
      </w:r>
    </w:p>
    <w:p w:rsidR="00976BDD" w:rsidRPr="000956E8" w:rsidRDefault="00976BDD" w:rsidP="000956E8">
      <w:pPr>
        <w:pStyle w:val="Paragraphedeliste"/>
        <w:numPr>
          <w:ilvl w:val="0"/>
          <w:numId w:val="33"/>
        </w:numPr>
        <w:spacing w:after="0"/>
        <w:rPr>
          <w:b/>
          <w:sz w:val="28"/>
          <w:szCs w:val="28"/>
        </w:rPr>
      </w:pPr>
      <w:r w:rsidRPr="000956E8">
        <w:rPr>
          <w:b/>
          <w:sz w:val="28"/>
          <w:szCs w:val="28"/>
        </w:rPr>
        <w:t>Worldwide activities on Short Range Device usage harmonisation</w:t>
      </w:r>
    </w:p>
    <w:p w:rsidR="000956E8" w:rsidRDefault="000956E8" w:rsidP="000956E8"/>
    <w:p w:rsidR="000956E8" w:rsidRDefault="000956E8" w:rsidP="000956E8">
      <w:r>
        <w:t xml:space="preserve">ITU hosted a workshop in Geneva on 3 June 2014 in response to an initiative from the Electronic Communications Committee (ECC) of the CEPT. It focused on the harmonisation process for the global use of short range devices (SRD) and Ultra Wide Band (UWB) technologies, and attracted key players from the </w:t>
      </w:r>
      <w:proofErr w:type="spellStart"/>
      <w:r>
        <w:t>radiocommunications</w:t>
      </w:r>
      <w:proofErr w:type="spellEnd"/>
      <w:r>
        <w:t xml:space="preserve"> industry, regulators, operators, manufacturers and research institutions.</w:t>
      </w:r>
    </w:p>
    <w:p w:rsidR="000956E8" w:rsidRDefault="000956E8" w:rsidP="000956E8"/>
    <w:p w:rsidR="000956E8" w:rsidRDefault="000956E8" w:rsidP="000956E8">
      <w:r w:rsidRPr="000956E8">
        <w:t>Here included are some links with regard to the activities in other regional organisations and countries</w:t>
      </w:r>
      <w:r>
        <w:t>, as presented at this workshop</w:t>
      </w:r>
      <w:r w:rsidRPr="000956E8">
        <w:t>:</w:t>
      </w:r>
    </w:p>
    <w:p w:rsidR="000956E8" w:rsidRDefault="00B55292" w:rsidP="000956E8">
      <w:hyperlink r:id="rId41" w:history="1">
        <w:r w:rsidR="000956E8" w:rsidRPr="000956E8">
          <w:rPr>
            <w:rStyle w:val="Lienhypertexte"/>
          </w:rPr>
          <w:t>APT Activities</w:t>
        </w:r>
      </w:hyperlink>
      <w:r w:rsidR="000956E8">
        <w:tab/>
      </w:r>
      <w:hyperlink r:id="rId42" w:history="1">
        <w:r w:rsidR="000956E8" w:rsidRPr="000956E8">
          <w:rPr>
            <w:rStyle w:val="Lienhypertexte"/>
          </w:rPr>
          <w:t>Overview (Haim Mazar, Israel)</w:t>
        </w:r>
      </w:hyperlink>
      <w:r w:rsidR="000956E8">
        <w:tab/>
      </w:r>
      <w:hyperlink r:id="rId43" w:history="1">
        <w:r w:rsidR="000956E8" w:rsidRPr="000956E8">
          <w:rPr>
            <w:rStyle w:val="Lienhypertexte"/>
          </w:rPr>
          <w:t>Korea</w:t>
        </w:r>
      </w:hyperlink>
      <w:r w:rsidR="000956E8">
        <w:tab/>
      </w:r>
      <w:hyperlink r:id="rId44" w:history="1">
        <w:r w:rsidR="000956E8" w:rsidRPr="000956E8">
          <w:rPr>
            <w:rStyle w:val="Lienhypertexte"/>
          </w:rPr>
          <w:t>China</w:t>
        </w:r>
      </w:hyperlink>
      <w:r w:rsidR="000956E8">
        <w:tab/>
      </w:r>
      <w:hyperlink r:id="rId45" w:history="1">
        <w:r w:rsidR="000956E8" w:rsidRPr="000956E8">
          <w:rPr>
            <w:rStyle w:val="Lienhypertexte"/>
          </w:rPr>
          <w:t>RCC</w:t>
        </w:r>
      </w:hyperlink>
      <w:r w:rsidR="000956E8">
        <w:t xml:space="preserve"> </w:t>
      </w:r>
    </w:p>
    <w:p w:rsidR="000956E8" w:rsidRDefault="00B55292" w:rsidP="000956E8">
      <w:hyperlink r:id="rId46" w:history="1">
        <w:r w:rsidR="000956E8" w:rsidRPr="000956E8">
          <w:rPr>
            <w:rStyle w:val="Lienhypertexte"/>
          </w:rPr>
          <w:t>(US) UWB in Health Monitoring Products</w:t>
        </w:r>
      </w:hyperlink>
    </w:p>
    <w:p w:rsidR="000956E8" w:rsidRDefault="000956E8" w:rsidP="000956E8"/>
    <w:p w:rsidR="00C24300" w:rsidRDefault="000956E8" w:rsidP="000956E8">
      <w:r>
        <w:lastRenderedPageBreak/>
        <w:t>Please note that the presentations from Korea and Chi</w:t>
      </w:r>
      <w:r w:rsidR="00C24300">
        <w:t xml:space="preserve">na also include information about activities on </w:t>
      </w:r>
      <w:proofErr w:type="gramStart"/>
      <w:r>
        <w:t>ITS</w:t>
      </w:r>
      <w:proofErr w:type="gramEnd"/>
      <w:r w:rsidR="00C24300">
        <w:t xml:space="preserve"> in these countries. The Korean presentation includes some information about high power wireless charging (e.g. for electric cars) and related frequency use for this for wireless charging with and without communications. The activities in the USA on medical applications using UWB technology could also be of interest in the ECC with regard to a future potential complementation of the UWB regulation since deployment scenarios and requirements for such applications clearly deviate from the generic UWB scenario. </w:t>
      </w:r>
    </w:p>
    <w:p w:rsidR="00976BDD" w:rsidRDefault="000956E8" w:rsidP="00B83ED4">
      <w:r>
        <w:t>Discussions during the workshop centred on the need for regional and worldwide harmonisation, in particular the identification of suitable frequency ranges for these devices and new technologies along with international and national regulations to govern the conditions for their use. First follow-up actions were agreed in Working Party 1B after the workshop such as a questionnaire to administrations regarding the SRD categories and definitions for further harmonisation. The activity in ITU-R WP1B is led by a correspondence group chaired by the SRD/MG chairman.</w:t>
      </w:r>
    </w:p>
    <w:p w:rsidR="00C24300" w:rsidRDefault="00C24300" w:rsidP="00B83ED4"/>
    <w:p w:rsidR="00976BDD" w:rsidRPr="00C24300" w:rsidRDefault="00C24300" w:rsidP="00B83ED4">
      <w:pPr>
        <w:rPr>
          <w:lang w:val="da-DK"/>
        </w:rPr>
      </w:pPr>
      <w:r w:rsidRPr="00C24300">
        <w:rPr>
          <w:lang w:val="da-DK"/>
        </w:rPr>
        <w:t>(WGFM, SRD/MG, WGSE, SE24)</w:t>
      </w:r>
    </w:p>
    <w:sectPr w:rsidR="00976BDD" w:rsidRPr="00C24300" w:rsidSect="008F677F">
      <w:footerReference w:type="even" r:id="rId47"/>
      <w:footerReference w:type="default" r:id="rId48"/>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292" w:rsidRDefault="00B55292">
      <w:r>
        <w:separator/>
      </w:r>
    </w:p>
  </w:endnote>
  <w:endnote w:type="continuationSeparator" w:id="0">
    <w:p w:rsidR="00B55292" w:rsidRDefault="00B5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BB" w:rsidRDefault="00DF1FBB">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DF1FBB" w:rsidRDefault="00DF1F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BB" w:rsidRDefault="00DF1FBB">
    <w:pPr>
      <w:framePr w:wrap="around" w:vAnchor="text" w:hAnchor="margin" w:xAlign="center" w:y="1"/>
      <w:rPr>
        <w:rStyle w:val="Numrodepage"/>
        <w:sz w:val="20"/>
      </w:rPr>
    </w:pPr>
    <w:r>
      <w:rPr>
        <w:rStyle w:val="Numrodepage"/>
        <w:sz w:val="20"/>
      </w:rPr>
      <w:fldChar w:fldCharType="begin"/>
    </w:r>
    <w:r>
      <w:rPr>
        <w:rStyle w:val="Numrodepage"/>
        <w:sz w:val="20"/>
      </w:rPr>
      <w:instrText xml:space="preserve">PAGE  </w:instrText>
    </w:r>
    <w:r>
      <w:rPr>
        <w:rStyle w:val="Numrodepage"/>
        <w:sz w:val="20"/>
      </w:rPr>
      <w:fldChar w:fldCharType="separate"/>
    </w:r>
    <w:r w:rsidR="00F1392E">
      <w:rPr>
        <w:rStyle w:val="Numrodepage"/>
        <w:noProof/>
        <w:sz w:val="20"/>
      </w:rPr>
      <w:t>10</w:t>
    </w:r>
    <w:r>
      <w:rPr>
        <w:rStyle w:val="Numrodepage"/>
        <w:sz w:val="20"/>
      </w:rPr>
      <w:fldChar w:fldCharType="end"/>
    </w:r>
  </w:p>
  <w:p w:rsidR="00DF1FBB" w:rsidRDefault="00DF1F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292" w:rsidRDefault="00B55292">
      <w:r>
        <w:separator/>
      </w:r>
    </w:p>
  </w:footnote>
  <w:footnote w:type="continuationSeparator" w:id="0">
    <w:p w:rsidR="00B55292" w:rsidRDefault="00B552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D67"/>
    <w:multiLevelType w:val="hybridMultilevel"/>
    <w:tmpl w:val="6E3EB2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98A2819"/>
    <w:multiLevelType w:val="hybridMultilevel"/>
    <w:tmpl w:val="F2DA3988"/>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2">
    <w:nsid w:val="09F52D34"/>
    <w:multiLevelType w:val="multilevel"/>
    <w:tmpl w:val="9F2CD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C1E14E0"/>
    <w:multiLevelType w:val="hybridMultilevel"/>
    <w:tmpl w:val="1850F774"/>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5">
    <w:nsid w:val="0E3251F3"/>
    <w:multiLevelType w:val="hybridMultilevel"/>
    <w:tmpl w:val="8F60E2D4"/>
    <w:lvl w:ilvl="0" w:tplc="DF1246FC">
      <w:start w:val="1"/>
      <w:numFmt w:val="decimal"/>
      <w:lvlText w:val="%1."/>
      <w:lvlJc w:val="left"/>
      <w:pPr>
        <w:ind w:left="927" w:hanging="360"/>
      </w:p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6">
    <w:nsid w:val="0E807809"/>
    <w:multiLevelType w:val="hybridMultilevel"/>
    <w:tmpl w:val="720C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943108"/>
    <w:multiLevelType w:val="hybridMultilevel"/>
    <w:tmpl w:val="5B9CD2A6"/>
    <w:lvl w:ilvl="0" w:tplc="36944DF6">
      <w:start w:val="1"/>
      <w:numFmt w:val="lowerRoman"/>
      <w:lvlText w:val="%1)"/>
      <w:lvlJc w:val="left"/>
      <w:pPr>
        <w:ind w:left="720" w:hanging="360"/>
      </w:pPr>
      <w:rPr>
        <w:rFonts w:ascii="Calibri" w:eastAsia="Calibri" w:hAnsi="Calibri" w:cs="Times New Roman" w:hint="default"/>
      </w:rPr>
    </w:lvl>
    <w:lvl w:ilvl="1" w:tplc="36944DF6">
      <w:start w:val="1"/>
      <w:numFmt w:val="lowerRoman"/>
      <w:lvlText w:val="%2)"/>
      <w:lvlJc w:val="left"/>
      <w:pPr>
        <w:ind w:left="1440" w:hanging="360"/>
      </w:pPr>
      <w:rPr>
        <w:rFonts w:ascii="Calibri" w:eastAsia="Calibri" w:hAnsi="Calibri" w:cs="Times New Roman"/>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2322B6B"/>
    <w:multiLevelType w:val="hybridMultilevel"/>
    <w:tmpl w:val="C7186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B92AEA"/>
    <w:multiLevelType w:val="hybridMultilevel"/>
    <w:tmpl w:val="EC38BD7A"/>
    <w:lvl w:ilvl="0" w:tplc="8E086DAA">
      <w:start w:val="1"/>
      <w:numFmt w:val="decimal"/>
      <w:lvlText w:val="%1."/>
      <w:lvlJc w:val="left"/>
      <w:pPr>
        <w:ind w:left="927" w:hanging="360"/>
      </w:pPr>
      <w:rPr>
        <w:rFonts w:cs="Times New Roman" w:hint="default"/>
        <w:sz w:val="28"/>
        <w:u w:val="none"/>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0">
    <w:nsid w:val="221533FB"/>
    <w:multiLevelType w:val="hybridMultilevel"/>
    <w:tmpl w:val="AD4A6C0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23081DDA"/>
    <w:multiLevelType w:val="hybridMultilevel"/>
    <w:tmpl w:val="F98AA984"/>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12">
    <w:nsid w:val="286270B1"/>
    <w:multiLevelType w:val="hybridMultilevel"/>
    <w:tmpl w:val="BA6AF3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AFC3234"/>
    <w:multiLevelType w:val="hybridMultilevel"/>
    <w:tmpl w:val="E54AD86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4">
    <w:nsid w:val="2BB8607D"/>
    <w:multiLevelType w:val="hybridMultilevel"/>
    <w:tmpl w:val="4AA4E2D4"/>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17">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8">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9">
    <w:nsid w:val="37C7185F"/>
    <w:multiLevelType w:val="multilevel"/>
    <w:tmpl w:val="7642517A"/>
    <w:lvl w:ilvl="0">
      <w:start w:val="1"/>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nsid w:val="3C263D9F"/>
    <w:multiLevelType w:val="multilevel"/>
    <w:tmpl w:val="A0E4F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3A229D"/>
    <w:multiLevelType w:val="hybridMultilevel"/>
    <w:tmpl w:val="4C049D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45A16FF0"/>
    <w:multiLevelType w:val="hybridMultilevel"/>
    <w:tmpl w:val="C9F0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0333B"/>
    <w:multiLevelType w:val="hybridMultilevel"/>
    <w:tmpl w:val="51521BC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5">
    <w:nsid w:val="4B4974F4"/>
    <w:multiLevelType w:val="hybridMultilevel"/>
    <w:tmpl w:val="15D053C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525851A3"/>
    <w:multiLevelType w:val="hybridMultilevel"/>
    <w:tmpl w:val="5B5C4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5E67627A"/>
    <w:multiLevelType w:val="hybridMultilevel"/>
    <w:tmpl w:val="6ECCDF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64FF58AF"/>
    <w:multiLevelType w:val="hybridMultilevel"/>
    <w:tmpl w:val="7224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AA5474"/>
    <w:multiLevelType w:val="hybridMultilevel"/>
    <w:tmpl w:val="62281D64"/>
    <w:lvl w:ilvl="0" w:tplc="0BC6F722">
      <w:numFmt w:val="bullet"/>
      <w:lvlText w:val=""/>
      <w:lvlJc w:val="left"/>
      <w:pPr>
        <w:ind w:left="720" w:hanging="360"/>
      </w:pPr>
      <w:rPr>
        <w:rFonts w:ascii="Symbol" w:eastAsia="Calibri" w:hAnsi="Symbol"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7324262"/>
    <w:multiLevelType w:val="hybridMultilevel"/>
    <w:tmpl w:val="EC38BD7A"/>
    <w:lvl w:ilvl="0" w:tplc="8E086DAA">
      <w:start w:val="1"/>
      <w:numFmt w:val="decimal"/>
      <w:lvlText w:val="%1."/>
      <w:lvlJc w:val="left"/>
      <w:pPr>
        <w:ind w:left="927" w:hanging="360"/>
      </w:pPr>
      <w:rPr>
        <w:rFonts w:cs="Times New Roman" w:hint="default"/>
        <w:sz w:val="28"/>
        <w:u w:val="none"/>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34">
    <w:nsid w:val="6BA554F2"/>
    <w:multiLevelType w:val="hybridMultilevel"/>
    <w:tmpl w:val="2A0A3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7767BF"/>
    <w:multiLevelType w:val="multilevel"/>
    <w:tmpl w:val="7060B39E"/>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36">
    <w:nsid w:val="79A74A3F"/>
    <w:multiLevelType w:val="hybridMultilevel"/>
    <w:tmpl w:val="2BFCCE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7D38284E"/>
    <w:multiLevelType w:val="hybridMultilevel"/>
    <w:tmpl w:val="E7343AF0"/>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7E1A0688"/>
    <w:multiLevelType w:val="hybridMultilevel"/>
    <w:tmpl w:val="D012C0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8"/>
  </w:num>
  <w:num w:numId="2">
    <w:abstractNumId w:val="3"/>
  </w:num>
  <w:num w:numId="3">
    <w:abstractNumId w:val="35"/>
  </w:num>
  <w:num w:numId="4">
    <w:abstractNumId w:val="35"/>
  </w:num>
  <w:num w:numId="5">
    <w:abstractNumId w:val="35"/>
  </w:num>
  <w:num w:numId="6">
    <w:abstractNumId w:val="30"/>
  </w:num>
  <w:num w:numId="7">
    <w:abstractNumId w:val="35"/>
  </w:num>
  <w:num w:numId="8">
    <w:abstractNumId w:val="35"/>
  </w:num>
  <w:num w:numId="9">
    <w:abstractNumId w:val="16"/>
  </w:num>
  <w:num w:numId="10">
    <w:abstractNumId w:val="24"/>
  </w:num>
  <w:num w:numId="11">
    <w:abstractNumId w:val="18"/>
  </w:num>
  <w:num w:numId="12">
    <w:abstractNumId w:val="27"/>
  </w:num>
  <w:num w:numId="13">
    <w:abstractNumId w:val="17"/>
  </w:num>
  <w:num w:numId="14">
    <w:abstractNumId w:val="15"/>
  </w:num>
  <w:num w:numId="15">
    <w:abstractNumId w:val="14"/>
  </w:num>
  <w:num w:numId="16">
    <w:abstractNumId w:val="32"/>
  </w:num>
  <w:num w:numId="17">
    <w:abstractNumId w:val="21"/>
  </w:num>
  <w:num w:numId="18">
    <w:abstractNumId w:val="37"/>
  </w:num>
  <w:num w:numId="19">
    <w:abstractNumId w:val="12"/>
  </w:num>
  <w:num w:numId="20">
    <w:abstractNumId w:val="36"/>
  </w:num>
  <w:num w:numId="21">
    <w:abstractNumId w:val="25"/>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6"/>
  </w:num>
  <w:num w:numId="25">
    <w:abstractNumId w:val="22"/>
  </w:num>
  <w:num w:numId="26">
    <w:abstractNumId w:val="34"/>
  </w:num>
  <w:num w:numId="27">
    <w:abstractNumId w:val="8"/>
  </w:num>
  <w:num w:numId="28">
    <w:abstractNumId w:val="5"/>
  </w:num>
  <w:num w:numId="29">
    <w:abstractNumId w:val="20"/>
  </w:num>
  <w:num w:numId="30">
    <w:abstractNumId w:val="4"/>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9"/>
  </w:num>
  <w:num w:numId="34">
    <w:abstractNumId w:val="38"/>
  </w:num>
  <w:num w:numId="35">
    <w:abstractNumId w:val="6"/>
  </w:num>
  <w:num w:numId="36">
    <w:abstractNumId w:val="7"/>
  </w:num>
  <w:num w:numId="37">
    <w:abstractNumId w:val="0"/>
  </w:num>
  <w:num w:numId="38">
    <w:abstractNumId w:val="11"/>
  </w:num>
  <w:num w:numId="39">
    <w:abstractNumId w:val="23"/>
  </w:num>
  <w:num w:numId="40">
    <w:abstractNumId w:val="19"/>
  </w:num>
  <w:num w:numId="41">
    <w:abstractNumId w:val="31"/>
  </w:num>
  <w:num w:numId="42">
    <w:abstractNumId w:val="33"/>
  </w:num>
  <w:num w:numId="43">
    <w:abstractNumId w:val="29"/>
  </w:num>
  <w:num w:numId="44">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C68"/>
    <w:rsid w:val="000233C6"/>
    <w:rsid w:val="00033112"/>
    <w:rsid w:val="000364E2"/>
    <w:rsid w:val="00042E6D"/>
    <w:rsid w:val="00053EFE"/>
    <w:rsid w:val="0005529F"/>
    <w:rsid w:val="00061978"/>
    <w:rsid w:val="000641A7"/>
    <w:rsid w:val="000671E5"/>
    <w:rsid w:val="00070549"/>
    <w:rsid w:val="00074256"/>
    <w:rsid w:val="00080FDE"/>
    <w:rsid w:val="00086867"/>
    <w:rsid w:val="00092416"/>
    <w:rsid w:val="000956E8"/>
    <w:rsid w:val="00095D52"/>
    <w:rsid w:val="00097E34"/>
    <w:rsid w:val="000B0905"/>
    <w:rsid w:val="000B27FA"/>
    <w:rsid w:val="000B39F4"/>
    <w:rsid w:val="000B787A"/>
    <w:rsid w:val="000C0A61"/>
    <w:rsid w:val="000C2EF7"/>
    <w:rsid w:val="000D0F3C"/>
    <w:rsid w:val="000E346F"/>
    <w:rsid w:val="000F0612"/>
    <w:rsid w:val="000F1373"/>
    <w:rsid w:val="000F46B6"/>
    <w:rsid w:val="000F775A"/>
    <w:rsid w:val="00100372"/>
    <w:rsid w:val="00101F1B"/>
    <w:rsid w:val="00106047"/>
    <w:rsid w:val="00106238"/>
    <w:rsid w:val="00107715"/>
    <w:rsid w:val="00112E59"/>
    <w:rsid w:val="00113B49"/>
    <w:rsid w:val="00135342"/>
    <w:rsid w:val="00135FE7"/>
    <w:rsid w:val="0013730F"/>
    <w:rsid w:val="00154CD8"/>
    <w:rsid w:val="00161D26"/>
    <w:rsid w:val="00162CBB"/>
    <w:rsid w:val="0016435A"/>
    <w:rsid w:val="0017696D"/>
    <w:rsid w:val="00177DC7"/>
    <w:rsid w:val="00181D23"/>
    <w:rsid w:val="001875C6"/>
    <w:rsid w:val="00193380"/>
    <w:rsid w:val="001A0544"/>
    <w:rsid w:val="001A74FD"/>
    <w:rsid w:val="001A79B6"/>
    <w:rsid w:val="001C02C9"/>
    <w:rsid w:val="001C7C24"/>
    <w:rsid w:val="001D08D5"/>
    <w:rsid w:val="001D181E"/>
    <w:rsid w:val="001E0E49"/>
    <w:rsid w:val="001E7B96"/>
    <w:rsid w:val="001F2614"/>
    <w:rsid w:val="001F2E1A"/>
    <w:rsid w:val="001F724C"/>
    <w:rsid w:val="002007CA"/>
    <w:rsid w:val="00215746"/>
    <w:rsid w:val="00221774"/>
    <w:rsid w:val="00222F7B"/>
    <w:rsid w:val="00225B01"/>
    <w:rsid w:val="0023437A"/>
    <w:rsid w:val="00250F94"/>
    <w:rsid w:val="00257133"/>
    <w:rsid w:val="00260D98"/>
    <w:rsid w:val="0026766F"/>
    <w:rsid w:val="00270D2F"/>
    <w:rsid w:val="00275EE0"/>
    <w:rsid w:val="00276C85"/>
    <w:rsid w:val="00277BC1"/>
    <w:rsid w:val="00277CF8"/>
    <w:rsid w:val="0028051D"/>
    <w:rsid w:val="00294331"/>
    <w:rsid w:val="002A02A3"/>
    <w:rsid w:val="002A63B7"/>
    <w:rsid w:val="002A6FF4"/>
    <w:rsid w:val="002B169D"/>
    <w:rsid w:val="002B47FC"/>
    <w:rsid w:val="002B683F"/>
    <w:rsid w:val="002B7BB0"/>
    <w:rsid w:val="002D7395"/>
    <w:rsid w:val="002E0DCE"/>
    <w:rsid w:val="002F624E"/>
    <w:rsid w:val="00301409"/>
    <w:rsid w:val="003050FD"/>
    <w:rsid w:val="003071E0"/>
    <w:rsid w:val="00314E5E"/>
    <w:rsid w:val="00316BF0"/>
    <w:rsid w:val="0032693F"/>
    <w:rsid w:val="00326A73"/>
    <w:rsid w:val="00326C68"/>
    <w:rsid w:val="0033013C"/>
    <w:rsid w:val="00346C62"/>
    <w:rsid w:val="00357A5F"/>
    <w:rsid w:val="00363C8B"/>
    <w:rsid w:val="00376590"/>
    <w:rsid w:val="00377E62"/>
    <w:rsid w:val="003813E6"/>
    <w:rsid w:val="003846DD"/>
    <w:rsid w:val="0039030E"/>
    <w:rsid w:val="00393716"/>
    <w:rsid w:val="00397194"/>
    <w:rsid w:val="003A3B88"/>
    <w:rsid w:val="003A57CC"/>
    <w:rsid w:val="003B1654"/>
    <w:rsid w:val="003B2270"/>
    <w:rsid w:val="003C2268"/>
    <w:rsid w:val="003C4848"/>
    <w:rsid w:val="003C53D0"/>
    <w:rsid w:val="003D6A16"/>
    <w:rsid w:val="003E76E9"/>
    <w:rsid w:val="003F677E"/>
    <w:rsid w:val="003F73E2"/>
    <w:rsid w:val="004002F7"/>
    <w:rsid w:val="00421CAC"/>
    <w:rsid w:val="00423C29"/>
    <w:rsid w:val="00430369"/>
    <w:rsid w:val="00431D12"/>
    <w:rsid w:val="004369DC"/>
    <w:rsid w:val="00443C40"/>
    <w:rsid w:val="004648A4"/>
    <w:rsid w:val="004662F9"/>
    <w:rsid w:val="004858B1"/>
    <w:rsid w:val="00486369"/>
    <w:rsid w:val="00493F86"/>
    <w:rsid w:val="004A0432"/>
    <w:rsid w:val="004A099D"/>
    <w:rsid w:val="004A47FF"/>
    <w:rsid w:val="004B23D3"/>
    <w:rsid w:val="004C6078"/>
    <w:rsid w:val="004C7F92"/>
    <w:rsid w:val="004E45DF"/>
    <w:rsid w:val="004F061E"/>
    <w:rsid w:val="004F2203"/>
    <w:rsid w:val="004F2824"/>
    <w:rsid w:val="004F2E89"/>
    <w:rsid w:val="00500553"/>
    <w:rsid w:val="005006F3"/>
    <w:rsid w:val="00514FC1"/>
    <w:rsid w:val="00523220"/>
    <w:rsid w:val="005269EA"/>
    <w:rsid w:val="0053015C"/>
    <w:rsid w:val="00533846"/>
    <w:rsid w:val="005348B2"/>
    <w:rsid w:val="005434C4"/>
    <w:rsid w:val="00554550"/>
    <w:rsid w:val="005549FF"/>
    <w:rsid w:val="00562E1E"/>
    <w:rsid w:val="0056449E"/>
    <w:rsid w:val="005723B3"/>
    <w:rsid w:val="005761BB"/>
    <w:rsid w:val="00585607"/>
    <w:rsid w:val="005D73C8"/>
    <w:rsid w:val="005E2FFC"/>
    <w:rsid w:val="005E39B2"/>
    <w:rsid w:val="005F1C1F"/>
    <w:rsid w:val="005F1F09"/>
    <w:rsid w:val="005F58EF"/>
    <w:rsid w:val="00616265"/>
    <w:rsid w:val="00617C57"/>
    <w:rsid w:val="00624A19"/>
    <w:rsid w:val="0063524D"/>
    <w:rsid w:val="006542C3"/>
    <w:rsid w:val="00654C06"/>
    <w:rsid w:val="0065588F"/>
    <w:rsid w:val="00664805"/>
    <w:rsid w:val="00671707"/>
    <w:rsid w:val="00677187"/>
    <w:rsid w:val="006827D0"/>
    <w:rsid w:val="00684589"/>
    <w:rsid w:val="006845C9"/>
    <w:rsid w:val="006902F9"/>
    <w:rsid w:val="00690A9D"/>
    <w:rsid w:val="00690B4B"/>
    <w:rsid w:val="00691107"/>
    <w:rsid w:val="0069180A"/>
    <w:rsid w:val="00697E9B"/>
    <w:rsid w:val="006A6A4A"/>
    <w:rsid w:val="006B0132"/>
    <w:rsid w:val="006B2227"/>
    <w:rsid w:val="006B5313"/>
    <w:rsid w:val="006B5D17"/>
    <w:rsid w:val="006C4BCC"/>
    <w:rsid w:val="006C7D8C"/>
    <w:rsid w:val="006D1EAC"/>
    <w:rsid w:val="006D3D6F"/>
    <w:rsid w:val="006E1FA9"/>
    <w:rsid w:val="006E316D"/>
    <w:rsid w:val="006F5516"/>
    <w:rsid w:val="006F70A7"/>
    <w:rsid w:val="0070740D"/>
    <w:rsid w:val="0071309B"/>
    <w:rsid w:val="00715F52"/>
    <w:rsid w:val="0072124A"/>
    <w:rsid w:val="00751528"/>
    <w:rsid w:val="007538DB"/>
    <w:rsid w:val="0075560F"/>
    <w:rsid w:val="007601AD"/>
    <w:rsid w:val="00766990"/>
    <w:rsid w:val="0077184D"/>
    <w:rsid w:val="00782F34"/>
    <w:rsid w:val="007925CA"/>
    <w:rsid w:val="00793843"/>
    <w:rsid w:val="00793A25"/>
    <w:rsid w:val="007972EC"/>
    <w:rsid w:val="007A1831"/>
    <w:rsid w:val="007A3DB8"/>
    <w:rsid w:val="007A49AD"/>
    <w:rsid w:val="007A7345"/>
    <w:rsid w:val="007C415E"/>
    <w:rsid w:val="007C7EC6"/>
    <w:rsid w:val="007D5586"/>
    <w:rsid w:val="007E5C61"/>
    <w:rsid w:val="007F0553"/>
    <w:rsid w:val="00802521"/>
    <w:rsid w:val="00807AA2"/>
    <w:rsid w:val="00807F54"/>
    <w:rsid w:val="008127E6"/>
    <w:rsid w:val="00820168"/>
    <w:rsid w:val="00826ED1"/>
    <w:rsid w:val="008330CF"/>
    <w:rsid w:val="00865CCE"/>
    <w:rsid w:val="00884205"/>
    <w:rsid w:val="00890C4D"/>
    <w:rsid w:val="008A37BA"/>
    <w:rsid w:val="008D2718"/>
    <w:rsid w:val="008D4942"/>
    <w:rsid w:val="008D6E2E"/>
    <w:rsid w:val="008D74CD"/>
    <w:rsid w:val="008D763E"/>
    <w:rsid w:val="008E4001"/>
    <w:rsid w:val="008F33D5"/>
    <w:rsid w:val="008F5596"/>
    <w:rsid w:val="008F5ECB"/>
    <w:rsid w:val="008F677F"/>
    <w:rsid w:val="0090290F"/>
    <w:rsid w:val="0091665C"/>
    <w:rsid w:val="00916B79"/>
    <w:rsid w:val="00941053"/>
    <w:rsid w:val="00956BAA"/>
    <w:rsid w:val="00971713"/>
    <w:rsid w:val="00976BDD"/>
    <w:rsid w:val="00977355"/>
    <w:rsid w:val="00980A99"/>
    <w:rsid w:val="00982D6E"/>
    <w:rsid w:val="00983D9C"/>
    <w:rsid w:val="009852E6"/>
    <w:rsid w:val="0098621D"/>
    <w:rsid w:val="00997A4D"/>
    <w:rsid w:val="009B383B"/>
    <w:rsid w:val="009B3CB6"/>
    <w:rsid w:val="009C2F3B"/>
    <w:rsid w:val="009C69F7"/>
    <w:rsid w:val="009D242F"/>
    <w:rsid w:val="009D3F21"/>
    <w:rsid w:val="009D489B"/>
    <w:rsid w:val="009D4B2F"/>
    <w:rsid w:val="009F23E8"/>
    <w:rsid w:val="009F2575"/>
    <w:rsid w:val="00A024A8"/>
    <w:rsid w:val="00A027EE"/>
    <w:rsid w:val="00A07183"/>
    <w:rsid w:val="00A101D2"/>
    <w:rsid w:val="00A10967"/>
    <w:rsid w:val="00A16D03"/>
    <w:rsid w:val="00A267CE"/>
    <w:rsid w:val="00A30225"/>
    <w:rsid w:val="00A32A30"/>
    <w:rsid w:val="00A44AE2"/>
    <w:rsid w:val="00A477F3"/>
    <w:rsid w:val="00A64930"/>
    <w:rsid w:val="00A77E89"/>
    <w:rsid w:val="00A82B1F"/>
    <w:rsid w:val="00A87C8C"/>
    <w:rsid w:val="00A92C02"/>
    <w:rsid w:val="00A95309"/>
    <w:rsid w:val="00AA26E7"/>
    <w:rsid w:val="00AA3CFD"/>
    <w:rsid w:val="00AA3D96"/>
    <w:rsid w:val="00AA3E9E"/>
    <w:rsid w:val="00AA59E8"/>
    <w:rsid w:val="00AC0304"/>
    <w:rsid w:val="00AC345D"/>
    <w:rsid w:val="00AD241F"/>
    <w:rsid w:val="00AD6C98"/>
    <w:rsid w:val="00AD704C"/>
    <w:rsid w:val="00AE4993"/>
    <w:rsid w:val="00AE7906"/>
    <w:rsid w:val="00AF52C4"/>
    <w:rsid w:val="00B0161E"/>
    <w:rsid w:val="00B05A15"/>
    <w:rsid w:val="00B07F82"/>
    <w:rsid w:val="00B1073A"/>
    <w:rsid w:val="00B1660B"/>
    <w:rsid w:val="00B253F4"/>
    <w:rsid w:val="00B35D13"/>
    <w:rsid w:val="00B46F09"/>
    <w:rsid w:val="00B53A7B"/>
    <w:rsid w:val="00B55292"/>
    <w:rsid w:val="00B600CB"/>
    <w:rsid w:val="00B608A5"/>
    <w:rsid w:val="00B6512A"/>
    <w:rsid w:val="00B70CD3"/>
    <w:rsid w:val="00B83ED4"/>
    <w:rsid w:val="00B90507"/>
    <w:rsid w:val="00B92E72"/>
    <w:rsid w:val="00BB0116"/>
    <w:rsid w:val="00BB27C5"/>
    <w:rsid w:val="00BC2918"/>
    <w:rsid w:val="00BD685D"/>
    <w:rsid w:val="00BE4CC9"/>
    <w:rsid w:val="00BF2999"/>
    <w:rsid w:val="00BF323D"/>
    <w:rsid w:val="00BF5434"/>
    <w:rsid w:val="00C154C2"/>
    <w:rsid w:val="00C24300"/>
    <w:rsid w:val="00C309B1"/>
    <w:rsid w:val="00C30AFC"/>
    <w:rsid w:val="00C335F0"/>
    <w:rsid w:val="00C43796"/>
    <w:rsid w:val="00C47BE9"/>
    <w:rsid w:val="00C47E91"/>
    <w:rsid w:val="00C5418E"/>
    <w:rsid w:val="00C60D46"/>
    <w:rsid w:val="00C62218"/>
    <w:rsid w:val="00C6308A"/>
    <w:rsid w:val="00C6430C"/>
    <w:rsid w:val="00C7286B"/>
    <w:rsid w:val="00C740CF"/>
    <w:rsid w:val="00C74F88"/>
    <w:rsid w:val="00C75E0E"/>
    <w:rsid w:val="00C82BC5"/>
    <w:rsid w:val="00CA4E74"/>
    <w:rsid w:val="00CB0BBB"/>
    <w:rsid w:val="00CC4E74"/>
    <w:rsid w:val="00CD2962"/>
    <w:rsid w:val="00CD4FA2"/>
    <w:rsid w:val="00CD51FD"/>
    <w:rsid w:val="00CE13A7"/>
    <w:rsid w:val="00CE20ED"/>
    <w:rsid w:val="00CE40EE"/>
    <w:rsid w:val="00CE6591"/>
    <w:rsid w:val="00CF076B"/>
    <w:rsid w:val="00CF4D15"/>
    <w:rsid w:val="00D004D0"/>
    <w:rsid w:val="00D00B4F"/>
    <w:rsid w:val="00D04E39"/>
    <w:rsid w:val="00D14191"/>
    <w:rsid w:val="00D149DA"/>
    <w:rsid w:val="00D151F6"/>
    <w:rsid w:val="00D34708"/>
    <w:rsid w:val="00D43633"/>
    <w:rsid w:val="00D50DE5"/>
    <w:rsid w:val="00D53B5D"/>
    <w:rsid w:val="00D54EF6"/>
    <w:rsid w:val="00D66735"/>
    <w:rsid w:val="00D671A5"/>
    <w:rsid w:val="00D765E7"/>
    <w:rsid w:val="00D95F74"/>
    <w:rsid w:val="00DA6007"/>
    <w:rsid w:val="00DA6F00"/>
    <w:rsid w:val="00DB5A0C"/>
    <w:rsid w:val="00DC4D99"/>
    <w:rsid w:val="00DD08BA"/>
    <w:rsid w:val="00DD1103"/>
    <w:rsid w:val="00DE2447"/>
    <w:rsid w:val="00DE5E01"/>
    <w:rsid w:val="00DF1FBB"/>
    <w:rsid w:val="00DF2A80"/>
    <w:rsid w:val="00E04AF2"/>
    <w:rsid w:val="00E054A3"/>
    <w:rsid w:val="00E232D3"/>
    <w:rsid w:val="00E2376B"/>
    <w:rsid w:val="00E2796D"/>
    <w:rsid w:val="00E27C6A"/>
    <w:rsid w:val="00E27FC3"/>
    <w:rsid w:val="00E40873"/>
    <w:rsid w:val="00E43F97"/>
    <w:rsid w:val="00E5287C"/>
    <w:rsid w:val="00E561B8"/>
    <w:rsid w:val="00E577A4"/>
    <w:rsid w:val="00E7100C"/>
    <w:rsid w:val="00E71841"/>
    <w:rsid w:val="00E770E6"/>
    <w:rsid w:val="00E779E2"/>
    <w:rsid w:val="00E81434"/>
    <w:rsid w:val="00E87AEF"/>
    <w:rsid w:val="00E92AE8"/>
    <w:rsid w:val="00E93323"/>
    <w:rsid w:val="00E95CFE"/>
    <w:rsid w:val="00E95D2C"/>
    <w:rsid w:val="00EC5041"/>
    <w:rsid w:val="00ED244B"/>
    <w:rsid w:val="00ED7AEC"/>
    <w:rsid w:val="00EE07DC"/>
    <w:rsid w:val="00EE4623"/>
    <w:rsid w:val="00EE4BEE"/>
    <w:rsid w:val="00EE6D93"/>
    <w:rsid w:val="00EF1568"/>
    <w:rsid w:val="00F02631"/>
    <w:rsid w:val="00F05B26"/>
    <w:rsid w:val="00F1392E"/>
    <w:rsid w:val="00F22950"/>
    <w:rsid w:val="00F278D5"/>
    <w:rsid w:val="00F311FB"/>
    <w:rsid w:val="00F37A73"/>
    <w:rsid w:val="00F43738"/>
    <w:rsid w:val="00F43BE8"/>
    <w:rsid w:val="00F53012"/>
    <w:rsid w:val="00F53771"/>
    <w:rsid w:val="00F5622A"/>
    <w:rsid w:val="00FA15BA"/>
    <w:rsid w:val="00FA6EBF"/>
    <w:rsid w:val="00FA71B6"/>
    <w:rsid w:val="00FA7FC5"/>
    <w:rsid w:val="00FB2D96"/>
    <w:rsid w:val="00FD0B6D"/>
    <w:rsid w:val="00FD7E46"/>
    <w:rsid w:val="00FE1DCB"/>
    <w:rsid w:val="00FE61C8"/>
    <w:rsid w:val="00FF320E"/>
    <w:rsid w:val="00FF377F"/>
    <w:rsid w:val="00FF3DE6"/>
    <w:rsid w:val="00FF73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en-GB" w:eastAsia="de-DE"/>
    </w:rPr>
  </w:style>
  <w:style w:type="paragraph" w:styleId="Titre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rPr>
  </w:style>
  <w:style w:type="paragraph" w:styleId="Titre2">
    <w:name w:val="heading 2"/>
    <w:basedOn w:val="Titre1"/>
    <w:next w:val="Normal"/>
    <w:qFormat/>
    <w:rsid w:val="00D004D0"/>
    <w:pPr>
      <w:numPr>
        <w:ilvl w:val="1"/>
      </w:numPr>
      <w:tabs>
        <w:tab w:val="clear" w:pos="576"/>
      </w:tabs>
      <w:spacing w:before="120"/>
      <w:ind w:left="851" w:hanging="851"/>
      <w:outlineLvl w:val="1"/>
    </w:pPr>
    <w:rPr>
      <w:sz w:val="24"/>
    </w:rPr>
  </w:style>
  <w:style w:type="paragraph" w:styleId="Titre3">
    <w:name w:val="heading 3"/>
    <w:basedOn w:val="Titre2"/>
    <w:next w:val="Normal"/>
    <w:qFormat/>
    <w:rsid w:val="00D004D0"/>
    <w:pPr>
      <w:numPr>
        <w:ilvl w:val="2"/>
      </w:numPr>
      <w:tabs>
        <w:tab w:val="clear" w:pos="720"/>
      </w:tabs>
      <w:ind w:left="851" w:hanging="851"/>
      <w:outlineLvl w:val="2"/>
    </w:pPr>
    <w:rPr>
      <w:i/>
      <w:sz w:val="22"/>
    </w:rPr>
  </w:style>
  <w:style w:type="paragraph" w:styleId="Titre4">
    <w:name w:val="heading 4"/>
    <w:basedOn w:val="Normal"/>
    <w:next w:val="Normal"/>
    <w:qFormat/>
    <w:rsid w:val="00D004D0"/>
    <w:pPr>
      <w:numPr>
        <w:ilvl w:val="3"/>
        <w:numId w:val="3"/>
      </w:numPr>
      <w:outlineLvl w:val="3"/>
    </w:pPr>
    <w:rPr>
      <w:u w:val="single"/>
    </w:rPr>
  </w:style>
  <w:style w:type="paragraph" w:styleId="Titre5">
    <w:name w:val="heading 5"/>
    <w:basedOn w:val="Normal"/>
    <w:next w:val="Normal"/>
    <w:qFormat/>
    <w:rsid w:val="00D004D0"/>
    <w:pPr>
      <w:numPr>
        <w:ilvl w:val="4"/>
        <w:numId w:val="3"/>
      </w:numPr>
      <w:outlineLvl w:val="4"/>
    </w:pPr>
    <w:rPr>
      <w:b/>
      <w:sz w:val="20"/>
    </w:rPr>
  </w:style>
  <w:style w:type="paragraph" w:styleId="Titre6">
    <w:name w:val="heading 6"/>
    <w:basedOn w:val="Normal"/>
    <w:next w:val="Normal"/>
    <w:qFormat/>
    <w:rsid w:val="00D004D0"/>
    <w:pPr>
      <w:numPr>
        <w:ilvl w:val="5"/>
        <w:numId w:val="3"/>
      </w:numPr>
      <w:outlineLvl w:val="5"/>
    </w:pPr>
    <w:rPr>
      <w:sz w:val="20"/>
      <w:u w:val="single"/>
    </w:rPr>
  </w:style>
  <w:style w:type="paragraph" w:styleId="Titre7">
    <w:name w:val="heading 7"/>
    <w:basedOn w:val="Normal"/>
    <w:next w:val="Normal"/>
    <w:qFormat/>
    <w:rsid w:val="00D004D0"/>
    <w:pPr>
      <w:numPr>
        <w:ilvl w:val="6"/>
        <w:numId w:val="3"/>
      </w:numPr>
      <w:outlineLvl w:val="6"/>
    </w:pPr>
    <w:rPr>
      <w:i/>
      <w:sz w:val="20"/>
    </w:rPr>
  </w:style>
  <w:style w:type="paragraph" w:styleId="Titre8">
    <w:name w:val="heading 8"/>
    <w:basedOn w:val="Normal"/>
    <w:next w:val="Normal"/>
    <w:qFormat/>
    <w:rsid w:val="00D004D0"/>
    <w:pPr>
      <w:numPr>
        <w:ilvl w:val="7"/>
        <w:numId w:val="3"/>
      </w:numPr>
      <w:outlineLvl w:val="7"/>
    </w:pPr>
    <w:rPr>
      <w:i/>
      <w:sz w:val="20"/>
    </w:rPr>
  </w:style>
  <w:style w:type="paragraph" w:styleId="Titre9">
    <w:name w:val="heading 9"/>
    <w:basedOn w:val="Normal"/>
    <w:next w:val="Normal"/>
    <w:qFormat/>
    <w:rsid w:val="00D004D0"/>
    <w:pPr>
      <w:numPr>
        <w:ilvl w:val="8"/>
        <w:numId w:val="3"/>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8621D"/>
    <w:pPr>
      <w:tabs>
        <w:tab w:val="center" w:pos="4536"/>
        <w:tab w:val="right" w:pos="9072"/>
      </w:tabs>
      <w:spacing w:after="0"/>
      <w:jc w:val="left"/>
    </w:pPr>
    <w:rPr>
      <w:b/>
    </w:rPr>
  </w:style>
  <w:style w:type="paragraph" w:styleId="Liste">
    <w:name w:val="List"/>
    <w:basedOn w:val="Normal"/>
    <w:rsid w:val="00135FE7"/>
    <w:pPr>
      <w:tabs>
        <w:tab w:val="left" w:pos="1418"/>
      </w:tabs>
      <w:ind w:left="1418" w:hanging="567"/>
    </w:pPr>
  </w:style>
  <w:style w:type="paragraph" w:customStyle="1" w:styleId="Kopfzeile1">
    <w:name w:val="Kopfzeile1"/>
    <w:basedOn w:val="En-tte"/>
    <w:rsid w:val="00215746"/>
  </w:style>
  <w:style w:type="character" w:styleId="Appelnotedebasdep">
    <w:name w:val="footnote reference"/>
    <w:aliases w:val="Appel note de bas de p,Footnote Reference/,Footnote,Footnote symbol"/>
    <w:semiHidden/>
    <w:rPr>
      <w:position w:val="6"/>
      <w:sz w:val="16"/>
    </w:rPr>
  </w:style>
  <w:style w:type="paragraph" w:styleId="Notedebasdepage">
    <w:name w:val="footnote text"/>
    <w:basedOn w:val="Normal"/>
    <w:semiHidden/>
    <w:rPr>
      <w:sz w:val="20"/>
    </w:rPr>
  </w:style>
  <w:style w:type="character" w:styleId="Numrodepage">
    <w:name w:val="page number"/>
    <w:basedOn w:val="Policepardfaut"/>
  </w:style>
  <w:style w:type="paragraph" w:styleId="Explorateurdedocuments">
    <w:name w:val="Document Map"/>
    <w:basedOn w:val="Normal"/>
    <w:semiHidden/>
    <w:pPr>
      <w:shd w:val="clear" w:color="auto" w:fill="000080"/>
    </w:pPr>
    <w:rPr>
      <w:rFonts w:ascii="Tahoma" w:hAnsi="Tahoma"/>
    </w:rPr>
  </w:style>
  <w:style w:type="paragraph" w:styleId="Tabledesillustrations">
    <w:name w:val="table of figures"/>
    <w:basedOn w:val="Normal"/>
    <w:next w:val="Normal"/>
    <w:semiHidden/>
    <w:pPr>
      <w:ind w:left="400" w:hanging="400"/>
    </w:pPr>
    <w:rPr>
      <w:sz w:val="20"/>
      <w:lang w:val="de-DE"/>
    </w:rPr>
  </w:style>
  <w:style w:type="paragraph" w:styleId="Titr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En-tte"/>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Lienhypertextesuivivisit">
    <w:name w:val="FollowedHyperlink"/>
    <w:rsid w:val="006827D0"/>
    <w:rPr>
      <w:color w:val="800080"/>
      <w:u w:val="single"/>
    </w:rPr>
  </w:style>
  <w:style w:type="table" w:styleId="Grilledutableau">
    <w:name w:val="Table Grid"/>
    <w:basedOn w:val="TableauNormal"/>
    <w:rsid w:val="004A0432"/>
    <w:pPr>
      <w:spacing w:after="260" w:line="260" w:lineRule="exact"/>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E2376B"/>
    <w:pPr>
      <w:spacing w:after="0"/>
    </w:pPr>
    <w:rPr>
      <w:rFonts w:ascii="Tahoma" w:hAnsi="Tahoma"/>
      <w:sz w:val="16"/>
      <w:szCs w:val="16"/>
    </w:rPr>
  </w:style>
  <w:style w:type="character" w:customStyle="1" w:styleId="TextedebullesCar">
    <w:name w:val="Texte de bulles Car"/>
    <w:link w:val="Textedebulles"/>
    <w:rsid w:val="00E2376B"/>
    <w:rPr>
      <w:rFonts w:ascii="Tahoma" w:hAnsi="Tahoma" w:cs="Tahoma"/>
      <w:sz w:val="16"/>
      <w:szCs w:val="16"/>
      <w:lang w:val="nb-NO" w:eastAsia="de-DE"/>
    </w:rPr>
  </w:style>
  <w:style w:type="character" w:styleId="Marquedecommentaire">
    <w:name w:val="annotation reference"/>
    <w:rsid w:val="00A44AE2"/>
    <w:rPr>
      <w:sz w:val="16"/>
      <w:szCs w:val="16"/>
    </w:rPr>
  </w:style>
  <w:style w:type="paragraph" w:styleId="Commentaire">
    <w:name w:val="annotation text"/>
    <w:basedOn w:val="Normal"/>
    <w:link w:val="CommentaireCar"/>
    <w:rsid w:val="00A44AE2"/>
    <w:rPr>
      <w:sz w:val="20"/>
    </w:rPr>
  </w:style>
  <w:style w:type="character" w:customStyle="1" w:styleId="CommentaireCar">
    <w:name w:val="Commentaire Car"/>
    <w:link w:val="Commentaire"/>
    <w:rsid w:val="00A44AE2"/>
    <w:rPr>
      <w:rFonts w:ascii="Arial" w:hAnsi="Arial"/>
      <w:lang w:val="nb-NO" w:eastAsia="de-DE"/>
    </w:rPr>
  </w:style>
  <w:style w:type="paragraph" w:styleId="Objetducommentaire">
    <w:name w:val="annotation subject"/>
    <w:basedOn w:val="Commentaire"/>
    <w:next w:val="Commentaire"/>
    <w:link w:val="ObjetducommentaireCar"/>
    <w:rsid w:val="00A44AE2"/>
    <w:rPr>
      <w:b/>
      <w:bCs/>
    </w:rPr>
  </w:style>
  <w:style w:type="character" w:customStyle="1" w:styleId="ObjetducommentaireCar">
    <w:name w:val="Objet du commentaire Car"/>
    <w:link w:val="Objetducommentaire"/>
    <w:rsid w:val="00A44AE2"/>
    <w:rPr>
      <w:rFonts w:ascii="Arial" w:hAnsi="Arial"/>
      <w:b/>
      <w:bCs/>
      <w:lang w:val="nb-NO" w:eastAsia="de-DE"/>
    </w:rPr>
  </w:style>
  <w:style w:type="paragraph" w:customStyle="1" w:styleId="Header2">
    <w:name w:val="Header2"/>
    <w:basedOn w:val="En-tte"/>
    <w:rsid w:val="00DC4D99"/>
  </w:style>
  <w:style w:type="paragraph" w:styleId="Paragraphedeliste">
    <w:name w:val="List Paragraph"/>
    <w:basedOn w:val="Normal"/>
    <w:uiPriority w:val="34"/>
    <w:qFormat/>
    <w:rsid w:val="006B5D1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en-GB" w:eastAsia="de-DE"/>
    </w:rPr>
  </w:style>
  <w:style w:type="paragraph" w:styleId="Titre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rPr>
  </w:style>
  <w:style w:type="paragraph" w:styleId="Titre2">
    <w:name w:val="heading 2"/>
    <w:basedOn w:val="Titre1"/>
    <w:next w:val="Normal"/>
    <w:qFormat/>
    <w:rsid w:val="00D004D0"/>
    <w:pPr>
      <w:numPr>
        <w:ilvl w:val="1"/>
      </w:numPr>
      <w:tabs>
        <w:tab w:val="clear" w:pos="576"/>
      </w:tabs>
      <w:spacing w:before="120"/>
      <w:ind w:left="851" w:hanging="851"/>
      <w:outlineLvl w:val="1"/>
    </w:pPr>
    <w:rPr>
      <w:sz w:val="24"/>
    </w:rPr>
  </w:style>
  <w:style w:type="paragraph" w:styleId="Titre3">
    <w:name w:val="heading 3"/>
    <w:basedOn w:val="Titre2"/>
    <w:next w:val="Normal"/>
    <w:qFormat/>
    <w:rsid w:val="00D004D0"/>
    <w:pPr>
      <w:numPr>
        <w:ilvl w:val="2"/>
      </w:numPr>
      <w:tabs>
        <w:tab w:val="clear" w:pos="720"/>
      </w:tabs>
      <w:ind w:left="851" w:hanging="851"/>
      <w:outlineLvl w:val="2"/>
    </w:pPr>
    <w:rPr>
      <w:i/>
      <w:sz w:val="22"/>
    </w:rPr>
  </w:style>
  <w:style w:type="paragraph" w:styleId="Titre4">
    <w:name w:val="heading 4"/>
    <w:basedOn w:val="Normal"/>
    <w:next w:val="Normal"/>
    <w:qFormat/>
    <w:rsid w:val="00D004D0"/>
    <w:pPr>
      <w:numPr>
        <w:ilvl w:val="3"/>
        <w:numId w:val="3"/>
      </w:numPr>
      <w:outlineLvl w:val="3"/>
    </w:pPr>
    <w:rPr>
      <w:u w:val="single"/>
    </w:rPr>
  </w:style>
  <w:style w:type="paragraph" w:styleId="Titre5">
    <w:name w:val="heading 5"/>
    <w:basedOn w:val="Normal"/>
    <w:next w:val="Normal"/>
    <w:qFormat/>
    <w:rsid w:val="00D004D0"/>
    <w:pPr>
      <w:numPr>
        <w:ilvl w:val="4"/>
        <w:numId w:val="3"/>
      </w:numPr>
      <w:outlineLvl w:val="4"/>
    </w:pPr>
    <w:rPr>
      <w:b/>
      <w:sz w:val="20"/>
    </w:rPr>
  </w:style>
  <w:style w:type="paragraph" w:styleId="Titre6">
    <w:name w:val="heading 6"/>
    <w:basedOn w:val="Normal"/>
    <w:next w:val="Normal"/>
    <w:qFormat/>
    <w:rsid w:val="00D004D0"/>
    <w:pPr>
      <w:numPr>
        <w:ilvl w:val="5"/>
        <w:numId w:val="3"/>
      </w:numPr>
      <w:outlineLvl w:val="5"/>
    </w:pPr>
    <w:rPr>
      <w:sz w:val="20"/>
      <w:u w:val="single"/>
    </w:rPr>
  </w:style>
  <w:style w:type="paragraph" w:styleId="Titre7">
    <w:name w:val="heading 7"/>
    <w:basedOn w:val="Normal"/>
    <w:next w:val="Normal"/>
    <w:qFormat/>
    <w:rsid w:val="00D004D0"/>
    <w:pPr>
      <w:numPr>
        <w:ilvl w:val="6"/>
        <w:numId w:val="3"/>
      </w:numPr>
      <w:outlineLvl w:val="6"/>
    </w:pPr>
    <w:rPr>
      <w:i/>
      <w:sz w:val="20"/>
    </w:rPr>
  </w:style>
  <w:style w:type="paragraph" w:styleId="Titre8">
    <w:name w:val="heading 8"/>
    <w:basedOn w:val="Normal"/>
    <w:next w:val="Normal"/>
    <w:qFormat/>
    <w:rsid w:val="00D004D0"/>
    <w:pPr>
      <w:numPr>
        <w:ilvl w:val="7"/>
        <w:numId w:val="3"/>
      </w:numPr>
      <w:outlineLvl w:val="7"/>
    </w:pPr>
    <w:rPr>
      <w:i/>
      <w:sz w:val="20"/>
    </w:rPr>
  </w:style>
  <w:style w:type="paragraph" w:styleId="Titre9">
    <w:name w:val="heading 9"/>
    <w:basedOn w:val="Normal"/>
    <w:next w:val="Normal"/>
    <w:qFormat/>
    <w:rsid w:val="00D004D0"/>
    <w:pPr>
      <w:numPr>
        <w:ilvl w:val="8"/>
        <w:numId w:val="3"/>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8621D"/>
    <w:pPr>
      <w:tabs>
        <w:tab w:val="center" w:pos="4536"/>
        <w:tab w:val="right" w:pos="9072"/>
      </w:tabs>
      <w:spacing w:after="0"/>
      <w:jc w:val="left"/>
    </w:pPr>
    <w:rPr>
      <w:b/>
    </w:rPr>
  </w:style>
  <w:style w:type="paragraph" w:styleId="Liste">
    <w:name w:val="List"/>
    <w:basedOn w:val="Normal"/>
    <w:rsid w:val="00135FE7"/>
    <w:pPr>
      <w:tabs>
        <w:tab w:val="left" w:pos="1418"/>
      </w:tabs>
      <w:ind w:left="1418" w:hanging="567"/>
    </w:pPr>
  </w:style>
  <w:style w:type="paragraph" w:customStyle="1" w:styleId="Kopfzeile1">
    <w:name w:val="Kopfzeile1"/>
    <w:basedOn w:val="En-tte"/>
    <w:rsid w:val="00215746"/>
  </w:style>
  <w:style w:type="character" w:styleId="Appelnotedebasdep">
    <w:name w:val="footnote reference"/>
    <w:aliases w:val="Appel note de bas de p,Footnote Reference/,Footnote,Footnote symbol"/>
    <w:semiHidden/>
    <w:rPr>
      <w:position w:val="6"/>
      <w:sz w:val="16"/>
    </w:rPr>
  </w:style>
  <w:style w:type="paragraph" w:styleId="Notedebasdepage">
    <w:name w:val="footnote text"/>
    <w:basedOn w:val="Normal"/>
    <w:semiHidden/>
    <w:rPr>
      <w:sz w:val="20"/>
    </w:rPr>
  </w:style>
  <w:style w:type="character" w:styleId="Numrodepage">
    <w:name w:val="page number"/>
    <w:basedOn w:val="Policepardfaut"/>
  </w:style>
  <w:style w:type="paragraph" w:styleId="Explorateurdedocuments">
    <w:name w:val="Document Map"/>
    <w:basedOn w:val="Normal"/>
    <w:semiHidden/>
    <w:pPr>
      <w:shd w:val="clear" w:color="auto" w:fill="000080"/>
    </w:pPr>
    <w:rPr>
      <w:rFonts w:ascii="Tahoma" w:hAnsi="Tahoma"/>
    </w:rPr>
  </w:style>
  <w:style w:type="paragraph" w:styleId="Tabledesillustrations">
    <w:name w:val="table of figures"/>
    <w:basedOn w:val="Normal"/>
    <w:next w:val="Normal"/>
    <w:semiHidden/>
    <w:pPr>
      <w:ind w:left="400" w:hanging="400"/>
    </w:pPr>
    <w:rPr>
      <w:sz w:val="20"/>
      <w:lang w:val="de-DE"/>
    </w:rPr>
  </w:style>
  <w:style w:type="paragraph" w:styleId="Titr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En-tte"/>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Lienhypertextesuivivisit">
    <w:name w:val="FollowedHyperlink"/>
    <w:rsid w:val="006827D0"/>
    <w:rPr>
      <w:color w:val="800080"/>
      <w:u w:val="single"/>
    </w:rPr>
  </w:style>
  <w:style w:type="table" w:styleId="Grilledutableau">
    <w:name w:val="Table Grid"/>
    <w:basedOn w:val="TableauNormal"/>
    <w:rsid w:val="004A0432"/>
    <w:pPr>
      <w:spacing w:after="260" w:line="260" w:lineRule="exact"/>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E2376B"/>
    <w:pPr>
      <w:spacing w:after="0"/>
    </w:pPr>
    <w:rPr>
      <w:rFonts w:ascii="Tahoma" w:hAnsi="Tahoma"/>
      <w:sz w:val="16"/>
      <w:szCs w:val="16"/>
    </w:rPr>
  </w:style>
  <w:style w:type="character" w:customStyle="1" w:styleId="TextedebullesCar">
    <w:name w:val="Texte de bulles Car"/>
    <w:link w:val="Textedebulles"/>
    <w:rsid w:val="00E2376B"/>
    <w:rPr>
      <w:rFonts w:ascii="Tahoma" w:hAnsi="Tahoma" w:cs="Tahoma"/>
      <w:sz w:val="16"/>
      <w:szCs w:val="16"/>
      <w:lang w:val="nb-NO" w:eastAsia="de-DE"/>
    </w:rPr>
  </w:style>
  <w:style w:type="character" w:styleId="Marquedecommentaire">
    <w:name w:val="annotation reference"/>
    <w:rsid w:val="00A44AE2"/>
    <w:rPr>
      <w:sz w:val="16"/>
      <w:szCs w:val="16"/>
    </w:rPr>
  </w:style>
  <w:style w:type="paragraph" w:styleId="Commentaire">
    <w:name w:val="annotation text"/>
    <w:basedOn w:val="Normal"/>
    <w:link w:val="CommentaireCar"/>
    <w:rsid w:val="00A44AE2"/>
    <w:rPr>
      <w:sz w:val="20"/>
    </w:rPr>
  </w:style>
  <w:style w:type="character" w:customStyle="1" w:styleId="CommentaireCar">
    <w:name w:val="Commentaire Car"/>
    <w:link w:val="Commentaire"/>
    <w:rsid w:val="00A44AE2"/>
    <w:rPr>
      <w:rFonts w:ascii="Arial" w:hAnsi="Arial"/>
      <w:lang w:val="nb-NO" w:eastAsia="de-DE"/>
    </w:rPr>
  </w:style>
  <w:style w:type="paragraph" w:styleId="Objetducommentaire">
    <w:name w:val="annotation subject"/>
    <w:basedOn w:val="Commentaire"/>
    <w:next w:val="Commentaire"/>
    <w:link w:val="ObjetducommentaireCar"/>
    <w:rsid w:val="00A44AE2"/>
    <w:rPr>
      <w:b/>
      <w:bCs/>
    </w:rPr>
  </w:style>
  <w:style w:type="character" w:customStyle="1" w:styleId="ObjetducommentaireCar">
    <w:name w:val="Objet du commentaire Car"/>
    <w:link w:val="Objetducommentaire"/>
    <w:rsid w:val="00A44AE2"/>
    <w:rPr>
      <w:rFonts w:ascii="Arial" w:hAnsi="Arial"/>
      <w:b/>
      <w:bCs/>
      <w:lang w:val="nb-NO" w:eastAsia="de-DE"/>
    </w:rPr>
  </w:style>
  <w:style w:type="paragraph" w:customStyle="1" w:styleId="Header2">
    <w:name w:val="Header2"/>
    <w:basedOn w:val="En-tte"/>
    <w:rsid w:val="00DC4D99"/>
  </w:style>
  <w:style w:type="paragraph" w:styleId="Paragraphedeliste">
    <w:name w:val="List Paragraph"/>
    <w:basedOn w:val="Normal"/>
    <w:uiPriority w:val="34"/>
    <w:qFormat/>
    <w:rsid w:val="006B5D1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69936">
      <w:bodyDiv w:val="1"/>
      <w:marLeft w:val="0"/>
      <w:marRight w:val="0"/>
      <w:marTop w:val="0"/>
      <w:marBottom w:val="0"/>
      <w:divBdr>
        <w:top w:val="none" w:sz="0" w:space="0" w:color="auto"/>
        <w:left w:val="none" w:sz="0" w:space="0" w:color="auto"/>
        <w:bottom w:val="none" w:sz="0" w:space="0" w:color="auto"/>
        <w:right w:val="none" w:sz="0" w:space="0" w:color="auto"/>
      </w:divBdr>
      <w:divsChild>
        <w:div w:id="1621498231">
          <w:marLeft w:val="0"/>
          <w:marRight w:val="0"/>
          <w:marTop w:val="0"/>
          <w:marBottom w:val="0"/>
          <w:divBdr>
            <w:top w:val="none" w:sz="0" w:space="0" w:color="auto"/>
            <w:left w:val="none" w:sz="0" w:space="0" w:color="auto"/>
            <w:bottom w:val="none" w:sz="0" w:space="0" w:color="auto"/>
            <w:right w:val="none" w:sz="0" w:space="0" w:color="auto"/>
          </w:divBdr>
          <w:divsChild>
            <w:div w:id="2101444583">
              <w:marLeft w:val="0"/>
              <w:marRight w:val="0"/>
              <w:marTop w:val="0"/>
              <w:marBottom w:val="0"/>
              <w:divBdr>
                <w:top w:val="none" w:sz="0" w:space="0" w:color="auto"/>
                <w:left w:val="none" w:sz="0" w:space="0" w:color="auto"/>
                <w:bottom w:val="none" w:sz="0" w:space="0" w:color="auto"/>
                <w:right w:val="none" w:sz="0" w:space="0" w:color="auto"/>
              </w:divBdr>
              <w:divsChild>
                <w:div w:id="1675570115">
                  <w:marLeft w:val="120"/>
                  <w:marRight w:val="120"/>
                  <w:marTop w:val="0"/>
                  <w:marBottom w:val="0"/>
                  <w:divBdr>
                    <w:top w:val="none" w:sz="0" w:space="0" w:color="auto"/>
                    <w:left w:val="none" w:sz="0" w:space="0" w:color="auto"/>
                    <w:bottom w:val="none" w:sz="0" w:space="0" w:color="auto"/>
                    <w:right w:val="none" w:sz="0" w:space="0" w:color="auto"/>
                  </w:divBdr>
                  <w:divsChild>
                    <w:div w:id="374963275">
                      <w:marLeft w:val="0"/>
                      <w:marRight w:val="0"/>
                      <w:marTop w:val="0"/>
                      <w:marBottom w:val="0"/>
                      <w:divBdr>
                        <w:top w:val="none" w:sz="0" w:space="0" w:color="auto"/>
                        <w:left w:val="none" w:sz="0" w:space="0" w:color="auto"/>
                        <w:bottom w:val="none" w:sz="0" w:space="0" w:color="auto"/>
                        <w:right w:val="none" w:sz="0" w:space="0" w:color="auto"/>
                      </w:divBdr>
                      <w:divsChild>
                        <w:div w:id="3228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4637">
      <w:bodyDiv w:val="1"/>
      <w:marLeft w:val="0"/>
      <w:marRight w:val="0"/>
      <w:marTop w:val="0"/>
      <w:marBottom w:val="0"/>
      <w:divBdr>
        <w:top w:val="none" w:sz="0" w:space="0" w:color="auto"/>
        <w:left w:val="none" w:sz="0" w:space="0" w:color="auto"/>
        <w:bottom w:val="none" w:sz="0" w:space="0" w:color="auto"/>
        <w:right w:val="none" w:sz="0" w:space="0" w:color="auto"/>
      </w:divBdr>
      <w:divsChild>
        <w:div w:id="753405426">
          <w:marLeft w:val="0"/>
          <w:marRight w:val="0"/>
          <w:marTop w:val="0"/>
          <w:marBottom w:val="0"/>
          <w:divBdr>
            <w:top w:val="none" w:sz="0" w:space="0" w:color="auto"/>
            <w:left w:val="none" w:sz="0" w:space="0" w:color="auto"/>
            <w:bottom w:val="none" w:sz="0" w:space="0" w:color="auto"/>
            <w:right w:val="none" w:sz="0" w:space="0" w:color="auto"/>
          </w:divBdr>
          <w:divsChild>
            <w:div w:id="1131827687">
              <w:marLeft w:val="0"/>
              <w:marRight w:val="0"/>
              <w:marTop w:val="0"/>
              <w:marBottom w:val="0"/>
              <w:divBdr>
                <w:top w:val="none" w:sz="0" w:space="0" w:color="auto"/>
                <w:left w:val="none" w:sz="0" w:space="0" w:color="auto"/>
                <w:bottom w:val="none" w:sz="0" w:space="0" w:color="auto"/>
                <w:right w:val="none" w:sz="0" w:space="0" w:color="auto"/>
              </w:divBdr>
              <w:divsChild>
                <w:div w:id="929779933">
                  <w:marLeft w:val="120"/>
                  <w:marRight w:val="120"/>
                  <w:marTop w:val="0"/>
                  <w:marBottom w:val="0"/>
                  <w:divBdr>
                    <w:top w:val="none" w:sz="0" w:space="0" w:color="auto"/>
                    <w:left w:val="none" w:sz="0" w:space="0" w:color="auto"/>
                    <w:bottom w:val="none" w:sz="0" w:space="0" w:color="auto"/>
                    <w:right w:val="none" w:sz="0" w:space="0" w:color="auto"/>
                  </w:divBdr>
                  <w:divsChild>
                    <w:div w:id="1121649989">
                      <w:marLeft w:val="0"/>
                      <w:marRight w:val="0"/>
                      <w:marTop w:val="0"/>
                      <w:marBottom w:val="0"/>
                      <w:divBdr>
                        <w:top w:val="none" w:sz="0" w:space="0" w:color="auto"/>
                        <w:left w:val="none" w:sz="0" w:space="0" w:color="auto"/>
                        <w:bottom w:val="none" w:sz="0" w:space="0" w:color="auto"/>
                        <w:right w:val="none" w:sz="0" w:space="0" w:color="auto"/>
                      </w:divBdr>
                      <w:divsChild>
                        <w:div w:id="1653756892">
                          <w:marLeft w:val="0"/>
                          <w:marRight w:val="0"/>
                          <w:marTop w:val="0"/>
                          <w:marBottom w:val="0"/>
                          <w:divBdr>
                            <w:top w:val="none" w:sz="0" w:space="0" w:color="auto"/>
                            <w:left w:val="none" w:sz="0" w:space="0" w:color="auto"/>
                            <w:bottom w:val="none" w:sz="0" w:space="0" w:color="auto"/>
                            <w:right w:val="none" w:sz="0" w:space="0" w:color="auto"/>
                          </w:divBdr>
                          <w:divsChild>
                            <w:div w:id="1346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43660">
      <w:bodyDiv w:val="1"/>
      <w:marLeft w:val="0"/>
      <w:marRight w:val="0"/>
      <w:marTop w:val="0"/>
      <w:marBottom w:val="0"/>
      <w:divBdr>
        <w:top w:val="none" w:sz="0" w:space="0" w:color="auto"/>
        <w:left w:val="none" w:sz="0" w:space="0" w:color="auto"/>
        <w:bottom w:val="none" w:sz="0" w:space="0" w:color="auto"/>
        <w:right w:val="none" w:sz="0" w:space="0" w:color="auto"/>
      </w:divBdr>
    </w:div>
    <w:div w:id="594947381">
      <w:bodyDiv w:val="1"/>
      <w:marLeft w:val="0"/>
      <w:marRight w:val="0"/>
      <w:marTop w:val="0"/>
      <w:marBottom w:val="0"/>
      <w:divBdr>
        <w:top w:val="none" w:sz="0" w:space="0" w:color="auto"/>
        <w:left w:val="none" w:sz="0" w:space="0" w:color="auto"/>
        <w:bottom w:val="none" w:sz="0" w:space="0" w:color="auto"/>
        <w:right w:val="none" w:sz="0" w:space="0" w:color="auto"/>
      </w:divBdr>
      <w:divsChild>
        <w:div w:id="572930243">
          <w:marLeft w:val="0"/>
          <w:marRight w:val="0"/>
          <w:marTop w:val="0"/>
          <w:marBottom w:val="0"/>
          <w:divBdr>
            <w:top w:val="none" w:sz="0" w:space="0" w:color="auto"/>
            <w:left w:val="none" w:sz="0" w:space="0" w:color="auto"/>
            <w:bottom w:val="none" w:sz="0" w:space="0" w:color="auto"/>
            <w:right w:val="none" w:sz="0" w:space="0" w:color="auto"/>
          </w:divBdr>
          <w:divsChild>
            <w:div w:id="1984314586">
              <w:marLeft w:val="0"/>
              <w:marRight w:val="0"/>
              <w:marTop w:val="0"/>
              <w:marBottom w:val="0"/>
              <w:divBdr>
                <w:top w:val="none" w:sz="0" w:space="0" w:color="auto"/>
                <w:left w:val="none" w:sz="0" w:space="0" w:color="auto"/>
                <w:bottom w:val="none" w:sz="0" w:space="0" w:color="auto"/>
                <w:right w:val="none" w:sz="0" w:space="0" w:color="auto"/>
              </w:divBdr>
              <w:divsChild>
                <w:div w:id="547575253">
                  <w:marLeft w:val="0"/>
                  <w:marRight w:val="0"/>
                  <w:marTop w:val="0"/>
                  <w:marBottom w:val="0"/>
                  <w:divBdr>
                    <w:top w:val="none" w:sz="0" w:space="0" w:color="auto"/>
                    <w:left w:val="none" w:sz="0" w:space="0" w:color="auto"/>
                    <w:bottom w:val="none" w:sz="0" w:space="0" w:color="auto"/>
                    <w:right w:val="none" w:sz="0" w:space="0" w:color="auto"/>
                  </w:divBdr>
                  <w:divsChild>
                    <w:div w:id="420951194">
                      <w:marLeft w:val="0"/>
                      <w:marRight w:val="0"/>
                      <w:marTop w:val="0"/>
                      <w:marBottom w:val="0"/>
                      <w:divBdr>
                        <w:top w:val="none" w:sz="0" w:space="0" w:color="auto"/>
                        <w:left w:val="none" w:sz="0" w:space="0" w:color="auto"/>
                        <w:bottom w:val="none" w:sz="0" w:space="0" w:color="auto"/>
                        <w:right w:val="none" w:sz="0" w:space="0" w:color="auto"/>
                      </w:divBdr>
                      <w:divsChild>
                        <w:div w:id="1439255568">
                          <w:marLeft w:val="0"/>
                          <w:marRight w:val="0"/>
                          <w:marTop w:val="0"/>
                          <w:marBottom w:val="0"/>
                          <w:divBdr>
                            <w:top w:val="none" w:sz="0" w:space="0" w:color="auto"/>
                            <w:left w:val="none" w:sz="0" w:space="0" w:color="auto"/>
                            <w:bottom w:val="none" w:sz="0" w:space="0" w:color="auto"/>
                            <w:right w:val="none" w:sz="0" w:space="0" w:color="auto"/>
                          </w:divBdr>
                          <w:divsChild>
                            <w:div w:id="2061175160">
                              <w:marLeft w:val="0"/>
                              <w:marRight w:val="0"/>
                              <w:marTop w:val="0"/>
                              <w:marBottom w:val="0"/>
                              <w:divBdr>
                                <w:top w:val="none" w:sz="0" w:space="0" w:color="auto"/>
                                <w:left w:val="none" w:sz="0" w:space="0" w:color="auto"/>
                                <w:bottom w:val="none" w:sz="0" w:space="0" w:color="auto"/>
                                <w:right w:val="none" w:sz="0" w:space="0" w:color="auto"/>
                              </w:divBdr>
                              <w:divsChild>
                                <w:div w:id="1121924433">
                                  <w:marLeft w:val="0"/>
                                  <w:marRight w:val="0"/>
                                  <w:marTop w:val="0"/>
                                  <w:marBottom w:val="0"/>
                                  <w:divBdr>
                                    <w:top w:val="none" w:sz="0" w:space="0" w:color="auto"/>
                                    <w:left w:val="none" w:sz="0" w:space="0" w:color="auto"/>
                                    <w:bottom w:val="none" w:sz="0" w:space="0" w:color="auto"/>
                                    <w:right w:val="none" w:sz="0" w:space="0" w:color="auto"/>
                                  </w:divBdr>
                                  <w:divsChild>
                                    <w:div w:id="2051687697">
                                      <w:marLeft w:val="0"/>
                                      <w:marRight w:val="0"/>
                                      <w:marTop w:val="0"/>
                                      <w:marBottom w:val="0"/>
                                      <w:divBdr>
                                        <w:top w:val="none" w:sz="0" w:space="0" w:color="auto"/>
                                        <w:left w:val="none" w:sz="0" w:space="0" w:color="auto"/>
                                        <w:bottom w:val="none" w:sz="0" w:space="0" w:color="auto"/>
                                        <w:right w:val="none" w:sz="0" w:space="0" w:color="auto"/>
                                      </w:divBdr>
                                      <w:divsChild>
                                        <w:div w:id="547569802">
                                          <w:marLeft w:val="0"/>
                                          <w:marRight w:val="0"/>
                                          <w:marTop w:val="0"/>
                                          <w:marBottom w:val="0"/>
                                          <w:divBdr>
                                            <w:top w:val="none" w:sz="0" w:space="0" w:color="auto"/>
                                            <w:left w:val="none" w:sz="0" w:space="0" w:color="auto"/>
                                            <w:bottom w:val="none" w:sz="0" w:space="0" w:color="auto"/>
                                            <w:right w:val="none" w:sz="0" w:space="0" w:color="auto"/>
                                          </w:divBdr>
                                          <w:divsChild>
                                            <w:div w:id="1925719914">
                                              <w:marLeft w:val="0"/>
                                              <w:marRight w:val="0"/>
                                              <w:marTop w:val="0"/>
                                              <w:marBottom w:val="0"/>
                                              <w:divBdr>
                                                <w:top w:val="none" w:sz="0" w:space="0" w:color="auto"/>
                                                <w:left w:val="none" w:sz="0" w:space="0" w:color="auto"/>
                                                <w:bottom w:val="none" w:sz="0" w:space="0" w:color="auto"/>
                                                <w:right w:val="none" w:sz="0" w:space="0" w:color="auto"/>
                                              </w:divBdr>
                                            </w:div>
                                            <w:div w:id="370611010">
                                              <w:marLeft w:val="0"/>
                                              <w:marRight w:val="0"/>
                                              <w:marTop w:val="0"/>
                                              <w:marBottom w:val="0"/>
                                              <w:divBdr>
                                                <w:top w:val="none" w:sz="0" w:space="0" w:color="auto"/>
                                                <w:left w:val="none" w:sz="0" w:space="0" w:color="auto"/>
                                                <w:bottom w:val="none" w:sz="0" w:space="0" w:color="auto"/>
                                                <w:right w:val="none" w:sz="0" w:space="0" w:color="auto"/>
                                              </w:divBdr>
                                              <w:divsChild>
                                                <w:div w:id="550002502">
                                                  <w:marLeft w:val="0"/>
                                                  <w:marRight w:val="0"/>
                                                  <w:marTop w:val="0"/>
                                                  <w:marBottom w:val="0"/>
                                                  <w:divBdr>
                                                    <w:top w:val="none" w:sz="0" w:space="0" w:color="auto"/>
                                                    <w:left w:val="none" w:sz="0" w:space="0" w:color="auto"/>
                                                    <w:bottom w:val="none" w:sz="0" w:space="0" w:color="auto"/>
                                                    <w:right w:val="none" w:sz="0" w:space="0" w:color="auto"/>
                                                  </w:divBdr>
                                                </w:div>
                                              </w:divsChild>
                                            </w:div>
                                            <w:div w:id="334260109">
                                              <w:marLeft w:val="0"/>
                                              <w:marRight w:val="0"/>
                                              <w:marTop w:val="0"/>
                                              <w:marBottom w:val="0"/>
                                              <w:divBdr>
                                                <w:top w:val="none" w:sz="0" w:space="0" w:color="auto"/>
                                                <w:left w:val="none" w:sz="0" w:space="0" w:color="auto"/>
                                                <w:bottom w:val="none" w:sz="0" w:space="0" w:color="auto"/>
                                                <w:right w:val="none" w:sz="0" w:space="0" w:color="auto"/>
                                              </w:divBdr>
                                              <w:divsChild>
                                                <w:div w:id="569313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135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37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354656">
      <w:bodyDiv w:val="1"/>
      <w:marLeft w:val="0"/>
      <w:marRight w:val="0"/>
      <w:marTop w:val="0"/>
      <w:marBottom w:val="0"/>
      <w:divBdr>
        <w:top w:val="none" w:sz="0" w:space="0" w:color="auto"/>
        <w:left w:val="none" w:sz="0" w:space="0" w:color="auto"/>
        <w:bottom w:val="none" w:sz="0" w:space="0" w:color="auto"/>
        <w:right w:val="none" w:sz="0" w:space="0" w:color="auto"/>
      </w:divBdr>
    </w:div>
    <w:div w:id="1086222143">
      <w:bodyDiv w:val="1"/>
      <w:marLeft w:val="0"/>
      <w:marRight w:val="0"/>
      <w:marTop w:val="0"/>
      <w:marBottom w:val="0"/>
      <w:divBdr>
        <w:top w:val="none" w:sz="0" w:space="0" w:color="auto"/>
        <w:left w:val="none" w:sz="0" w:space="0" w:color="auto"/>
        <w:bottom w:val="none" w:sz="0" w:space="0" w:color="auto"/>
        <w:right w:val="none" w:sz="0" w:space="0" w:color="auto"/>
      </w:divBdr>
      <w:divsChild>
        <w:div w:id="382408320">
          <w:marLeft w:val="0"/>
          <w:marRight w:val="0"/>
          <w:marTop w:val="0"/>
          <w:marBottom w:val="0"/>
          <w:divBdr>
            <w:top w:val="none" w:sz="0" w:space="0" w:color="auto"/>
            <w:left w:val="none" w:sz="0" w:space="0" w:color="auto"/>
            <w:bottom w:val="none" w:sz="0" w:space="0" w:color="auto"/>
            <w:right w:val="none" w:sz="0" w:space="0" w:color="auto"/>
          </w:divBdr>
          <w:divsChild>
            <w:div w:id="589891421">
              <w:marLeft w:val="0"/>
              <w:marRight w:val="0"/>
              <w:marTop w:val="0"/>
              <w:marBottom w:val="0"/>
              <w:divBdr>
                <w:top w:val="none" w:sz="0" w:space="0" w:color="auto"/>
                <w:left w:val="none" w:sz="0" w:space="0" w:color="auto"/>
                <w:bottom w:val="none" w:sz="0" w:space="0" w:color="auto"/>
                <w:right w:val="none" w:sz="0" w:space="0" w:color="auto"/>
              </w:divBdr>
              <w:divsChild>
                <w:div w:id="1048795313">
                  <w:marLeft w:val="0"/>
                  <w:marRight w:val="0"/>
                  <w:marTop w:val="0"/>
                  <w:marBottom w:val="0"/>
                  <w:divBdr>
                    <w:top w:val="none" w:sz="0" w:space="0" w:color="auto"/>
                    <w:left w:val="none" w:sz="0" w:space="0" w:color="auto"/>
                    <w:bottom w:val="none" w:sz="0" w:space="0" w:color="auto"/>
                    <w:right w:val="none" w:sz="0" w:space="0" w:color="auto"/>
                  </w:divBdr>
                  <w:divsChild>
                    <w:div w:id="1593664317">
                      <w:marLeft w:val="0"/>
                      <w:marRight w:val="0"/>
                      <w:marTop w:val="0"/>
                      <w:marBottom w:val="0"/>
                      <w:divBdr>
                        <w:top w:val="none" w:sz="0" w:space="0" w:color="auto"/>
                        <w:left w:val="none" w:sz="0" w:space="0" w:color="auto"/>
                        <w:bottom w:val="none" w:sz="0" w:space="0" w:color="auto"/>
                        <w:right w:val="none" w:sz="0" w:space="0" w:color="auto"/>
                      </w:divBdr>
                      <w:divsChild>
                        <w:div w:id="1157573671">
                          <w:marLeft w:val="0"/>
                          <w:marRight w:val="0"/>
                          <w:marTop w:val="0"/>
                          <w:marBottom w:val="0"/>
                          <w:divBdr>
                            <w:top w:val="none" w:sz="0" w:space="0" w:color="auto"/>
                            <w:left w:val="none" w:sz="0" w:space="0" w:color="auto"/>
                            <w:bottom w:val="none" w:sz="0" w:space="0" w:color="auto"/>
                            <w:right w:val="none" w:sz="0" w:space="0" w:color="auto"/>
                          </w:divBdr>
                          <w:divsChild>
                            <w:div w:id="871572421">
                              <w:marLeft w:val="0"/>
                              <w:marRight w:val="0"/>
                              <w:marTop w:val="0"/>
                              <w:marBottom w:val="0"/>
                              <w:divBdr>
                                <w:top w:val="none" w:sz="0" w:space="0" w:color="auto"/>
                                <w:left w:val="none" w:sz="0" w:space="0" w:color="auto"/>
                                <w:bottom w:val="none" w:sz="0" w:space="0" w:color="auto"/>
                                <w:right w:val="none" w:sz="0" w:space="0" w:color="auto"/>
                              </w:divBdr>
                              <w:divsChild>
                                <w:div w:id="463500758">
                                  <w:marLeft w:val="0"/>
                                  <w:marRight w:val="0"/>
                                  <w:marTop w:val="0"/>
                                  <w:marBottom w:val="0"/>
                                  <w:divBdr>
                                    <w:top w:val="none" w:sz="0" w:space="0" w:color="auto"/>
                                    <w:left w:val="none" w:sz="0" w:space="0" w:color="auto"/>
                                    <w:bottom w:val="none" w:sz="0" w:space="0" w:color="auto"/>
                                    <w:right w:val="none" w:sz="0" w:space="0" w:color="auto"/>
                                  </w:divBdr>
                                  <w:divsChild>
                                    <w:div w:id="1372607518">
                                      <w:marLeft w:val="0"/>
                                      <w:marRight w:val="0"/>
                                      <w:marTop w:val="0"/>
                                      <w:marBottom w:val="0"/>
                                      <w:divBdr>
                                        <w:top w:val="none" w:sz="0" w:space="0" w:color="auto"/>
                                        <w:left w:val="none" w:sz="0" w:space="0" w:color="auto"/>
                                        <w:bottom w:val="none" w:sz="0" w:space="0" w:color="auto"/>
                                        <w:right w:val="none" w:sz="0" w:space="0" w:color="auto"/>
                                      </w:divBdr>
                                      <w:divsChild>
                                        <w:div w:id="305549907">
                                          <w:marLeft w:val="0"/>
                                          <w:marRight w:val="0"/>
                                          <w:marTop w:val="0"/>
                                          <w:marBottom w:val="0"/>
                                          <w:divBdr>
                                            <w:top w:val="none" w:sz="0" w:space="0" w:color="auto"/>
                                            <w:left w:val="none" w:sz="0" w:space="0" w:color="auto"/>
                                            <w:bottom w:val="none" w:sz="0" w:space="0" w:color="auto"/>
                                            <w:right w:val="none" w:sz="0" w:space="0" w:color="auto"/>
                                          </w:divBdr>
                                          <w:divsChild>
                                            <w:div w:id="14941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8718735">
      <w:bodyDiv w:val="1"/>
      <w:marLeft w:val="0"/>
      <w:marRight w:val="0"/>
      <w:marTop w:val="0"/>
      <w:marBottom w:val="0"/>
      <w:divBdr>
        <w:top w:val="none" w:sz="0" w:space="0" w:color="auto"/>
        <w:left w:val="none" w:sz="0" w:space="0" w:color="auto"/>
        <w:bottom w:val="none" w:sz="0" w:space="0" w:color="auto"/>
        <w:right w:val="none" w:sz="0" w:space="0" w:color="auto"/>
      </w:divBdr>
    </w:div>
    <w:div w:id="1336765517">
      <w:bodyDiv w:val="1"/>
      <w:marLeft w:val="0"/>
      <w:marRight w:val="0"/>
      <w:marTop w:val="0"/>
      <w:marBottom w:val="0"/>
      <w:divBdr>
        <w:top w:val="none" w:sz="0" w:space="0" w:color="auto"/>
        <w:left w:val="none" w:sz="0" w:space="0" w:color="auto"/>
        <w:bottom w:val="none" w:sz="0" w:space="0" w:color="auto"/>
        <w:right w:val="none" w:sz="0" w:space="0" w:color="auto"/>
      </w:divBdr>
    </w:div>
    <w:div w:id="1351957756">
      <w:bodyDiv w:val="1"/>
      <w:marLeft w:val="0"/>
      <w:marRight w:val="0"/>
      <w:marTop w:val="0"/>
      <w:marBottom w:val="0"/>
      <w:divBdr>
        <w:top w:val="none" w:sz="0" w:space="0" w:color="auto"/>
        <w:left w:val="none" w:sz="0" w:space="0" w:color="auto"/>
        <w:bottom w:val="none" w:sz="0" w:space="0" w:color="auto"/>
        <w:right w:val="none" w:sz="0" w:space="0" w:color="auto"/>
      </w:divBdr>
    </w:div>
    <w:div w:id="1428624120">
      <w:bodyDiv w:val="1"/>
      <w:marLeft w:val="0"/>
      <w:marRight w:val="0"/>
      <w:marTop w:val="0"/>
      <w:marBottom w:val="0"/>
      <w:divBdr>
        <w:top w:val="none" w:sz="0" w:space="0" w:color="auto"/>
        <w:left w:val="none" w:sz="0" w:space="0" w:color="auto"/>
        <w:bottom w:val="none" w:sz="0" w:space="0" w:color="auto"/>
        <w:right w:val="none" w:sz="0" w:space="0" w:color="auto"/>
      </w:divBdr>
    </w:div>
    <w:div w:id="1775706985">
      <w:bodyDiv w:val="1"/>
      <w:marLeft w:val="0"/>
      <w:marRight w:val="0"/>
      <w:marTop w:val="0"/>
      <w:marBottom w:val="0"/>
      <w:divBdr>
        <w:top w:val="none" w:sz="0" w:space="0" w:color="auto"/>
        <w:left w:val="none" w:sz="0" w:space="0" w:color="auto"/>
        <w:bottom w:val="none" w:sz="0" w:space="0" w:color="auto"/>
        <w:right w:val="none" w:sz="0" w:space="0" w:color="auto"/>
      </w:divBdr>
      <w:divsChild>
        <w:div w:id="1057434503">
          <w:marLeft w:val="0"/>
          <w:marRight w:val="0"/>
          <w:marTop w:val="0"/>
          <w:marBottom w:val="0"/>
          <w:divBdr>
            <w:top w:val="none" w:sz="0" w:space="0" w:color="auto"/>
            <w:left w:val="none" w:sz="0" w:space="0" w:color="auto"/>
            <w:bottom w:val="none" w:sz="0" w:space="0" w:color="auto"/>
            <w:right w:val="none" w:sz="0" w:space="0" w:color="auto"/>
          </w:divBdr>
          <w:divsChild>
            <w:div w:id="1044257348">
              <w:marLeft w:val="0"/>
              <w:marRight w:val="0"/>
              <w:marTop w:val="0"/>
              <w:marBottom w:val="0"/>
              <w:divBdr>
                <w:top w:val="none" w:sz="0" w:space="0" w:color="auto"/>
                <w:left w:val="none" w:sz="0" w:space="0" w:color="auto"/>
                <w:bottom w:val="none" w:sz="0" w:space="0" w:color="auto"/>
                <w:right w:val="none" w:sz="0" w:space="0" w:color="auto"/>
              </w:divBdr>
              <w:divsChild>
                <w:div w:id="1024403210">
                  <w:marLeft w:val="0"/>
                  <w:marRight w:val="0"/>
                  <w:marTop w:val="0"/>
                  <w:marBottom w:val="0"/>
                  <w:divBdr>
                    <w:top w:val="none" w:sz="0" w:space="0" w:color="auto"/>
                    <w:left w:val="none" w:sz="0" w:space="0" w:color="auto"/>
                    <w:bottom w:val="none" w:sz="0" w:space="0" w:color="auto"/>
                    <w:right w:val="none" w:sz="0" w:space="0" w:color="auto"/>
                  </w:divBdr>
                  <w:divsChild>
                    <w:div w:id="231621928">
                      <w:marLeft w:val="0"/>
                      <w:marRight w:val="0"/>
                      <w:marTop w:val="0"/>
                      <w:marBottom w:val="0"/>
                      <w:divBdr>
                        <w:top w:val="none" w:sz="0" w:space="0" w:color="auto"/>
                        <w:left w:val="none" w:sz="0" w:space="0" w:color="auto"/>
                        <w:bottom w:val="none" w:sz="0" w:space="0" w:color="auto"/>
                        <w:right w:val="none" w:sz="0" w:space="0" w:color="auto"/>
                      </w:divBdr>
                      <w:divsChild>
                        <w:div w:id="6687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67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apt.int/sites/default/files/Upload-files/AWG/APT-AWG-REP-44-APT_Report_on_Spec_Coexistence_between_services_at_the_700_MHz_and_800_MHz_boundary.docx" TargetMode="External"/><Relationship Id="rId26" Type="http://schemas.openxmlformats.org/officeDocument/2006/relationships/hyperlink" Target="http://www.apt.int/sites/default/files/Upload-files/AWG/AWG-16-Circulars/AWG-16-OUT-15-APT_SURVEY_QUESTIONNAIREON_FIXED_WIRELESS_SYSTEMS.docx"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www.apt.int/sites/default/files/Upload-files/AWG/APT-AWG-REP-47-APT_Report_on_Future_IMT_Technologies.docx" TargetMode="External"/><Relationship Id="rId34" Type="http://schemas.openxmlformats.org/officeDocument/2006/relationships/hyperlink" Target="http://www.communications.gov.au/__data/assets/pdf_file/0017/230165/Spectrum_Review_issues_paper.pdf" TargetMode="External"/><Relationship Id="rId42" Type="http://schemas.openxmlformats.org/officeDocument/2006/relationships/hyperlink" Target="http://www.itu.int/en/ITU-R/study-groups/workshops/RWP1B-SRD-UWB-14/Presentations/International,%20regional%20and%20national%20regulation%20of%20SRDs.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delimiter.com.au/2014/05/12/telstra-testing-flight-4g-broadband/" TargetMode="External"/><Relationship Id="rId17" Type="http://schemas.openxmlformats.org/officeDocument/2006/relationships/hyperlink" Target="http://www.apt.int/sites/default/files/Upload-files/AWG/APT-AWG-REP-43-APT_Report_on_Visualization_Spec_Monitoring.docx" TargetMode="External"/><Relationship Id="rId25" Type="http://schemas.openxmlformats.org/officeDocument/2006/relationships/hyperlink" Target="http://www.apt.int/sites/default/files/Upload-files/AWG/AWG-16-Circulars/AWG-16-OUT-07-SPEC-FSS_Questionnaire_in_13%2075-14_GHz-editorial.docx" TargetMode="External"/><Relationship Id="rId33" Type="http://schemas.openxmlformats.org/officeDocument/2006/relationships/hyperlink" Target="http://transition.fcc.gov/Daily_Releases/Daily_Business/2014/db0425/FCC-14-49A1.pdf" TargetMode="External"/><Relationship Id="rId38" Type="http://schemas.openxmlformats.org/officeDocument/2006/relationships/package" Target="embeddings/Microsoft_Word_Document3.docx"/><Relationship Id="rId46" Type="http://schemas.openxmlformats.org/officeDocument/2006/relationships/hyperlink" Target="http://www.itu.int/en/ITU-R/study-groups/workshops/RWP1B-SRD-UWB-14/Presentations/UWB%20Radar%20in%20Health%20Monitoring%20Products.pdf" TargetMode="External"/><Relationship Id="rId2" Type="http://schemas.openxmlformats.org/officeDocument/2006/relationships/numbering" Target="numbering.xml"/><Relationship Id="rId16" Type="http://schemas.openxmlformats.org/officeDocument/2006/relationships/hyperlink" Target="http://www.apt.int/sites/default/files/Upload-files/AWG/APT-AWG-REP-37-R1-APT_Report_on_3400-3600MHz.docx" TargetMode="External"/><Relationship Id="rId20" Type="http://schemas.openxmlformats.org/officeDocument/2006/relationships/hyperlink" Target="http://www.apt.int/sites/default/files/Upload-files/AWG/APT-AWG-REP-46-APT_Report_on_2_1GHz_Survey_Study.docx" TargetMode="External"/><Relationship Id="rId29" Type="http://schemas.openxmlformats.org/officeDocument/2006/relationships/hyperlink" Target="http://www.fcc.gov/document/5-ghz-u-nii-ro" TargetMode="External"/><Relationship Id="rId41" Type="http://schemas.openxmlformats.org/officeDocument/2006/relationships/hyperlink" Target="http://www.itu.int/en/ITU-R/study-groups/workshops/RWP1B-SRD-UWB-14/Presentations/APT%20Activities%20on%20SRD%20Frequency%20Usage%20Harmonizatio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zte.com.cn/en/press_center/news/201404/t20140418_422565.html%20(18" TargetMode="External"/><Relationship Id="rId24" Type="http://schemas.openxmlformats.org/officeDocument/2006/relationships/hyperlink" Target="http://www.apt.int/sites/default/files/Upload-files/AWG/AWG-16-Circulars/AWG-Q-April-2014.docx" TargetMode="External"/><Relationship Id="rId32" Type="http://schemas.openxmlformats.org/officeDocument/2006/relationships/hyperlink" Target="http://transition.fcc.gov/Daily_Releases/Daily_Business/2014/db0602/FCC-14-50A1.pdf" TargetMode="External"/><Relationship Id="rId37" Type="http://schemas.openxmlformats.org/officeDocument/2006/relationships/image" Target="media/image5.emf"/><Relationship Id="rId40" Type="http://schemas.openxmlformats.org/officeDocument/2006/relationships/package" Target="embeddings/Microsoft_PowerPoint_Presentation4.pptx"/><Relationship Id="rId45" Type="http://schemas.openxmlformats.org/officeDocument/2006/relationships/hyperlink" Target="http://www.itu.int/en/ITU-R/study-groups/workshops/RWP1B-SRD-UWB-14/Presentations/SRD%20spectrum%20utilization%20and%20harmonization%20in%20RCC.pdf" TargetMode="External"/><Relationship Id="rId5" Type="http://schemas.openxmlformats.org/officeDocument/2006/relationships/settings" Target="settings.xml"/><Relationship Id="rId15" Type="http://schemas.openxmlformats.org/officeDocument/2006/relationships/hyperlink" Target="http://www.apt.int/Publications" TargetMode="External"/><Relationship Id="rId23" Type="http://schemas.openxmlformats.org/officeDocument/2006/relationships/hyperlink" Target="http://www.apt.int/sites/default/files/Upload-files/AWG/APT-AWG-REP-49-APT_Report_on_Maritime_VHF_band_usage.docx" TargetMode="External"/><Relationship Id="rId28" Type="http://schemas.openxmlformats.org/officeDocument/2006/relationships/hyperlink" Target="http://www.apt.int/sites/default/files/Upload-files/AWG/AWG-16-Circulars/AWG-Circular-Rep15-April-2014.docx" TargetMode="External"/><Relationship Id="rId36" Type="http://schemas.openxmlformats.org/officeDocument/2006/relationships/package" Target="embeddings/Microsoft_Word_Document2.docx"/><Relationship Id="rId49" Type="http://schemas.openxmlformats.org/officeDocument/2006/relationships/fontTable" Target="fontTable.xml"/><Relationship Id="rId10" Type="http://schemas.openxmlformats.org/officeDocument/2006/relationships/hyperlink" Target="http://about.att.com/story/mobilizing_the_sky_att_building_4g_lte_in_flight_connectivity_service.html" TargetMode="External"/><Relationship Id="rId19" Type="http://schemas.openxmlformats.org/officeDocument/2006/relationships/hyperlink" Target="http://www.apt.int/sites/default/files/Upload-files/AWG/APT-AWG-REP-45-APT_Report_on_FSS.docx" TargetMode="External"/><Relationship Id="rId31" Type="http://schemas.openxmlformats.org/officeDocument/2006/relationships/oleObject" Target="embeddings/Microsoft_PowerPoint_97-2003_Presentation1.ppt"/><Relationship Id="rId44" Type="http://schemas.openxmlformats.org/officeDocument/2006/relationships/hyperlink" Target="http://www.itu.int/en/ITU-R/study-groups/workshops/RWP1B-SRD-UWB-14/Presentations/SRD%20and%20its%20Challenge%20-%20SRD%20Management%20in%20China.pdf"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package" Target="embeddings/Microsoft_Word_Document1.docx"/><Relationship Id="rId22" Type="http://schemas.openxmlformats.org/officeDocument/2006/relationships/hyperlink" Target="http://www.apt.int/sites/default/files/Upload-files/AWG/APT-AWG-REP-48-APT_Survey_Report_on_WPT.docx" TargetMode="External"/><Relationship Id="rId27" Type="http://schemas.openxmlformats.org/officeDocument/2006/relationships/hyperlink" Target="http://www.apt.int/sites/default/files/Upload-files/AWG/AWG-16-Circulars/AWG-Circular-Rep7-35-April-2014.docx" TargetMode="External"/><Relationship Id="rId30" Type="http://schemas.openxmlformats.org/officeDocument/2006/relationships/image" Target="media/image3.emf"/><Relationship Id="rId35" Type="http://schemas.openxmlformats.org/officeDocument/2006/relationships/image" Target="media/image4.emf"/><Relationship Id="rId43" Type="http://schemas.openxmlformats.org/officeDocument/2006/relationships/hyperlink" Target="http://www.itu.int/en/ITU-R/study-groups/workshops/RWP1B-SRD-UWB-14/Presentations/Roles%20of%20SRD%20Spectrum%20Harmonization%20in%20the%20development%20of%20WPT%20and%20ITS.pdf" TargetMode="External"/><Relationship Id="rId48" Type="http://schemas.openxmlformats.org/officeDocument/2006/relationships/footer" Target="footer2.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1c\Lokale%20Einstellungen\Temporary%20Internet%20Files\Content.IE5\39AY32B9\FORM01_Input_contribution%5b1%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E840D-C487-4949-A9FC-82334ED8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FORM01_Input_contribution[1]</Template>
  <TotalTime>17</TotalTime>
  <Pages>10</Pages>
  <Words>4141</Words>
  <Characters>22778</Characters>
  <Application>Microsoft Office Word</Application>
  <DocSecurity>0</DocSecurity>
  <Lines>189</Lines>
  <Paragraphs>53</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Cover page</vt:lpstr>
      <vt:lpstr>Cover page</vt:lpstr>
      <vt:lpstr>Cover page</vt:lpstr>
      <vt:lpstr>Cover page</vt:lpstr>
    </vt:vector>
  </TitlesOfParts>
  <Company>BNetzA</Company>
  <LinksUpToDate>false</LinksUpToDate>
  <CharactersWithSpaces>26866</CharactersWithSpaces>
  <SharedDoc>false</SharedDoc>
  <HLinks>
    <vt:vector size="108" baseType="variant">
      <vt:variant>
        <vt:i4>852063</vt:i4>
      </vt:variant>
      <vt:variant>
        <vt:i4>60</vt:i4>
      </vt:variant>
      <vt:variant>
        <vt:i4>0</vt:i4>
      </vt:variant>
      <vt:variant>
        <vt:i4>5</vt:i4>
      </vt:variant>
      <vt:variant>
        <vt:lpwstr>http://194.182.137.30/exchweb/bin/redir.asp?URL=https://docs.google.com/a/google.com/viewer?a=v%26pid=sites%26srcid=ZGVmYXVsdGRvbWFpbnx0dndzYWZyaWNhMjAxM3xneDoxODBhOTY5N2ZlZTFlMGM5</vt:lpwstr>
      </vt:variant>
      <vt:variant>
        <vt:lpwstr/>
      </vt:variant>
      <vt:variant>
        <vt:i4>6946924</vt:i4>
      </vt:variant>
      <vt:variant>
        <vt:i4>57</vt:i4>
      </vt:variant>
      <vt:variant>
        <vt:i4>0</vt:i4>
      </vt:variant>
      <vt:variant>
        <vt:i4>5</vt:i4>
      </vt:variant>
      <vt:variant>
        <vt:lpwstr>http://194.182.137.30/exchweb/bin/redir.asp?URL=http://www.tenet.ac.za/about-us/the-cape-town-tv-white-spaces-trial</vt:lpwstr>
      </vt:variant>
      <vt:variant>
        <vt:lpwstr/>
      </vt:variant>
      <vt:variant>
        <vt:i4>196684</vt:i4>
      </vt:variant>
      <vt:variant>
        <vt:i4>54</vt:i4>
      </vt:variant>
      <vt:variant>
        <vt:i4>0</vt:i4>
      </vt:variant>
      <vt:variant>
        <vt:i4>5</vt:i4>
      </vt:variant>
      <vt:variant>
        <vt:lpwstr>http://194.182.137.30/exchweb/bin/redir.asp?URL=https://docs.google.com/a/google.com/viewer?a=v%26pid=sites%26srcid=ZGVmYXVsdGRvbWFpbnx0dndzYWZyaWNhMjAxM3xneDo2MWY1ZjM0NTg4NmZmYTg5</vt:lpwstr>
      </vt:variant>
      <vt:variant>
        <vt:lpwstr/>
      </vt:variant>
      <vt:variant>
        <vt:i4>8192098</vt:i4>
      </vt:variant>
      <vt:variant>
        <vt:i4>51</vt:i4>
      </vt:variant>
      <vt:variant>
        <vt:i4>0</vt:i4>
      </vt:variant>
      <vt:variant>
        <vt:i4>5</vt:i4>
      </vt:variant>
      <vt:variant>
        <vt:lpwstr>http://194.182.137.30/exchweb/bin/redir.asp?URL=http://www.fiercebroadbandwireless.com/story/microsoft-unveils-tv-white-space-pilot-tanzania/2013-05-08</vt:lpwstr>
      </vt:variant>
      <vt:variant>
        <vt:lpwstr/>
      </vt:variant>
      <vt:variant>
        <vt:i4>7733298</vt:i4>
      </vt:variant>
      <vt:variant>
        <vt:i4>48</vt:i4>
      </vt:variant>
      <vt:variant>
        <vt:i4>0</vt:i4>
      </vt:variant>
      <vt:variant>
        <vt:i4>5</vt:i4>
      </vt:variant>
      <vt:variant>
        <vt:lpwstr>http://194.182.137.30/exchweb/bin/redir.asp?URL=https://sites.google.com/site/tvwsafrica2013/presentations</vt:lpwstr>
      </vt:variant>
      <vt:variant>
        <vt:lpwstr/>
      </vt:variant>
      <vt:variant>
        <vt:i4>4194384</vt:i4>
      </vt:variant>
      <vt:variant>
        <vt:i4>42</vt:i4>
      </vt:variant>
      <vt:variant>
        <vt:i4>0</vt:i4>
      </vt:variant>
      <vt:variant>
        <vt:i4>5</vt:i4>
      </vt:variant>
      <vt:variant>
        <vt:lpwstr>http://www.fcc.gov/document/expanding-access-broadband-and-encouraging-innovation</vt:lpwstr>
      </vt:variant>
      <vt:variant>
        <vt:lpwstr/>
      </vt:variant>
      <vt:variant>
        <vt:i4>1638468</vt:i4>
      </vt:variant>
      <vt:variant>
        <vt:i4>39</vt:i4>
      </vt:variant>
      <vt:variant>
        <vt:i4>0</vt:i4>
      </vt:variant>
      <vt:variant>
        <vt:i4>5</vt:i4>
      </vt:variant>
      <vt:variant>
        <vt:lpwstr>http://www.tra.gov.ae/news_UAE_TRA_ANNOUNCES_700_MHZ_BAND_PLAN_FOR_MOBILE_BROADBAND-514-1.php</vt:lpwstr>
      </vt:variant>
      <vt:variant>
        <vt:lpwstr/>
      </vt:variant>
      <vt:variant>
        <vt:i4>2818089</vt:i4>
      </vt:variant>
      <vt:variant>
        <vt:i4>33</vt:i4>
      </vt:variant>
      <vt:variant>
        <vt:i4>0</vt:i4>
      </vt:variant>
      <vt:variant>
        <vt:i4>5</vt:i4>
      </vt:variant>
      <vt:variant>
        <vt:lpwstr>http://www.apt.int/AFIS</vt:lpwstr>
      </vt:variant>
      <vt:variant>
        <vt:lpwstr/>
      </vt:variant>
      <vt:variant>
        <vt:i4>458865</vt:i4>
      </vt:variant>
      <vt:variant>
        <vt:i4>30</vt:i4>
      </vt:variant>
      <vt:variant>
        <vt:i4>0</vt:i4>
      </vt:variant>
      <vt:variant>
        <vt:i4>5</vt:i4>
      </vt:variant>
      <vt:variant>
        <vt:lpwstr>http://www.apt.int/sites/default/files/Upload-files/AWG/APT-AWG-REP-33-APT_Report_on_Satellite_Broadband_Applications.docx</vt:lpwstr>
      </vt:variant>
      <vt:variant>
        <vt:lpwstr/>
      </vt:variant>
      <vt:variant>
        <vt:i4>1245256</vt:i4>
      </vt:variant>
      <vt:variant>
        <vt:i4>27</vt:i4>
      </vt:variant>
      <vt:variant>
        <vt:i4>0</vt:i4>
      </vt:variant>
      <vt:variant>
        <vt:i4>5</vt:i4>
      </vt:variant>
      <vt:variant>
        <vt:lpwstr>http://www.apt.int/sites/default/files/Upload-files/AWG/APT-AWG-REP-34-APT_Report_on_Disaster_Mitigation.docx</vt:lpwstr>
      </vt:variant>
      <vt:variant>
        <vt:lpwstr/>
      </vt:variant>
      <vt:variant>
        <vt:i4>7995408</vt:i4>
      </vt:variant>
      <vt:variant>
        <vt:i4>24</vt:i4>
      </vt:variant>
      <vt:variant>
        <vt:i4>0</vt:i4>
      </vt:variant>
      <vt:variant>
        <vt:i4>5</vt:i4>
      </vt:variant>
      <vt:variant>
        <vt:lpwstr>http://www.apt.int/sites/default/files/Upload-files/AWG/APT-AWG-REP-18-R1-APT_Report_on_Usage_of_ITS.docx</vt:lpwstr>
      </vt:variant>
      <vt:variant>
        <vt:lpwstr/>
      </vt:variant>
      <vt:variant>
        <vt:i4>196691</vt:i4>
      </vt:variant>
      <vt:variant>
        <vt:i4>21</vt:i4>
      </vt:variant>
      <vt:variant>
        <vt:i4>0</vt:i4>
      </vt:variant>
      <vt:variant>
        <vt:i4>5</vt:i4>
      </vt:variant>
      <vt:variant>
        <vt:lpwstr>http://www.apt.int/sites/default/files/Upload-files/AWG/APT-AWG-REP-25-R1-APT_Report_on_Radio_Interference.docx</vt:lpwstr>
      </vt:variant>
      <vt:variant>
        <vt:lpwstr/>
      </vt:variant>
      <vt:variant>
        <vt:i4>6619144</vt:i4>
      </vt:variant>
      <vt:variant>
        <vt:i4>18</vt:i4>
      </vt:variant>
      <vt:variant>
        <vt:i4>0</vt:i4>
      </vt:variant>
      <vt:variant>
        <vt:i4>5</vt:i4>
      </vt:variant>
      <vt:variant>
        <vt:lpwstr>http://www.apt.int/sites/default/files/Upload-files/AWG/APT-AWG-REP-35-APT_Report_on_Frequency_bands_for_harmonized_use_of_SRDs.docx</vt:lpwstr>
      </vt:variant>
      <vt:variant>
        <vt:lpwstr/>
      </vt:variant>
      <vt:variant>
        <vt:i4>262239</vt:i4>
      </vt:variant>
      <vt:variant>
        <vt:i4>15</vt:i4>
      </vt:variant>
      <vt:variant>
        <vt:i4>0</vt:i4>
      </vt:variant>
      <vt:variant>
        <vt:i4>5</vt:i4>
      </vt:variant>
      <vt:variant>
        <vt:lpwstr>http://www.apt.int/sites/default/files/Upload-files/AWG/APT-AWG-REP-15-R1-APT_Report_on_Mobile_Freq-Tech-License.docx</vt:lpwstr>
      </vt:variant>
      <vt:variant>
        <vt:lpwstr/>
      </vt:variant>
      <vt:variant>
        <vt:i4>5636213</vt:i4>
      </vt:variant>
      <vt:variant>
        <vt:i4>12</vt:i4>
      </vt:variant>
      <vt:variant>
        <vt:i4>0</vt:i4>
      </vt:variant>
      <vt:variant>
        <vt:i4>5</vt:i4>
      </vt:variant>
      <vt:variant>
        <vt:lpwstr>http://www.apt.int/sites/default/files/Upload-files/AWG/APT-AWG-REP-37-APT_Report_on_3400-3600MHz.docx</vt:lpwstr>
      </vt:variant>
      <vt:variant>
        <vt:lpwstr/>
      </vt:variant>
      <vt:variant>
        <vt:i4>327722</vt:i4>
      </vt:variant>
      <vt:variant>
        <vt:i4>9</vt:i4>
      </vt:variant>
      <vt:variant>
        <vt:i4>0</vt:i4>
      </vt:variant>
      <vt:variant>
        <vt:i4>5</vt:i4>
      </vt:variant>
      <vt:variant>
        <vt:lpwstr>http://www.apt.int/sites/default/files/Upload-files/AWG/APT-AWG-REP-36-APT_Report_on_800MHz_Frequency_Arrangement.docx</vt:lpwstr>
      </vt:variant>
      <vt:variant>
        <vt:lpwstr/>
      </vt:variant>
      <vt:variant>
        <vt:i4>1966189</vt:i4>
      </vt:variant>
      <vt:variant>
        <vt:i4>3</vt:i4>
      </vt:variant>
      <vt:variant>
        <vt:i4>0</vt:i4>
      </vt:variant>
      <vt:variant>
        <vt:i4>5</vt:i4>
      </vt:variant>
      <vt:variant>
        <vt:lpwstr>http://194.182.137.30/exchweb/bin/redir.asp?URL=http://apps.fcc.gov/ecfs/comment_search/input.action?z=574gv</vt:lpwstr>
      </vt:variant>
      <vt:variant>
        <vt:lpwstr/>
      </vt:variant>
      <vt:variant>
        <vt:i4>3407922</vt:i4>
      </vt:variant>
      <vt:variant>
        <vt:i4>0</vt:i4>
      </vt:variant>
      <vt:variant>
        <vt:i4>0</vt:i4>
      </vt:variant>
      <vt:variant>
        <vt:i4>5</vt:i4>
      </vt:variant>
      <vt:variant>
        <vt:lpwstr>http://www.fcc.gov/document/5-ghz-unlicensed-spectrum-unii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221-1c</dc:creator>
  <cp:keywords>ECC, CEPT, Template</cp:keywords>
  <cp:lastModifiedBy>RISSONE Christian</cp:lastModifiedBy>
  <cp:revision>4</cp:revision>
  <cp:lastPrinted>1999-09-27T13:20:00Z</cp:lastPrinted>
  <dcterms:created xsi:type="dcterms:W3CDTF">2014-06-19T10:52:00Z</dcterms:created>
  <dcterms:modified xsi:type="dcterms:W3CDTF">2014-06-19T19:09:00Z</dcterms:modified>
</cp:coreProperties>
</file>