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40" w:type="dxa"/>
        <w:tblInd w:w="-72" w:type="dxa"/>
        <w:tblLayout w:type="fixed"/>
        <w:tblCellMar>
          <w:left w:w="70" w:type="dxa"/>
          <w:right w:w="70" w:type="dxa"/>
        </w:tblCellMar>
        <w:tblLook w:val="0000" w:firstRow="0" w:lastRow="0" w:firstColumn="0" w:lastColumn="0" w:noHBand="0" w:noVBand="0"/>
      </w:tblPr>
      <w:tblGrid>
        <w:gridCol w:w="1836"/>
        <w:gridCol w:w="2487"/>
        <w:gridCol w:w="1724"/>
        <w:gridCol w:w="3555"/>
        <w:gridCol w:w="38"/>
      </w:tblGrid>
      <w:tr w:rsidR="00346C62" w:rsidRPr="0098621D">
        <w:trPr>
          <w:cantSplit/>
        </w:trPr>
        <w:tc>
          <w:tcPr>
            <w:tcW w:w="6071" w:type="dxa"/>
            <w:gridSpan w:val="3"/>
            <w:tcBorders>
              <w:top w:val="nil"/>
              <w:left w:val="nil"/>
              <w:bottom w:val="nil"/>
              <w:right w:val="nil"/>
            </w:tcBorders>
          </w:tcPr>
          <w:p w:rsidR="00346C62" w:rsidRPr="0098621D" w:rsidRDefault="005723B3" w:rsidP="00215746">
            <w:pPr>
              <w:pStyle w:val="Kopfzeile1"/>
            </w:pPr>
            <w:r>
              <w:rPr>
                <w:noProof/>
                <w:lang w:eastAsia="en-GB"/>
              </w:rPr>
              <w:drawing>
                <wp:inline distT="0" distB="0" distL="0" distR="0" wp14:anchorId="2E0001D1" wp14:editId="5152797B">
                  <wp:extent cx="1619250" cy="828675"/>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828675"/>
                          </a:xfrm>
                          <a:prstGeom prst="rect">
                            <a:avLst/>
                          </a:prstGeom>
                          <a:noFill/>
                          <a:ln>
                            <a:noFill/>
                          </a:ln>
                        </pic:spPr>
                      </pic:pic>
                    </a:graphicData>
                  </a:graphic>
                </wp:inline>
              </w:drawing>
            </w:r>
            <w:r w:rsidR="00ED7AEC">
              <w:t>Plenary</w:t>
            </w:r>
          </w:p>
          <w:p w:rsidR="00346C62" w:rsidRPr="0098621D" w:rsidRDefault="00346C62" w:rsidP="00215746">
            <w:pPr>
              <w:pStyle w:val="Kopfzeile1"/>
              <w:rPr>
                <w:rFonts w:cs="Arial"/>
                <w:color w:val="000000"/>
              </w:rPr>
            </w:pPr>
          </w:p>
        </w:tc>
        <w:tc>
          <w:tcPr>
            <w:tcW w:w="3569" w:type="dxa"/>
            <w:gridSpan w:val="2"/>
            <w:tcBorders>
              <w:top w:val="nil"/>
              <w:left w:val="nil"/>
              <w:bottom w:val="nil"/>
              <w:right w:val="nil"/>
            </w:tcBorders>
          </w:tcPr>
          <w:p w:rsidR="00346C62" w:rsidRPr="00346C62" w:rsidRDefault="0098621D" w:rsidP="00E57F73">
            <w:pPr>
              <w:pStyle w:val="Kopfzeile1"/>
              <w:tabs>
                <w:tab w:val="clear" w:pos="4536"/>
                <w:tab w:val="right" w:pos="3357"/>
              </w:tabs>
            </w:pPr>
            <w:r>
              <w:tab/>
            </w:r>
            <w:r w:rsidR="00533846">
              <w:t>Doc</w:t>
            </w:r>
            <w:r w:rsidR="00ED7AEC">
              <w:t>. ECC(1</w:t>
            </w:r>
            <w:r w:rsidR="007601AD">
              <w:t>4</w:t>
            </w:r>
            <w:r w:rsidR="00ED7AEC">
              <w:t>)</w:t>
            </w:r>
            <w:r w:rsidR="00E57F73">
              <w:t>077</w:t>
            </w:r>
          </w:p>
        </w:tc>
      </w:tr>
      <w:tr w:rsidR="00346C62" w:rsidRPr="0098621D">
        <w:tblPrEx>
          <w:tblCellMar>
            <w:left w:w="108" w:type="dxa"/>
            <w:right w:w="108" w:type="dxa"/>
          </w:tblCellMar>
        </w:tblPrEx>
        <w:trPr>
          <w:gridAfter w:val="1"/>
          <w:wAfter w:w="38" w:type="dxa"/>
          <w:cantSplit/>
          <w:trHeight w:val="405"/>
        </w:trPr>
        <w:tc>
          <w:tcPr>
            <w:tcW w:w="4340" w:type="dxa"/>
            <w:gridSpan w:val="2"/>
            <w:tcBorders>
              <w:top w:val="nil"/>
              <w:left w:val="nil"/>
              <w:bottom w:val="nil"/>
              <w:right w:val="nil"/>
            </w:tcBorders>
            <w:vAlign w:val="center"/>
          </w:tcPr>
          <w:p w:rsidR="00346C62" w:rsidRPr="00D149DA" w:rsidRDefault="00D149DA" w:rsidP="00322C20">
            <w:pPr>
              <w:pStyle w:val="Kopfzeile1"/>
            </w:pPr>
            <w:r>
              <w:t>3</w:t>
            </w:r>
            <w:r w:rsidR="00322C20">
              <w:t>8</w:t>
            </w:r>
            <w:r w:rsidR="001F724C" w:rsidRPr="001F724C">
              <w:rPr>
                <w:vertAlign w:val="superscript"/>
              </w:rPr>
              <w:t>th</w:t>
            </w:r>
            <w:r w:rsidR="001F724C">
              <w:t xml:space="preserve"> </w:t>
            </w:r>
            <w:r w:rsidR="001E0E49" w:rsidRPr="00D149DA">
              <w:t>Meeting</w:t>
            </w:r>
          </w:p>
        </w:tc>
        <w:tc>
          <w:tcPr>
            <w:tcW w:w="5300" w:type="dxa"/>
            <w:gridSpan w:val="2"/>
            <w:tcBorders>
              <w:top w:val="nil"/>
              <w:left w:val="nil"/>
              <w:bottom w:val="nil"/>
              <w:right w:val="nil"/>
            </w:tcBorders>
            <w:vAlign w:val="center"/>
          </w:tcPr>
          <w:p w:rsidR="00346C62" w:rsidRPr="0098621D" w:rsidRDefault="00346C62" w:rsidP="00215746">
            <w:pPr>
              <w:pStyle w:val="Kopfzeile1"/>
            </w:pPr>
          </w:p>
        </w:tc>
      </w:tr>
      <w:tr w:rsidR="00346C62" w:rsidRPr="0098621D">
        <w:tblPrEx>
          <w:tblCellMar>
            <w:left w:w="108" w:type="dxa"/>
            <w:right w:w="108" w:type="dxa"/>
          </w:tblCellMar>
        </w:tblPrEx>
        <w:trPr>
          <w:gridAfter w:val="1"/>
          <w:wAfter w:w="38" w:type="dxa"/>
          <w:cantSplit/>
          <w:trHeight w:val="405"/>
        </w:trPr>
        <w:tc>
          <w:tcPr>
            <w:tcW w:w="4340" w:type="dxa"/>
            <w:gridSpan w:val="2"/>
            <w:tcBorders>
              <w:top w:val="nil"/>
              <w:left w:val="nil"/>
              <w:bottom w:val="nil"/>
              <w:right w:val="nil"/>
            </w:tcBorders>
            <w:vAlign w:val="center"/>
          </w:tcPr>
          <w:p w:rsidR="00346C62" w:rsidRPr="00D149DA" w:rsidRDefault="00F3272D" w:rsidP="00E57F73">
            <w:pPr>
              <w:pStyle w:val="Kopfzeile1"/>
            </w:pPr>
            <w:proofErr w:type="spellStart"/>
            <w:r w:rsidRPr="00F3272D">
              <w:t>Montreux</w:t>
            </w:r>
            <w:proofErr w:type="spellEnd"/>
            <w:r w:rsidRPr="00F3272D">
              <w:t>, Switzerland</w:t>
            </w:r>
            <w:r w:rsidR="007601AD" w:rsidRPr="007601AD">
              <w:t xml:space="preserve">, </w:t>
            </w:r>
            <w:r w:rsidR="00697E9B">
              <w:t>2</w:t>
            </w:r>
            <w:r>
              <w:t>5-28</w:t>
            </w:r>
            <w:r w:rsidR="00E57F73">
              <w:t xml:space="preserve"> </w:t>
            </w:r>
            <w:r>
              <w:t>November</w:t>
            </w:r>
            <w:r w:rsidR="007601AD" w:rsidRPr="007601AD">
              <w:t xml:space="preserve"> 2014</w:t>
            </w:r>
          </w:p>
        </w:tc>
        <w:tc>
          <w:tcPr>
            <w:tcW w:w="5300" w:type="dxa"/>
            <w:gridSpan w:val="2"/>
            <w:tcBorders>
              <w:top w:val="nil"/>
              <w:left w:val="nil"/>
              <w:bottom w:val="nil"/>
              <w:right w:val="nil"/>
            </w:tcBorders>
            <w:vAlign w:val="center"/>
          </w:tcPr>
          <w:p w:rsidR="00346C62" w:rsidRPr="0098621D" w:rsidRDefault="00346C62" w:rsidP="00215746">
            <w:pPr>
              <w:pStyle w:val="Kopfzeile1"/>
            </w:pPr>
          </w:p>
        </w:tc>
      </w:tr>
      <w:tr w:rsidR="00F05B26" w:rsidRPr="0098621D">
        <w:tblPrEx>
          <w:tblCellMar>
            <w:left w:w="108" w:type="dxa"/>
            <w:right w:w="108" w:type="dxa"/>
          </w:tblCellMar>
        </w:tblPrEx>
        <w:trPr>
          <w:gridAfter w:val="1"/>
          <w:wAfter w:w="38" w:type="dxa"/>
          <w:cantSplit/>
          <w:trHeight w:val="80"/>
        </w:trPr>
        <w:tc>
          <w:tcPr>
            <w:tcW w:w="4340" w:type="dxa"/>
            <w:gridSpan w:val="2"/>
            <w:tcBorders>
              <w:top w:val="nil"/>
              <w:left w:val="nil"/>
              <w:bottom w:val="nil"/>
              <w:right w:val="nil"/>
            </w:tcBorders>
            <w:vAlign w:val="center"/>
          </w:tcPr>
          <w:p w:rsidR="00F05B26" w:rsidRPr="00D149DA" w:rsidRDefault="00F05B26" w:rsidP="00215746">
            <w:pPr>
              <w:pStyle w:val="Kopfzeile1"/>
              <w:rPr>
                <w:sz w:val="8"/>
              </w:rPr>
            </w:pPr>
          </w:p>
        </w:tc>
        <w:tc>
          <w:tcPr>
            <w:tcW w:w="5300" w:type="dxa"/>
            <w:gridSpan w:val="2"/>
            <w:tcBorders>
              <w:top w:val="nil"/>
              <w:left w:val="nil"/>
              <w:bottom w:val="nil"/>
              <w:right w:val="nil"/>
            </w:tcBorders>
            <w:vAlign w:val="center"/>
          </w:tcPr>
          <w:p w:rsidR="00F05B26" w:rsidRPr="0098621D" w:rsidRDefault="00F05B26" w:rsidP="00215746">
            <w:pPr>
              <w:pStyle w:val="Kopfzeile1"/>
              <w:rPr>
                <w:sz w:val="8"/>
              </w:rPr>
            </w:pPr>
          </w:p>
        </w:tc>
      </w:tr>
      <w:tr w:rsidR="00F05B26" w:rsidRPr="0098621D">
        <w:tblPrEx>
          <w:tblCellMar>
            <w:left w:w="108" w:type="dxa"/>
            <w:right w:w="108" w:type="dxa"/>
          </w:tblCellMar>
        </w:tblPrEx>
        <w:trPr>
          <w:gridAfter w:val="1"/>
          <w:wAfter w:w="38" w:type="dxa"/>
          <w:cantSplit/>
          <w:trHeight w:val="405"/>
        </w:trPr>
        <w:tc>
          <w:tcPr>
            <w:tcW w:w="1843" w:type="dxa"/>
            <w:tcBorders>
              <w:top w:val="nil"/>
              <w:left w:val="nil"/>
              <w:bottom w:val="nil"/>
              <w:right w:val="nil"/>
            </w:tcBorders>
            <w:vAlign w:val="center"/>
          </w:tcPr>
          <w:p w:rsidR="00F05B26" w:rsidRPr="00D149DA" w:rsidRDefault="00F05B26" w:rsidP="00215746">
            <w:pPr>
              <w:pStyle w:val="Kopfzeile1"/>
            </w:pPr>
            <w:r w:rsidRPr="00D149DA">
              <w:t>Date issued:</w:t>
            </w:r>
            <w:r w:rsidR="005269EA" w:rsidRPr="00D149DA">
              <w:t xml:space="preserve"> </w:t>
            </w:r>
          </w:p>
        </w:tc>
        <w:tc>
          <w:tcPr>
            <w:tcW w:w="7797" w:type="dxa"/>
            <w:gridSpan w:val="3"/>
            <w:tcBorders>
              <w:top w:val="nil"/>
              <w:left w:val="nil"/>
              <w:bottom w:val="nil"/>
              <w:right w:val="nil"/>
            </w:tcBorders>
            <w:vAlign w:val="center"/>
          </w:tcPr>
          <w:p w:rsidR="00F05B26" w:rsidRPr="0098621D" w:rsidRDefault="00697E9B" w:rsidP="008C47FE">
            <w:pPr>
              <w:pStyle w:val="Kopfzeile1"/>
            </w:pPr>
            <w:r>
              <w:t>1</w:t>
            </w:r>
            <w:r w:rsidR="008C47FE">
              <w:t>9</w:t>
            </w:r>
            <w:r w:rsidR="00F3272D">
              <w:t xml:space="preserve"> November</w:t>
            </w:r>
            <w:r>
              <w:t xml:space="preserve"> </w:t>
            </w:r>
            <w:r w:rsidR="00A82B1F">
              <w:t>201</w:t>
            </w:r>
            <w:r w:rsidR="007601AD">
              <w:t>4</w:t>
            </w:r>
          </w:p>
        </w:tc>
      </w:tr>
      <w:tr w:rsidR="00F05B26" w:rsidRPr="0098621D">
        <w:tblPrEx>
          <w:tblCellMar>
            <w:left w:w="108" w:type="dxa"/>
            <w:right w:w="108" w:type="dxa"/>
          </w:tblCellMar>
        </w:tblPrEx>
        <w:trPr>
          <w:gridAfter w:val="1"/>
          <w:wAfter w:w="38" w:type="dxa"/>
          <w:cantSplit/>
          <w:trHeight w:val="405"/>
        </w:trPr>
        <w:tc>
          <w:tcPr>
            <w:tcW w:w="1843" w:type="dxa"/>
            <w:tcBorders>
              <w:top w:val="nil"/>
              <w:left w:val="nil"/>
              <w:bottom w:val="nil"/>
              <w:right w:val="nil"/>
            </w:tcBorders>
            <w:vAlign w:val="center"/>
          </w:tcPr>
          <w:p w:rsidR="00F05B26" w:rsidRPr="00D149DA" w:rsidRDefault="00F05B26" w:rsidP="00215746">
            <w:pPr>
              <w:pStyle w:val="Kopfzeile1"/>
            </w:pPr>
            <w:r w:rsidRPr="00D149DA">
              <w:t>Source:</w:t>
            </w:r>
            <w:r w:rsidR="00ED7AEC" w:rsidRPr="00D149DA">
              <w:t xml:space="preserve"> </w:t>
            </w:r>
          </w:p>
        </w:tc>
        <w:tc>
          <w:tcPr>
            <w:tcW w:w="7797" w:type="dxa"/>
            <w:gridSpan w:val="3"/>
            <w:tcBorders>
              <w:top w:val="nil"/>
              <w:left w:val="nil"/>
              <w:bottom w:val="nil"/>
              <w:right w:val="nil"/>
            </w:tcBorders>
            <w:vAlign w:val="center"/>
          </w:tcPr>
          <w:p w:rsidR="00F05B26" w:rsidRPr="0098621D" w:rsidRDefault="00A82B1F" w:rsidP="00215746">
            <w:pPr>
              <w:pStyle w:val="Kopfzeile1"/>
            </w:pPr>
            <w:r>
              <w:t>ECO</w:t>
            </w:r>
          </w:p>
        </w:tc>
      </w:tr>
      <w:tr w:rsidR="00F05B26" w:rsidRPr="0098621D">
        <w:tblPrEx>
          <w:tblCellMar>
            <w:left w:w="108" w:type="dxa"/>
            <w:right w:w="108" w:type="dxa"/>
          </w:tblCellMar>
        </w:tblPrEx>
        <w:trPr>
          <w:gridAfter w:val="1"/>
          <w:wAfter w:w="38" w:type="dxa"/>
          <w:cantSplit/>
          <w:trHeight w:val="405"/>
        </w:trPr>
        <w:tc>
          <w:tcPr>
            <w:tcW w:w="1843" w:type="dxa"/>
            <w:tcBorders>
              <w:top w:val="nil"/>
              <w:left w:val="nil"/>
              <w:bottom w:val="nil"/>
              <w:right w:val="nil"/>
            </w:tcBorders>
            <w:vAlign w:val="center"/>
          </w:tcPr>
          <w:p w:rsidR="00F05B26" w:rsidRPr="00D149DA" w:rsidRDefault="00F05B26" w:rsidP="00215746">
            <w:pPr>
              <w:pStyle w:val="Kopfzeile1"/>
            </w:pPr>
            <w:r w:rsidRPr="00D149DA">
              <w:t>Subject:</w:t>
            </w:r>
            <w:r w:rsidR="005269EA" w:rsidRPr="00D149DA">
              <w:t xml:space="preserve"> </w:t>
            </w:r>
          </w:p>
        </w:tc>
        <w:tc>
          <w:tcPr>
            <w:tcW w:w="7797" w:type="dxa"/>
            <w:gridSpan w:val="3"/>
            <w:tcBorders>
              <w:top w:val="nil"/>
              <w:left w:val="nil"/>
              <w:bottom w:val="nil"/>
              <w:right w:val="nil"/>
            </w:tcBorders>
            <w:vAlign w:val="center"/>
          </w:tcPr>
          <w:p w:rsidR="00F05B26" w:rsidRPr="001E0E49" w:rsidRDefault="00A82B1F" w:rsidP="001E0E49">
            <w:pPr>
              <w:pStyle w:val="Kopfzeile1"/>
            </w:pPr>
            <w:r w:rsidRPr="00A82B1F">
              <w:t>ECO Bulletin on on</w:t>
            </w:r>
            <w:r>
              <w:t>-</w:t>
            </w:r>
            <w:r w:rsidRPr="00A82B1F">
              <w:t>going/new issues in other regions or organisations</w:t>
            </w:r>
          </w:p>
        </w:tc>
      </w:tr>
      <w:tr w:rsidR="00493F86" w:rsidRPr="0098621D" w:rsidTr="00FF320E">
        <w:tblPrEx>
          <w:tblCellMar>
            <w:left w:w="108" w:type="dxa"/>
            <w:right w:w="108" w:type="dxa"/>
          </w:tblCellMar>
        </w:tblPrEx>
        <w:trPr>
          <w:gridAfter w:val="1"/>
          <w:wAfter w:w="38" w:type="dxa"/>
          <w:cantSplit/>
          <w:trHeight w:val="1040"/>
        </w:trPr>
        <w:tc>
          <w:tcPr>
            <w:tcW w:w="9640" w:type="dxa"/>
            <w:gridSpan w:val="4"/>
            <w:tcBorders>
              <w:top w:val="nil"/>
              <w:left w:val="nil"/>
              <w:bottom w:val="nil"/>
              <w:right w:val="nil"/>
            </w:tcBorders>
            <w:vAlign w:val="center"/>
          </w:tcPr>
          <w:p w:rsidR="00493F86" w:rsidRPr="006D7413" w:rsidRDefault="005723B3" w:rsidP="00FF320E">
            <w:pPr>
              <w:rPr>
                <w:rFonts w:cs="Arial"/>
                <w:szCs w:val="24"/>
              </w:rPr>
            </w:pPr>
            <w:r>
              <w:rPr>
                <w:noProof/>
                <w:lang w:eastAsia="en-GB"/>
              </w:rPr>
              <mc:AlternateContent>
                <mc:Choice Requires="wps">
                  <w:drawing>
                    <wp:anchor distT="0" distB="0" distL="114300" distR="114300" simplePos="0" relativeHeight="251657728" behindDoc="1" locked="0" layoutInCell="1" allowOverlap="1" wp14:anchorId="4EE391CD" wp14:editId="0B5D3BDE">
                      <wp:simplePos x="0" y="0"/>
                      <wp:positionH relativeFrom="column">
                        <wp:posOffset>3263900</wp:posOffset>
                      </wp:positionH>
                      <wp:positionV relativeFrom="paragraph">
                        <wp:posOffset>193675</wp:posOffset>
                      </wp:positionV>
                      <wp:extent cx="457200" cy="271145"/>
                      <wp:effectExtent l="0" t="0" r="19050" b="14605"/>
                      <wp:wrapTight wrapText="bothSides">
                        <wp:wrapPolygon edited="0">
                          <wp:start x="0" y="0"/>
                          <wp:lineTo x="0" y="21246"/>
                          <wp:lineTo x="21600" y="2124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1145"/>
                              </a:xfrm>
                              <a:prstGeom prst="rect">
                                <a:avLst/>
                              </a:prstGeom>
                              <a:solidFill>
                                <a:srgbClr val="FFFFFF"/>
                              </a:solidFill>
                              <a:ln w="9525">
                                <a:solidFill>
                                  <a:srgbClr val="000000"/>
                                </a:solidFill>
                                <a:miter lim="800000"/>
                                <a:headEnd/>
                                <a:tailEnd/>
                              </a:ln>
                            </wps:spPr>
                            <wps:txbx>
                              <w:txbxContent>
                                <w:p w:rsidR="00510966" w:rsidRPr="00254FD9" w:rsidRDefault="00510966" w:rsidP="005348B2">
                                  <w:pPr>
                                    <w:spacing w:after="0"/>
                                    <w:jc w:val="center"/>
                                    <w:rPr>
                                      <w:rFonts w:cs="Arial"/>
                                      <w:szCs w:val="24"/>
                                      <w:lang w:val="de-DE"/>
                                    </w:rPr>
                                  </w:pPr>
                                  <w:r>
                                    <w:rPr>
                                      <w:rFonts w:cs="Arial"/>
                                      <w:szCs w:val="24"/>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7pt;margin-top:15.25pt;width:36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">
                      <v:textbox>
                        <w:txbxContent>
                          <w:p w:rsidR="00510966" w:rsidRPr="00254FD9" w:rsidRDefault="00510966" w:rsidP="005348B2">
                            <w:pPr>
                              <w:spacing w:after="0"/>
                              <w:jc w:val="center"/>
                              <w:rPr>
                                <w:rFonts w:cs="Arial"/>
                                <w:szCs w:val="24"/>
                                <w:lang w:val="de-DE"/>
                              </w:rPr>
                            </w:pPr>
                            <w:r>
                              <w:rPr>
                                <w:rFonts w:cs="Arial"/>
                                <w:szCs w:val="24"/>
                                <w:lang w:val="de-DE"/>
                              </w:rPr>
                              <w:t>N</w:t>
                            </w:r>
                          </w:p>
                        </w:txbxContent>
                      </v:textbox>
                      <w10:wrap type="tight"/>
                    </v:shape>
                  </w:pict>
                </mc:Fallback>
              </mc:AlternateContent>
            </w:r>
          </w:p>
          <w:p w:rsidR="00493F86" w:rsidRDefault="001D181E" w:rsidP="00FF320E">
            <w:r>
              <w:t>Group membership</w:t>
            </w:r>
            <w:r w:rsidR="00493F86" w:rsidRPr="0016435A">
              <w:t xml:space="preserve"> required</w:t>
            </w:r>
            <w:r>
              <w:t xml:space="preserve"> </w:t>
            </w:r>
            <w:proofErr w:type="gramStart"/>
            <w:r>
              <w:t>to read</w:t>
            </w:r>
            <w:proofErr w:type="gramEnd"/>
            <w:r>
              <w:t>? (Y/N)</w:t>
            </w:r>
          </w:p>
          <w:p w:rsidR="00493F86" w:rsidRPr="00DD103C" w:rsidRDefault="00493F86" w:rsidP="00FF320E">
            <w:pPr>
              <w:pStyle w:val="Header1"/>
              <w:rPr>
                <w:lang w:eastAsia="de-DE"/>
              </w:rPr>
            </w:pPr>
          </w:p>
        </w:tc>
      </w:tr>
      <w:tr w:rsidR="00493F86" w:rsidRPr="0098621D" w:rsidTr="00FF320E">
        <w:tblPrEx>
          <w:tblCellMar>
            <w:left w:w="108" w:type="dxa"/>
            <w:right w:w="108" w:type="dxa"/>
          </w:tblCellMar>
        </w:tblPrEx>
        <w:trPr>
          <w:gridAfter w:val="1"/>
          <w:wAfter w:w="38" w:type="dxa"/>
          <w:cantSplit/>
          <w:trHeight w:hRule="exact" w:val="74"/>
        </w:trPr>
        <w:tc>
          <w:tcPr>
            <w:tcW w:w="9640" w:type="dxa"/>
            <w:gridSpan w:val="4"/>
            <w:tcBorders>
              <w:top w:val="nil"/>
              <w:left w:val="nil"/>
              <w:bottom w:val="nil"/>
              <w:right w:val="nil"/>
            </w:tcBorders>
            <w:vAlign w:val="center"/>
          </w:tcPr>
          <w:p w:rsidR="00493F86" w:rsidRPr="003D778B" w:rsidRDefault="00493F86" w:rsidP="00FF320E">
            <w:pPr>
              <w:pStyle w:val="Header1"/>
              <w:rPr>
                <w:lang w:eastAsia="de-DE"/>
              </w:rPr>
            </w:pPr>
          </w:p>
          <w:p w:rsidR="00493F86" w:rsidRPr="0098621D" w:rsidRDefault="00493F86" w:rsidP="00FF320E">
            <w:pPr>
              <w:pStyle w:val="Header1"/>
              <w:rPr>
                <w:sz w:val="8"/>
                <w:lang w:eastAsia="de-DE"/>
              </w:rPr>
            </w:pP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5"/>
            <w:tcBorders>
              <w:bottom w:val="nil"/>
            </w:tcBorders>
          </w:tcPr>
          <w:p w:rsidR="001E0E49" w:rsidRDefault="001E0E49" w:rsidP="001E0E49">
            <w:pPr>
              <w:pStyle w:val="Kopfzeile1"/>
              <w:rPr>
                <w:lang w:val="en-US"/>
              </w:rPr>
            </w:pPr>
            <w:r w:rsidRPr="001E0E49">
              <w:rPr>
                <w:lang w:val="en-US"/>
              </w:rPr>
              <w:t>Summary:</w:t>
            </w:r>
            <w:r>
              <w:rPr>
                <w:lang w:val="en-US"/>
              </w:rPr>
              <w:t xml:space="preserve"> </w:t>
            </w:r>
          </w:p>
        </w:tc>
      </w:tr>
      <w:tr w:rsidR="001E0E49" w:rsidRPr="00523220"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5"/>
            <w:tcBorders>
              <w:top w:val="nil"/>
              <w:bottom w:val="single" w:sz="4" w:space="0" w:color="auto"/>
            </w:tcBorders>
          </w:tcPr>
          <w:p w:rsidR="001E0E49" w:rsidRPr="00523220" w:rsidRDefault="00A82B1F" w:rsidP="008E4001">
            <w:r w:rsidRPr="00523220">
              <w:t xml:space="preserve">This </w:t>
            </w:r>
            <w:r w:rsidR="00977355" w:rsidRPr="00523220">
              <w:t xml:space="preserve">ECO Bulletin </w:t>
            </w:r>
            <w:r w:rsidRPr="00523220">
              <w:t xml:space="preserve">provides a summary update on aspects of </w:t>
            </w:r>
            <w:r w:rsidR="008E4001" w:rsidRPr="00523220">
              <w:t xml:space="preserve">progress </w:t>
            </w:r>
            <w:r w:rsidR="00061978" w:rsidRPr="00523220">
              <w:t xml:space="preserve">in spectrum management </w:t>
            </w:r>
            <w:r w:rsidR="00D765E7" w:rsidRPr="00523220">
              <w:t>outside the CEPT</w:t>
            </w:r>
            <w:r w:rsidRPr="00523220">
              <w:t>. The</w:t>
            </w:r>
            <w:r w:rsidR="008E4001" w:rsidRPr="00523220">
              <w:t xml:space="preserve"> items </w:t>
            </w:r>
            <w:r w:rsidR="00421CAC" w:rsidRPr="00523220">
              <w:t xml:space="preserve">in this bulletin </w:t>
            </w:r>
            <w:r w:rsidR="008E4001" w:rsidRPr="00523220">
              <w:t>include:</w:t>
            </w:r>
          </w:p>
          <w:p w:rsidR="00916B79" w:rsidRPr="00523220" w:rsidRDefault="00322C20" w:rsidP="007601AD">
            <w:pPr>
              <w:pStyle w:val="ListParagraph"/>
              <w:numPr>
                <w:ilvl w:val="0"/>
                <w:numId w:val="18"/>
              </w:numPr>
            </w:pPr>
            <w:r>
              <w:t>Developments with DA2GC (AT&amp;T backs off, FCC New Proposed Rulemaking Process on-going</w:t>
            </w:r>
            <w:r w:rsidR="00F3272D">
              <w:t>,</w:t>
            </w:r>
            <w:r>
              <w:t xml:space="preserve"> and other information)</w:t>
            </w:r>
          </w:p>
          <w:p w:rsidR="003B3DE3" w:rsidRPr="003B3DE3" w:rsidRDefault="003B3DE3" w:rsidP="003B3DE3">
            <w:pPr>
              <w:pStyle w:val="ListParagraph"/>
              <w:numPr>
                <w:ilvl w:val="0"/>
                <w:numId w:val="18"/>
              </w:numPr>
              <w:rPr>
                <w:lang w:val="fr-FR"/>
              </w:rPr>
            </w:pPr>
            <w:r w:rsidRPr="003B3DE3">
              <w:rPr>
                <w:lang w:val="fr-FR"/>
              </w:rPr>
              <w:t xml:space="preserve">ITU-R SG1 (WP1A, 1B, 1C) 2014 </w:t>
            </w:r>
            <w:proofErr w:type="spellStart"/>
            <w:r w:rsidRPr="003B3DE3">
              <w:rPr>
                <w:lang w:val="fr-FR"/>
              </w:rPr>
              <w:t>Overview</w:t>
            </w:r>
            <w:proofErr w:type="spellEnd"/>
          </w:p>
          <w:p w:rsidR="00667E14" w:rsidRPr="00667E14" w:rsidRDefault="00667E14" w:rsidP="00667E14">
            <w:pPr>
              <w:pStyle w:val="ListParagraph"/>
              <w:numPr>
                <w:ilvl w:val="0"/>
                <w:numId w:val="18"/>
              </w:numPr>
              <w:rPr>
                <w:lang w:val="fr-FR"/>
              </w:rPr>
            </w:pPr>
            <w:proofErr w:type="spellStart"/>
            <w:r w:rsidRPr="00667E14">
              <w:rPr>
                <w:lang w:val="fr-FR"/>
              </w:rPr>
              <w:t>Industry</w:t>
            </w:r>
            <w:proofErr w:type="spellEnd"/>
            <w:r w:rsidRPr="00667E14">
              <w:rPr>
                <w:lang w:val="fr-FR"/>
              </w:rPr>
              <w:t xml:space="preserve"> Canada - on </w:t>
            </w:r>
            <w:proofErr w:type="spellStart"/>
            <w:r w:rsidRPr="00667E14">
              <w:rPr>
                <w:lang w:val="fr-FR"/>
              </w:rPr>
              <w:t>policy</w:t>
            </w:r>
            <w:proofErr w:type="spellEnd"/>
            <w:r w:rsidRPr="00667E14">
              <w:rPr>
                <w:lang w:val="fr-FR"/>
              </w:rPr>
              <w:t xml:space="preserve"> changes in the 3500 MHz Band (3475-3650 MHz)</w:t>
            </w:r>
          </w:p>
          <w:p w:rsidR="00667E14" w:rsidRDefault="00667E14" w:rsidP="00677187">
            <w:pPr>
              <w:pStyle w:val="ListParagraph"/>
              <w:numPr>
                <w:ilvl w:val="0"/>
                <w:numId w:val="18"/>
              </w:numPr>
            </w:pPr>
            <w:r w:rsidRPr="00667E14">
              <w:t>17th Meeting of the APT Wireless Group (AWG-17)</w:t>
            </w:r>
            <w:r>
              <w:t xml:space="preserve"> - several new APT Reports approved, mostly in relation to MFCN, but also MSS/CGC</w:t>
            </w:r>
          </w:p>
          <w:p w:rsidR="00BC6FF5" w:rsidRPr="00BC6FF5" w:rsidRDefault="00BC6FF5" w:rsidP="00BC6FF5">
            <w:pPr>
              <w:pStyle w:val="ListParagraph"/>
              <w:numPr>
                <w:ilvl w:val="0"/>
                <w:numId w:val="18"/>
              </w:numPr>
            </w:pPr>
            <w:r w:rsidRPr="00BC6FF5">
              <w:t>FCC delays start of 600 MHz incentive auction to early 2016</w:t>
            </w:r>
            <w:r>
              <w:t xml:space="preserve"> and also started a consultation (NPRM) on unlicensed use (part 15 modification)</w:t>
            </w:r>
          </w:p>
          <w:p w:rsidR="00BE1D13" w:rsidRDefault="00BE1D13" w:rsidP="00BE1D13">
            <w:pPr>
              <w:pStyle w:val="ListParagraph"/>
              <w:numPr>
                <w:ilvl w:val="0"/>
                <w:numId w:val="18"/>
              </w:numPr>
            </w:pPr>
            <w:r w:rsidRPr="00BE1D13">
              <w:t>IEEE: Spectrum co-existence studies between ITS and WAS/RLAN</w:t>
            </w:r>
          </w:p>
          <w:p w:rsidR="00BC6FF5" w:rsidRDefault="005D1128" w:rsidP="00BE1D13">
            <w:pPr>
              <w:pStyle w:val="ListParagraph"/>
              <w:numPr>
                <w:ilvl w:val="0"/>
                <w:numId w:val="18"/>
              </w:numPr>
            </w:pPr>
            <w:r w:rsidRPr="005D1128">
              <w:t>3GPP SA6 - new Working Group to undertake specification work for mission critical communications such as BB-PPDR</w:t>
            </w:r>
          </w:p>
          <w:p w:rsidR="00976BDD" w:rsidRDefault="00A243E6" w:rsidP="00A243E6">
            <w:pPr>
              <w:pStyle w:val="ListParagraph"/>
              <w:numPr>
                <w:ilvl w:val="0"/>
                <w:numId w:val="18"/>
              </w:numPr>
            </w:pPr>
            <w:r>
              <w:t xml:space="preserve">FCC: 700 MHz </w:t>
            </w:r>
            <w:proofErr w:type="spellStart"/>
            <w:r>
              <w:t>Narrowbanding</w:t>
            </w:r>
            <w:proofErr w:type="spellEnd"/>
            <w:r>
              <w:t xml:space="preserve"> Deadline Eliminated</w:t>
            </w:r>
          </w:p>
          <w:p w:rsidR="007E4E9A" w:rsidRPr="00523220" w:rsidRDefault="007E4E9A" w:rsidP="007E4E9A">
            <w:pPr>
              <w:pStyle w:val="ListParagraph"/>
              <w:numPr>
                <w:ilvl w:val="0"/>
                <w:numId w:val="18"/>
              </w:numPr>
            </w:pPr>
            <w:r w:rsidRPr="007E4E9A">
              <w:t>LTE in ‘unlicensed’ spectrum in 5 GHz</w:t>
            </w:r>
          </w:p>
        </w:tc>
      </w:tr>
    </w:tbl>
    <w:p w:rsidR="00421CAC" w:rsidRPr="00523220" w:rsidRDefault="00421CAC">
      <w:r w:rsidRPr="00523220">
        <w:rPr>
          <w:b/>
        </w:rPr>
        <w:br w:type="page"/>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40"/>
      </w:tblGrid>
      <w:tr w:rsidR="001E0E49" w:rsidRPr="00523220" w:rsidTr="004002F7">
        <w:trPr>
          <w:cantSplit/>
          <w:trHeight w:val="443"/>
        </w:trPr>
        <w:tc>
          <w:tcPr>
            <w:tcW w:w="9640" w:type="dxa"/>
            <w:tcBorders>
              <w:bottom w:val="nil"/>
            </w:tcBorders>
          </w:tcPr>
          <w:p w:rsidR="001E0E49" w:rsidRPr="00523220" w:rsidRDefault="001E0E49" w:rsidP="001E0E49">
            <w:pPr>
              <w:pStyle w:val="Kopfzeile1"/>
            </w:pPr>
            <w:r w:rsidRPr="00523220">
              <w:lastRenderedPageBreak/>
              <w:t xml:space="preserve">Proposal: </w:t>
            </w:r>
          </w:p>
        </w:tc>
      </w:tr>
      <w:tr w:rsidR="001E0E49" w:rsidRPr="00523220" w:rsidTr="004002F7">
        <w:trPr>
          <w:cantSplit/>
          <w:trHeight w:val="945"/>
        </w:trPr>
        <w:tc>
          <w:tcPr>
            <w:tcW w:w="9640" w:type="dxa"/>
            <w:tcBorders>
              <w:top w:val="nil"/>
              <w:bottom w:val="single" w:sz="4" w:space="0" w:color="auto"/>
            </w:tcBorders>
          </w:tcPr>
          <w:p w:rsidR="00977355" w:rsidRDefault="00A82B1F" w:rsidP="001E0E49">
            <w:r w:rsidRPr="00523220">
              <w:t>Thi</w:t>
            </w:r>
            <w:r w:rsidR="00154CD8">
              <w:t>s bulletin is to note by the ECC Plenary</w:t>
            </w:r>
            <w:r w:rsidRPr="00523220">
              <w:t>. More detailed input on some of the subjects covered is being input to the groups dealing with the respective subject</w:t>
            </w:r>
            <w:r w:rsidR="00E2376B" w:rsidRPr="00523220">
              <w:t>s</w:t>
            </w:r>
            <w:r w:rsidRPr="00523220">
              <w:t>.</w:t>
            </w:r>
          </w:p>
          <w:p w:rsidR="00525224" w:rsidRDefault="00525224" w:rsidP="001E0E49">
            <w:r>
              <w:t xml:space="preserve">On DA2GC: the ECC </w:t>
            </w:r>
            <w:r w:rsidR="00F3272D">
              <w:t xml:space="preserve">is requested to </w:t>
            </w:r>
            <w:r>
              <w:t xml:space="preserve">consider whether </w:t>
            </w:r>
            <w:r w:rsidR="00CA3E85">
              <w:t xml:space="preserve">it is appropriate to assign </w:t>
            </w:r>
            <w:r>
              <w:t xml:space="preserve">a task </w:t>
            </w:r>
            <w:r w:rsidRPr="00525224">
              <w:t xml:space="preserve">to investigate </w:t>
            </w:r>
            <w:r w:rsidR="00CA3E85">
              <w:t xml:space="preserve">more </w:t>
            </w:r>
            <w:r w:rsidR="00E57F73">
              <w:t xml:space="preserve">thoroughly </w:t>
            </w:r>
            <w:r w:rsidRPr="00525224">
              <w:t>th</w:t>
            </w:r>
            <w:r w:rsidR="00CA3E85">
              <w:t xml:space="preserve">e use of frequencies </w:t>
            </w:r>
            <w:r w:rsidR="00E57F73">
              <w:t>above</w:t>
            </w:r>
            <w:r w:rsidR="00CA3E85">
              <w:t xml:space="preserve"> 6 GHz</w:t>
            </w:r>
            <w:r w:rsidR="00E57F73">
              <w:t>,</w:t>
            </w:r>
            <w:r w:rsidR="00CA3E85">
              <w:t xml:space="preserve"> such as the ones under the NPRM of the FCC (13-66).</w:t>
            </w:r>
          </w:p>
          <w:p w:rsidR="007E4E9A" w:rsidRDefault="007E4E9A" w:rsidP="001E0E49">
            <w:r>
              <w:t>The development on LTE in licen</w:t>
            </w:r>
            <w:r w:rsidR="00E57F73">
              <w:t>c</w:t>
            </w:r>
            <w:r>
              <w:t>e</w:t>
            </w:r>
            <w:r w:rsidR="00E57F73">
              <w:t>-exempt</w:t>
            </w:r>
            <w:r>
              <w:t xml:space="preserve"> spectrum in 5 GHz should be noted with regard to the  future activities under the 5GHz mandate;</w:t>
            </w:r>
          </w:p>
          <w:p w:rsidR="00E2376B" w:rsidRPr="00523220" w:rsidRDefault="00690A9D" w:rsidP="000403A2">
            <w:r w:rsidRPr="00523220">
              <w:t xml:space="preserve">Several </w:t>
            </w:r>
            <w:r w:rsidR="00980A99" w:rsidRPr="00523220">
              <w:t xml:space="preserve">of the </w:t>
            </w:r>
            <w:r w:rsidRPr="00523220">
              <w:t xml:space="preserve">issues </w:t>
            </w:r>
            <w:r w:rsidR="00154CD8">
              <w:t xml:space="preserve">covered in this bulletin </w:t>
            </w:r>
            <w:r w:rsidR="00980A99" w:rsidRPr="00523220">
              <w:t>should be noted or discussed at the respective WG/ PT level</w:t>
            </w:r>
            <w:r w:rsidR="00154CD8">
              <w:t xml:space="preserve">. This includes </w:t>
            </w:r>
            <w:r w:rsidR="00980A99" w:rsidRPr="00523220">
              <w:t xml:space="preserve">information related to </w:t>
            </w:r>
            <w:r w:rsidR="00677187">
              <w:t xml:space="preserve">DA2GC, </w:t>
            </w:r>
            <w:r w:rsidR="00F3272D">
              <w:t xml:space="preserve">MFCN related, BB-PPDR related, PMR related, TVWS related, </w:t>
            </w:r>
            <w:proofErr w:type="gramStart"/>
            <w:r w:rsidR="00F3272D">
              <w:t>3.5 GHz FWA related, ITS-WAS/RLAN</w:t>
            </w:r>
            <w:proofErr w:type="gramEnd"/>
            <w:r w:rsidR="00F3272D">
              <w:t xml:space="preserve"> in 5.8 GHz related.</w:t>
            </w:r>
            <w:r w:rsidR="00980A99" w:rsidRPr="00523220">
              <w:t xml:space="preserve"> </w:t>
            </w:r>
          </w:p>
        </w:tc>
      </w:tr>
      <w:tr w:rsidR="001E0E49" w:rsidRPr="00523220" w:rsidTr="004002F7">
        <w:trPr>
          <w:cantSplit/>
          <w:trHeight w:val="431"/>
        </w:trPr>
        <w:tc>
          <w:tcPr>
            <w:tcW w:w="9640" w:type="dxa"/>
            <w:tcBorders>
              <w:bottom w:val="nil"/>
            </w:tcBorders>
          </w:tcPr>
          <w:p w:rsidR="001E0E49" w:rsidRPr="00523220" w:rsidRDefault="001E0E49" w:rsidP="001E0E49">
            <w:pPr>
              <w:pStyle w:val="Kopfzeile1"/>
            </w:pPr>
            <w:r w:rsidRPr="00523220">
              <w:t>Background:</w:t>
            </w:r>
            <w:r w:rsidR="00ED7AEC" w:rsidRPr="00523220">
              <w:t xml:space="preserve"> </w:t>
            </w:r>
          </w:p>
        </w:tc>
      </w:tr>
      <w:tr w:rsidR="001E0E49" w:rsidRPr="00523220" w:rsidTr="004002F7">
        <w:trPr>
          <w:cantSplit/>
          <w:trHeight w:val="784"/>
        </w:trPr>
        <w:tc>
          <w:tcPr>
            <w:tcW w:w="9640" w:type="dxa"/>
            <w:tcBorders>
              <w:top w:val="nil"/>
              <w:bottom w:val="single" w:sz="4" w:space="0" w:color="auto"/>
            </w:tcBorders>
          </w:tcPr>
          <w:p w:rsidR="000B27FA" w:rsidRPr="00523220" w:rsidRDefault="00A82B1F" w:rsidP="004002F7">
            <w:pPr>
              <w:rPr>
                <w:bCs/>
                <w:szCs w:val="24"/>
              </w:rPr>
            </w:pPr>
            <w:r w:rsidRPr="00523220">
              <w:rPr>
                <w:bCs/>
                <w:szCs w:val="24"/>
              </w:rPr>
              <w:t xml:space="preserve">The Office brings to each ECC meeting a bulletin on activities in radio communications in other world regions, where a regulatory dimension is raised (e.g. by innovative services or technology). </w:t>
            </w:r>
          </w:p>
          <w:p w:rsidR="001E0E49" w:rsidRPr="00523220" w:rsidRDefault="00A82B1F" w:rsidP="004002F7">
            <w:pPr>
              <w:rPr>
                <w:bCs/>
                <w:szCs w:val="24"/>
              </w:rPr>
            </w:pPr>
            <w:r w:rsidRPr="00523220">
              <w:rPr>
                <w:bCs/>
                <w:szCs w:val="24"/>
              </w:rPr>
              <w:t>The primary objective is to identify whether the ECC needs to investigate further or consider possible new actions. A secondary but more frequently addressed objective is to enable comparison to be made with the regulatory approach in other regions to subjects already treated by the ECC (including, where relevant, to the work of the CPG).</w:t>
            </w:r>
          </w:p>
        </w:tc>
      </w:tr>
    </w:tbl>
    <w:p w:rsidR="00E43F97" w:rsidRPr="00523220" w:rsidRDefault="00E43F97" w:rsidP="00E71841">
      <w:pPr>
        <w:ind w:left="360"/>
        <w:rPr>
          <w:b/>
          <w:sz w:val="28"/>
          <w:szCs w:val="28"/>
        </w:rPr>
      </w:pPr>
    </w:p>
    <w:p w:rsidR="00E71841" w:rsidRPr="00523220" w:rsidRDefault="00E43F97" w:rsidP="00E71841">
      <w:pPr>
        <w:ind w:left="360"/>
        <w:rPr>
          <w:b/>
          <w:sz w:val="28"/>
          <w:szCs w:val="28"/>
        </w:rPr>
      </w:pPr>
      <w:r w:rsidRPr="00523220">
        <w:rPr>
          <w:b/>
          <w:sz w:val="28"/>
          <w:szCs w:val="28"/>
        </w:rPr>
        <w:br w:type="page"/>
      </w:r>
    </w:p>
    <w:p w:rsidR="00916B79" w:rsidRPr="00523220" w:rsidRDefault="00322C20" w:rsidP="00697E9B">
      <w:pPr>
        <w:pStyle w:val="ListParagraph"/>
        <w:numPr>
          <w:ilvl w:val="0"/>
          <w:numId w:val="33"/>
        </w:numPr>
        <w:spacing w:after="0"/>
        <w:rPr>
          <w:b/>
          <w:sz w:val="28"/>
          <w:szCs w:val="28"/>
        </w:rPr>
      </w:pPr>
      <w:r>
        <w:rPr>
          <w:b/>
          <w:sz w:val="28"/>
          <w:szCs w:val="28"/>
        </w:rPr>
        <w:lastRenderedPageBreak/>
        <w:t>Developments in Direct-Air-to-Ground Communications</w:t>
      </w:r>
    </w:p>
    <w:p w:rsidR="00697E9B" w:rsidRDefault="00697E9B" w:rsidP="00697E9B"/>
    <w:p w:rsidR="006078DF" w:rsidRDefault="006078DF" w:rsidP="00322C20">
      <w:r>
        <w:t xml:space="preserve">There has been a succession of related but seemingly contradictory developments in relation to DA2G in the USA.   Firstly, an agreement made between AT&amp;T in relation to its proposed DA2G service at 2.3 GHz, and then a reported cooling of AT&amp;T’s intention to launch.  </w:t>
      </w:r>
    </w:p>
    <w:p w:rsidR="00322C20" w:rsidRPr="00322C20" w:rsidRDefault="00322C20" w:rsidP="00322C20">
      <w:r w:rsidRPr="00322C20">
        <w:t xml:space="preserve">Paul/Weiss – Lawyers in Washington DC informed on 26 September 2014 that AT&amp;T and Sirius XM reached an agreement on </w:t>
      </w:r>
      <w:r>
        <w:t>the u</w:t>
      </w:r>
      <w:r w:rsidRPr="00322C20">
        <w:t xml:space="preserve">se of </w:t>
      </w:r>
      <w:r w:rsidR="008C3FDF">
        <w:t xml:space="preserve">2.3 GHz </w:t>
      </w:r>
      <w:r w:rsidRPr="00322C20">
        <w:t>WCS</w:t>
      </w:r>
      <w:r w:rsidR="008C3FDF">
        <w:t xml:space="preserve"> (Wireless Communication Service – equivalent to MFCN in Europe</w:t>
      </w:r>
      <w:r w:rsidR="006078DF">
        <w:t>)</w:t>
      </w:r>
      <w:r w:rsidR="008C3FDF">
        <w:t xml:space="preserve"> - </w:t>
      </w:r>
      <w:r w:rsidRPr="00322C20">
        <w:t xml:space="preserve"> Spectrum for Air-to-Ground Service</w:t>
      </w:r>
      <w:r w:rsidR="00CF4265">
        <w:t>.  Below we reproduce the significant parts of their statement</w:t>
      </w:r>
      <w:r w:rsidR="006078DF">
        <w:t>, interesting for three reasons: (</w:t>
      </w:r>
      <w:proofErr w:type="spellStart"/>
      <w:r w:rsidR="006078DF">
        <w:t>i</w:t>
      </w:r>
      <w:proofErr w:type="spellEnd"/>
      <w:r w:rsidR="006078DF">
        <w:t xml:space="preserve">) covering how a </w:t>
      </w:r>
      <w:proofErr w:type="spellStart"/>
      <w:r w:rsidR="006078DF">
        <w:t>specrum</w:t>
      </w:r>
      <w:proofErr w:type="spellEnd"/>
      <w:r w:rsidR="006078DF">
        <w:t xml:space="preserve"> sharing agreement was </w:t>
      </w:r>
      <w:proofErr w:type="spellStart"/>
      <w:r w:rsidR="006078DF">
        <w:t>cconcluded</w:t>
      </w:r>
      <w:proofErr w:type="spellEnd"/>
      <w:r w:rsidR="006078DF">
        <w:t xml:space="preserve"> between two parties, (ii) how it was presented as beneficial by its proponents, and (iii) how it was received by other parties in the market.</w:t>
      </w:r>
    </w:p>
    <w:p w:rsidR="00322C20" w:rsidRPr="00322C20" w:rsidRDefault="00322C20" w:rsidP="00322C20">
      <w:pPr>
        <w:ind w:left="567"/>
        <w:rPr>
          <w:i/>
        </w:rPr>
      </w:pPr>
      <w:r w:rsidRPr="00322C20">
        <w:rPr>
          <w:i/>
        </w:rPr>
        <w:t xml:space="preserve">This week, AT&amp;T and Sirius XM Radio filed a coordination agreement with the FCC to facilitate AT&amp;T’s proposal to use wireless communications service (WCS) spectrum in the 2.3 GHz band in support of AT&amp;T’s planned LTE in-flight connectivity service. The agreement corresponds to a rulemaking petition in which AT&amp;T recently asked the FCC to modify Part 27 of the agency’s rules to permit usage of 2.3 GHz WCS C- and D-block spectrum for in-flight connection services. Comments on the petition were due to be filed at the FCC on Monday. </w:t>
      </w:r>
    </w:p>
    <w:p w:rsidR="00322C20" w:rsidRPr="00322C20" w:rsidRDefault="00322C20" w:rsidP="00322C20">
      <w:pPr>
        <w:ind w:left="567"/>
        <w:rPr>
          <w:i/>
        </w:rPr>
      </w:pPr>
      <w:r w:rsidRPr="00322C20">
        <w:rPr>
          <w:i/>
        </w:rPr>
        <w:t xml:space="preserve">To protect the satellite digital audio radio service transmissions of Sirius XM, which uses channels adjacent to the 2.3 GHz band, AT&amp;T proposed rules to "include restrictions on transmitter power levels, limits on out-of-band emissions, and specific requirements for coordination with Sirius." As such, AT&amp;T claimed that a grant of the petition "will serve the public interest by permitting a robust, nationwide deployment of AT&amp;T’s innovative in-flight connectivity service using currently fallow spectrum while at the same time preserving adequate interference protection to users of adjacent bands." </w:t>
      </w:r>
    </w:p>
    <w:p w:rsidR="00322C20" w:rsidRPr="00322C20" w:rsidRDefault="00322C20" w:rsidP="00322C20">
      <w:pPr>
        <w:ind w:left="567"/>
        <w:rPr>
          <w:i/>
        </w:rPr>
      </w:pPr>
      <w:r w:rsidRPr="00322C20">
        <w:rPr>
          <w:i/>
        </w:rPr>
        <w:t xml:space="preserve">In their joint filing, AT&amp;T and Sirius explained that their agreement "reflects the results of joint testing recently conducted to determine the technical and operational environment in which AT&amp;T’s proposed air-to-ground service in the WCS band is predicted not to interfere with Sirius XM’s satellite radio service." Adding that the agreement also "provides a framework for coordination and cooperation between AT&amp;T and Sirius XM," the parties asked the FCC to "revise its rules in a manner consistent with the agreement to ensure that Sirius XM service will be adequately protected." </w:t>
      </w:r>
    </w:p>
    <w:p w:rsidR="00322C20" w:rsidRDefault="00322C20" w:rsidP="00322C20">
      <w:pPr>
        <w:ind w:left="567"/>
        <w:rPr>
          <w:i/>
        </w:rPr>
      </w:pPr>
      <w:r w:rsidRPr="00322C20">
        <w:rPr>
          <w:i/>
        </w:rPr>
        <w:t xml:space="preserve">Comments filed by other parties, however, struck a cautious tone. Warning that a grant of the petition could allow AT&amp;T "to become the exclusive means to backhaul wireless traffic from aircraft," the Competitive Carriers Association urged the FCC to "consider the competitive concerns that AT&amp;T’s likely exclusive arrangement plus its status as a dominant provider of terrestrial services will create both with respect to its provision of access to Wi-Fi and carrier provided services." While taking "no position as to whether . . . [AT&amp;T] spectrum should be used for in-flight connectivity," </w:t>
      </w:r>
      <w:proofErr w:type="spellStart"/>
      <w:r w:rsidRPr="00322C20">
        <w:rPr>
          <w:i/>
        </w:rPr>
        <w:t>Gogo</w:t>
      </w:r>
      <w:proofErr w:type="spellEnd"/>
      <w:r w:rsidRPr="00322C20">
        <w:rPr>
          <w:i/>
        </w:rPr>
        <w:t xml:space="preserve">, Inc., a provider of in-flight communications services, recommended that "all proposed new rules . . . should be consistent with those </w:t>
      </w:r>
      <w:r w:rsidR="006078DF">
        <w:rPr>
          <w:i/>
        </w:rPr>
        <w:t xml:space="preserve">(already) </w:t>
      </w:r>
      <w:r w:rsidRPr="00322C20">
        <w:rPr>
          <w:i/>
        </w:rPr>
        <w:t>adopted</w:t>
      </w:r>
      <w:r w:rsidR="008C3FDF">
        <w:rPr>
          <w:i/>
        </w:rPr>
        <w:t xml:space="preserve"> </w:t>
      </w:r>
      <w:r w:rsidR="006078DF">
        <w:rPr>
          <w:i/>
        </w:rPr>
        <w:t xml:space="preserve">earlier”.  These were rules about competition.  </w:t>
      </w:r>
    </w:p>
    <w:p w:rsidR="00322C20" w:rsidRDefault="00322C20" w:rsidP="00322C20">
      <w:pPr>
        <w:ind w:left="567"/>
        <w:rPr>
          <w:i/>
        </w:rPr>
      </w:pPr>
    </w:p>
    <w:p w:rsidR="00322C20" w:rsidRDefault="00322C20" w:rsidP="008D2BDA">
      <w:pPr>
        <w:jc w:val="left"/>
      </w:pPr>
      <w:r w:rsidRPr="008D2BDA">
        <w:t>The last hint</w:t>
      </w:r>
      <w:r w:rsidR="008D2BDA">
        <w:t>/statement</w:t>
      </w:r>
      <w:r w:rsidRPr="008D2BDA">
        <w:t xml:space="preserve"> may point to the on-going NPRM process at the FCC</w:t>
      </w:r>
      <w:r w:rsidR="008D2BDA" w:rsidRPr="008D2BDA">
        <w:t xml:space="preserve"> (already reported in a previous ECO bulletin)</w:t>
      </w:r>
      <w:r w:rsidRPr="008D2BDA">
        <w:t xml:space="preserve">, Air-Ground Mobile Broadband NPRM, </w:t>
      </w:r>
      <w:proofErr w:type="gramStart"/>
      <w:r w:rsidRPr="008D2BDA">
        <w:t>FCC</w:t>
      </w:r>
      <w:proofErr w:type="gramEnd"/>
      <w:r w:rsidRPr="008D2BDA">
        <w:t xml:space="preserve"> 13-66, see also:</w:t>
      </w:r>
      <w:r w:rsidRPr="00322C20">
        <w:rPr>
          <w:i/>
        </w:rPr>
        <w:t xml:space="preserve"> </w:t>
      </w:r>
      <w:hyperlink r:id="rId10" w:history="1">
        <w:r w:rsidRPr="00F27AFE">
          <w:rPr>
            <w:rStyle w:val="Hyperlink"/>
            <w:i/>
          </w:rPr>
          <w:t>http://apps.fcc.gov/ecfs/document/view?id=7520957401</w:t>
        </w:r>
      </w:hyperlink>
      <w:r>
        <w:rPr>
          <w:i/>
        </w:rPr>
        <w:t xml:space="preserve"> </w:t>
      </w:r>
      <w:r w:rsidR="008D2BDA" w:rsidRPr="008D2BDA">
        <w:t>(a document from Qualcomm, the original proposal maker</w:t>
      </w:r>
      <w:r w:rsidR="008D2BDA">
        <w:t xml:space="preserve">, on the on-going studies to use </w:t>
      </w:r>
      <w:r w:rsidR="008D2BDA" w:rsidRPr="008D2BDA">
        <w:t>Ku-Band FSS frequencies also for DA2GC in the future</w:t>
      </w:r>
      <w:r w:rsidR="008D2BDA">
        <w:t>.</w:t>
      </w:r>
    </w:p>
    <w:p w:rsidR="008D2BDA" w:rsidRDefault="008D2BDA" w:rsidP="008D2BDA">
      <w:pPr>
        <w:jc w:val="left"/>
      </w:pPr>
      <w:r>
        <w:t xml:space="preserve">The NPRM process in the USA may lead to a spectrum auction process at a later stage (e.g. close to the end of the ‘first generation </w:t>
      </w:r>
      <w:r w:rsidR="000403A2">
        <w:t>‘</w:t>
      </w:r>
      <w:proofErr w:type="spellStart"/>
      <w:r w:rsidR="000403A2">
        <w:t>G</w:t>
      </w:r>
      <w:r>
        <w:t>ogo</w:t>
      </w:r>
      <w:proofErr w:type="spellEnd"/>
      <w:r>
        <w:t xml:space="preserve"> license</w:t>
      </w:r>
      <w:r w:rsidR="000403A2">
        <w:t>’</w:t>
      </w:r>
      <w:r>
        <w:t xml:space="preserve"> in 2016) with implementations to arrive in the market some time later (but most likely not before or by the end of 2017 as indicated as crucial for example in CEPT Report 52). Provided positive conclusions of the on-going studies are in place</w:t>
      </w:r>
      <w:r w:rsidR="006F3CB3">
        <w:t xml:space="preserve"> in the future</w:t>
      </w:r>
      <w:r>
        <w:t xml:space="preserve">, </w:t>
      </w:r>
      <w:r w:rsidR="006F3CB3">
        <w:t xml:space="preserve">be the subject of </w:t>
      </w:r>
      <w:r>
        <w:t xml:space="preserve">2x250 MHz or </w:t>
      </w:r>
      <w:r w:rsidR="006F3CB3">
        <w:t xml:space="preserve">even up to 4 x 125 MHz of such a decision. The ‘incumbent’ </w:t>
      </w:r>
      <w:proofErr w:type="spellStart"/>
      <w:proofErr w:type="gramStart"/>
      <w:r w:rsidR="006F3CB3">
        <w:t>Gogo</w:t>
      </w:r>
      <w:proofErr w:type="spellEnd"/>
      <w:proofErr w:type="gramEnd"/>
      <w:r w:rsidR="006F3CB3">
        <w:t xml:space="preserve"> service’s position was released in  </w:t>
      </w:r>
    </w:p>
    <w:p w:rsidR="008D2BDA" w:rsidRDefault="002A094E" w:rsidP="008D2BDA">
      <w:pPr>
        <w:jc w:val="left"/>
      </w:pPr>
      <w:hyperlink r:id="rId11" w:history="1">
        <w:r w:rsidR="008D2BDA" w:rsidRPr="00F27AFE">
          <w:rPr>
            <w:rStyle w:val="Hyperlink"/>
          </w:rPr>
          <w:t>http://www.runwaygirlnetwork.com/2014/07/22/qualcomm-gogo-disagree-spectrum-auction-play/</w:t>
        </w:r>
      </w:hyperlink>
      <w:r w:rsidR="008D2BDA">
        <w:t xml:space="preserve"> </w:t>
      </w:r>
    </w:p>
    <w:p w:rsidR="008D2BDA" w:rsidRPr="006F3CB3" w:rsidRDefault="006F3CB3" w:rsidP="008D2BDA">
      <w:pPr>
        <w:jc w:val="left"/>
        <w:rPr>
          <w:b/>
          <w:i/>
        </w:rPr>
      </w:pPr>
      <w:r w:rsidRPr="002A094E">
        <w:rPr>
          <w:i/>
        </w:rPr>
        <w:t>‘</w:t>
      </w:r>
      <w:proofErr w:type="spellStart"/>
      <w:r w:rsidRPr="002A094E">
        <w:rPr>
          <w:i/>
        </w:rPr>
        <w:t>Gogo</w:t>
      </w:r>
      <w:proofErr w:type="spellEnd"/>
      <w:r w:rsidRPr="002A094E">
        <w:rPr>
          <w:i/>
        </w:rPr>
        <w:t xml:space="preserve"> wants the FCC to split the band into four 125 MHz-wide spectrum licenses, arguing that there are enough interested parties to support a four-license auction</w:t>
      </w:r>
      <w:r w:rsidRPr="006F3CB3">
        <w:rPr>
          <w:b/>
          <w:i/>
        </w:rPr>
        <w:t>.</w:t>
      </w:r>
      <w:r>
        <w:rPr>
          <w:b/>
          <w:i/>
        </w:rPr>
        <w:t>’</w:t>
      </w:r>
    </w:p>
    <w:p w:rsidR="008D2BDA" w:rsidRPr="00322C20" w:rsidRDefault="002A094E" w:rsidP="008D2BDA">
      <w:pPr>
        <w:jc w:val="left"/>
      </w:pPr>
      <w:hyperlink r:id="rId12" w:history="1">
        <w:r w:rsidR="006F3CB3" w:rsidRPr="00F27AFE">
          <w:rPr>
            <w:rStyle w:val="Hyperlink"/>
          </w:rPr>
          <w:t>http://smartskynetworks.com/</w:t>
        </w:r>
      </w:hyperlink>
      <w:r w:rsidR="006F3CB3">
        <w:t xml:space="preserve"> might be one of the new interested parties.</w:t>
      </w:r>
    </w:p>
    <w:p w:rsidR="002A094E" w:rsidRDefault="002A094E" w:rsidP="00322C20">
      <w:pPr>
        <w:spacing w:before="100" w:beforeAutospacing="1" w:after="100" w:afterAutospacing="1"/>
        <w:jc w:val="left"/>
        <w:rPr>
          <w:rFonts w:cs="Arial"/>
          <w:color w:val="000000"/>
          <w:szCs w:val="22"/>
          <w:lang w:val="en-US"/>
        </w:rPr>
      </w:pPr>
      <w:r>
        <w:rPr>
          <w:rFonts w:cs="Arial"/>
          <w:color w:val="000000"/>
          <w:szCs w:val="22"/>
          <w:lang w:val="en-US"/>
        </w:rPr>
        <w:t>Then shortly afterwards:</w:t>
      </w:r>
    </w:p>
    <w:p w:rsidR="00322C20" w:rsidRPr="003B3DE3" w:rsidRDefault="006F3CB3" w:rsidP="00322C20">
      <w:pPr>
        <w:spacing w:before="100" w:beforeAutospacing="1" w:after="100" w:afterAutospacing="1"/>
        <w:jc w:val="left"/>
        <w:rPr>
          <w:rFonts w:cs="Arial"/>
          <w:color w:val="000000"/>
          <w:szCs w:val="22"/>
          <w:lang w:val="en-US"/>
        </w:rPr>
      </w:pPr>
      <w:r w:rsidRPr="003B3DE3">
        <w:rPr>
          <w:rFonts w:cs="Arial"/>
          <w:color w:val="000000"/>
          <w:szCs w:val="22"/>
          <w:lang w:val="en-US"/>
        </w:rPr>
        <w:t>This development</w:t>
      </w:r>
      <w:r w:rsidR="00EC0104" w:rsidRPr="003B3DE3">
        <w:rPr>
          <w:rFonts w:cs="Arial"/>
          <w:color w:val="000000"/>
          <w:szCs w:val="22"/>
          <w:lang w:val="en-US"/>
        </w:rPr>
        <w:t xml:space="preserve">, investor </w:t>
      </w:r>
      <w:proofErr w:type="gramStart"/>
      <w:r w:rsidR="00EC0104" w:rsidRPr="003B3DE3">
        <w:rPr>
          <w:rFonts w:cs="Arial"/>
          <w:color w:val="000000"/>
          <w:szCs w:val="22"/>
          <w:lang w:val="en-US"/>
        </w:rPr>
        <w:t xml:space="preserve">constellations </w:t>
      </w:r>
      <w:r w:rsidRPr="003B3DE3">
        <w:rPr>
          <w:rFonts w:cs="Arial"/>
          <w:color w:val="000000"/>
          <w:szCs w:val="22"/>
          <w:lang w:val="en-US"/>
        </w:rPr>
        <w:t xml:space="preserve"> and</w:t>
      </w:r>
      <w:proofErr w:type="gramEnd"/>
      <w:r w:rsidRPr="003B3DE3">
        <w:rPr>
          <w:rFonts w:cs="Arial"/>
          <w:color w:val="000000"/>
          <w:szCs w:val="22"/>
          <w:lang w:val="en-US"/>
        </w:rPr>
        <w:t xml:space="preserve"> the </w:t>
      </w:r>
      <w:r w:rsidR="002A094E">
        <w:rPr>
          <w:rFonts w:cs="Arial"/>
          <w:color w:val="000000"/>
          <w:szCs w:val="22"/>
          <w:lang w:val="en-US"/>
        </w:rPr>
        <w:t xml:space="preserve">prospect </w:t>
      </w:r>
      <w:proofErr w:type="spellStart"/>
      <w:r w:rsidR="002A094E">
        <w:rPr>
          <w:rFonts w:cs="Arial"/>
          <w:color w:val="000000"/>
          <w:szCs w:val="22"/>
          <w:lang w:val="en-US"/>
        </w:rPr>
        <w:t>of</w:t>
      </w:r>
      <w:r w:rsidRPr="003B3DE3">
        <w:rPr>
          <w:rFonts w:cs="Arial"/>
          <w:color w:val="000000"/>
          <w:szCs w:val="22"/>
          <w:lang w:val="en-US"/>
        </w:rPr>
        <w:t>more</w:t>
      </w:r>
      <w:proofErr w:type="spellEnd"/>
      <w:r w:rsidRPr="003B3DE3">
        <w:rPr>
          <w:rFonts w:cs="Arial"/>
          <w:color w:val="000000"/>
          <w:szCs w:val="22"/>
          <w:lang w:val="en-US"/>
        </w:rPr>
        <w:t xml:space="preserve"> competition in the future in the DA2GC market may have caused </w:t>
      </w:r>
      <w:r w:rsidRPr="003B3DE3">
        <w:rPr>
          <w:rFonts w:cs="Arial"/>
          <w:b/>
          <w:color w:val="000000"/>
          <w:szCs w:val="22"/>
          <w:lang w:val="en-US"/>
        </w:rPr>
        <w:t>AT&amp;T to back off from using the 2.3 GHz WCS frequencies</w:t>
      </w:r>
      <w:r w:rsidR="00EC0104" w:rsidRPr="003B3DE3">
        <w:rPr>
          <w:rFonts w:cs="Arial"/>
          <w:b/>
          <w:color w:val="000000"/>
          <w:szCs w:val="22"/>
          <w:lang w:val="en-US"/>
        </w:rPr>
        <w:t xml:space="preserve"> for DA2GC</w:t>
      </w:r>
      <w:r w:rsidR="008C3FDF">
        <w:rPr>
          <w:rFonts w:cs="Arial"/>
          <w:b/>
          <w:color w:val="000000"/>
          <w:szCs w:val="22"/>
          <w:lang w:val="en-US"/>
        </w:rPr>
        <w:t xml:space="preserve">, only a month later after reaching agreement with XM Radio </w:t>
      </w:r>
      <w:r w:rsidRPr="003B3DE3">
        <w:rPr>
          <w:rFonts w:cs="Arial"/>
          <w:color w:val="000000"/>
          <w:szCs w:val="22"/>
          <w:lang w:val="en-US"/>
        </w:rPr>
        <w:t>:</w:t>
      </w:r>
    </w:p>
    <w:p w:rsidR="006F3CB3" w:rsidRDefault="002A094E" w:rsidP="00322C20">
      <w:pPr>
        <w:spacing w:before="100" w:beforeAutospacing="1" w:after="100" w:afterAutospacing="1"/>
        <w:jc w:val="left"/>
        <w:rPr>
          <w:rFonts w:ascii="Tahoma" w:hAnsi="Tahoma" w:cs="Tahoma"/>
          <w:color w:val="000000"/>
          <w:sz w:val="20"/>
          <w:lang w:val="en-US"/>
        </w:rPr>
      </w:pPr>
      <w:hyperlink r:id="rId13" w:history="1">
        <w:r w:rsidR="006F3CB3" w:rsidRPr="00F27AFE">
          <w:rPr>
            <w:rStyle w:val="Hyperlink"/>
            <w:rFonts w:ascii="Tahoma" w:hAnsi="Tahoma" w:cs="Tahoma"/>
            <w:sz w:val="20"/>
            <w:lang w:val="en-US"/>
          </w:rPr>
          <w:t>http://www.bbc.com/news/business-3</w:t>
        </w:r>
        <w:bookmarkStart w:id="0" w:name="_GoBack"/>
        <w:bookmarkEnd w:id="0"/>
        <w:r w:rsidR="006F3CB3" w:rsidRPr="00F27AFE">
          <w:rPr>
            <w:rStyle w:val="Hyperlink"/>
            <w:rFonts w:ascii="Tahoma" w:hAnsi="Tahoma" w:cs="Tahoma"/>
            <w:sz w:val="20"/>
            <w:lang w:val="en-US"/>
          </w:rPr>
          <w:t>0011133</w:t>
        </w:r>
      </w:hyperlink>
      <w:r w:rsidR="006F3CB3">
        <w:rPr>
          <w:rFonts w:ascii="Tahoma" w:hAnsi="Tahoma" w:cs="Tahoma"/>
          <w:color w:val="000000"/>
          <w:sz w:val="20"/>
          <w:lang w:val="en-US"/>
        </w:rPr>
        <w:t xml:space="preserve"> </w:t>
      </w:r>
    </w:p>
    <w:p w:rsidR="00EC0104" w:rsidRPr="003B3DE3" w:rsidRDefault="00EC0104" w:rsidP="00322C20">
      <w:pPr>
        <w:spacing w:before="100" w:beforeAutospacing="1" w:after="100" w:afterAutospacing="1"/>
        <w:jc w:val="left"/>
        <w:rPr>
          <w:rFonts w:cs="Arial"/>
          <w:color w:val="000000"/>
          <w:szCs w:val="22"/>
          <w:lang w:val="en-US"/>
        </w:rPr>
      </w:pPr>
      <w:r w:rsidRPr="003B3DE3">
        <w:rPr>
          <w:rFonts w:cs="Arial"/>
          <w:color w:val="000000"/>
          <w:szCs w:val="22"/>
          <w:lang w:val="en-US"/>
        </w:rPr>
        <w:t>(</w:t>
      </w:r>
      <w:proofErr w:type="gramStart"/>
      <w:r w:rsidRPr="003B3DE3">
        <w:rPr>
          <w:rFonts w:cs="Arial"/>
          <w:color w:val="000000"/>
          <w:szCs w:val="22"/>
          <w:lang w:val="en-US"/>
        </w:rPr>
        <w:t>please</w:t>
      </w:r>
      <w:proofErr w:type="gramEnd"/>
      <w:r w:rsidRPr="003B3DE3">
        <w:rPr>
          <w:rFonts w:cs="Arial"/>
          <w:color w:val="000000"/>
          <w:szCs w:val="22"/>
          <w:lang w:val="en-US"/>
        </w:rPr>
        <w:t xml:space="preserve"> note that some statements in this article are not confirmed, e.g. the position of British Airways who also responded </w:t>
      </w:r>
      <w:r w:rsidR="00F0785D" w:rsidRPr="003B3DE3">
        <w:rPr>
          <w:rFonts w:cs="Arial"/>
          <w:color w:val="000000"/>
          <w:szCs w:val="22"/>
          <w:lang w:val="en-US"/>
        </w:rPr>
        <w:t xml:space="preserve">at </w:t>
      </w:r>
      <w:r w:rsidRPr="003B3DE3">
        <w:rPr>
          <w:rFonts w:cs="Arial"/>
          <w:color w:val="000000"/>
          <w:szCs w:val="22"/>
          <w:lang w:val="en-US"/>
        </w:rPr>
        <w:t>the PC</w:t>
      </w:r>
      <w:r w:rsidR="00F0785D" w:rsidRPr="003B3DE3">
        <w:rPr>
          <w:rFonts w:cs="Arial"/>
          <w:color w:val="000000"/>
          <w:szCs w:val="22"/>
          <w:lang w:val="en-US"/>
        </w:rPr>
        <w:t xml:space="preserve"> process for CEPT Report 52 – keeping their opens open with regard to the future D2GC solutions and certainly not fixed to one system at this stage)</w:t>
      </w:r>
    </w:p>
    <w:p w:rsidR="00EC0104" w:rsidRPr="003B3DE3" w:rsidRDefault="00EC0104" w:rsidP="00322C20">
      <w:pPr>
        <w:spacing w:before="100" w:beforeAutospacing="1" w:after="100" w:afterAutospacing="1"/>
        <w:jc w:val="left"/>
        <w:rPr>
          <w:rFonts w:cs="Arial"/>
          <w:color w:val="000000"/>
          <w:szCs w:val="22"/>
          <w:lang w:val="en-US"/>
        </w:rPr>
      </w:pPr>
      <w:r w:rsidRPr="003B3DE3">
        <w:rPr>
          <w:rFonts w:cs="Arial"/>
          <w:color w:val="000000"/>
          <w:szCs w:val="22"/>
          <w:lang w:val="en-US"/>
        </w:rPr>
        <w:t xml:space="preserve">The situation </w:t>
      </w:r>
      <w:r w:rsidR="00F0785D" w:rsidRPr="003B3DE3">
        <w:rPr>
          <w:rFonts w:cs="Arial"/>
          <w:color w:val="000000"/>
          <w:szCs w:val="22"/>
          <w:lang w:val="en-US"/>
        </w:rPr>
        <w:t xml:space="preserve">in the USA </w:t>
      </w:r>
      <w:r w:rsidRPr="003B3DE3">
        <w:rPr>
          <w:rFonts w:cs="Arial"/>
          <w:color w:val="000000"/>
          <w:szCs w:val="22"/>
          <w:lang w:val="en-US"/>
        </w:rPr>
        <w:t xml:space="preserve">would have AT&amp;T left </w:t>
      </w:r>
      <w:r w:rsidR="00F0785D" w:rsidRPr="003B3DE3">
        <w:rPr>
          <w:rFonts w:cs="Arial"/>
          <w:color w:val="000000"/>
          <w:szCs w:val="22"/>
          <w:lang w:val="en-US"/>
        </w:rPr>
        <w:t xml:space="preserve">in a very risky situation </w:t>
      </w:r>
      <w:r w:rsidRPr="003B3DE3">
        <w:rPr>
          <w:rFonts w:cs="Arial"/>
          <w:color w:val="000000"/>
          <w:szCs w:val="22"/>
          <w:lang w:val="en-US"/>
        </w:rPr>
        <w:t>with a limited time advantage as the ‘second operator’ before other competition may come in using more sophisticated solutions and based on higher capacity bandwidth in Ku-band</w:t>
      </w:r>
      <w:r w:rsidR="00F0785D" w:rsidRPr="003B3DE3">
        <w:rPr>
          <w:rFonts w:cs="Arial"/>
          <w:color w:val="000000"/>
          <w:szCs w:val="22"/>
          <w:lang w:val="en-US"/>
        </w:rPr>
        <w:t xml:space="preserve"> – a time and capacity ‘trap’.</w:t>
      </w:r>
    </w:p>
    <w:p w:rsidR="00EC0104" w:rsidRPr="003B3DE3" w:rsidRDefault="00EC0104" w:rsidP="00322C20">
      <w:pPr>
        <w:spacing w:before="100" w:beforeAutospacing="1" w:after="100" w:afterAutospacing="1"/>
        <w:jc w:val="left"/>
        <w:rPr>
          <w:rFonts w:cs="Arial"/>
          <w:color w:val="000000"/>
          <w:szCs w:val="22"/>
          <w:lang w:val="en-US"/>
        </w:rPr>
      </w:pPr>
      <w:r w:rsidRPr="003B3DE3">
        <w:rPr>
          <w:rFonts w:cs="Arial"/>
          <w:color w:val="000000"/>
          <w:szCs w:val="22"/>
          <w:lang w:val="en-US"/>
        </w:rPr>
        <w:t xml:space="preserve">It should be noted that AT&amp;T also has the possibility to use the 2.3 GHz WCS spectrum terrestrially since modifications of the spectrum </w:t>
      </w:r>
      <w:proofErr w:type="spellStart"/>
      <w:r w:rsidRPr="003B3DE3">
        <w:rPr>
          <w:rFonts w:cs="Arial"/>
          <w:color w:val="000000"/>
          <w:szCs w:val="22"/>
          <w:lang w:val="en-US"/>
        </w:rPr>
        <w:t>utilisation</w:t>
      </w:r>
      <w:proofErr w:type="spellEnd"/>
      <w:r w:rsidRPr="003B3DE3">
        <w:rPr>
          <w:rFonts w:cs="Arial"/>
          <w:color w:val="000000"/>
          <w:szCs w:val="22"/>
          <w:lang w:val="en-US"/>
        </w:rPr>
        <w:t xml:space="preserve"> rules have enabled also MS usage subject to some restrictions (FCC eliminated the power spectral density limit for WCS mobile devices operating in WCS Blocks under certain circumstances, and eliminating the duty cycle requirements for WCS mobile, e.g. AT&amp;T could also use for home nodes and mobile with some remaining DC restrictions (consider that satellite radios are mostly in cars and not homes and a smart duty cycling may provide for improved co-existence).</w:t>
      </w:r>
    </w:p>
    <w:p w:rsidR="00322C20" w:rsidRPr="00322C20" w:rsidRDefault="00EC0104" w:rsidP="00322C20">
      <w:pPr>
        <w:spacing w:before="100" w:beforeAutospacing="1" w:after="100" w:afterAutospacing="1"/>
        <w:jc w:val="left"/>
        <w:rPr>
          <w:rFonts w:ascii="Tahoma" w:hAnsi="Tahoma" w:cs="Tahoma"/>
          <w:color w:val="000000"/>
          <w:sz w:val="20"/>
          <w:lang w:val="en-US"/>
        </w:rPr>
      </w:pPr>
      <w:r w:rsidRPr="003B3DE3">
        <w:rPr>
          <w:rFonts w:cs="Arial"/>
          <w:color w:val="000000"/>
          <w:szCs w:val="22"/>
          <w:lang w:val="en-US"/>
        </w:rPr>
        <w:t>Regarding the usage of the 2 GHz MSS band, the following statements from Inmarsat were note</w:t>
      </w:r>
      <w:r w:rsidR="009E2049">
        <w:rPr>
          <w:rFonts w:cs="Arial"/>
          <w:color w:val="000000"/>
          <w:szCs w:val="22"/>
          <w:lang w:val="en-US"/>
        </w:rPr>
        <w:t>d</w:t>
      </w:r>
      <w:r w:rsidRPr="003B3DE3">
        <w:rPr>
          <w:rFonts w:cs="Arial"/>
          <w:color w:val="000000"/>
          <w:szCs w:val="22"/>
          <w:lang w:val="en-US"/>
        </w:rPr>
        <w:t xml:space="preserve"> on 29 September</w:t>
      </w:r>
      <w:r w:rsidR="00F0785D" w:rsidRPr="003B3DE3">
        <w:rPr>
          <w:rFonts w:cs="Arial"/>
          <w:color w:val="000000"/>
          <w:szCs w:val="22"/>
          <w:lang w:val="en-US"/>
        </w:rPr>
        <w:t xml:space="preserve">; </w:t>
      </w:r>
      <w:r w:rsidR="00322C20" w:rsidRPr="00322C20">
        <w:rPr>
          <w:rFonts w:cs="Arial"/>
          <w:color w:val="000000"/>
          <w:szCs w:val="22"/>
          <w:lang w:val="en-US"/>
        </w:rPr>
        <w:t xml:space="preserve">Inmarsat article in </w:t>
      </w:r>
      <w:r w:rsidR="00F0785D" w:rsidRPr="003B3DE3">
        <w:rPr>
          <w:rFonts w:cs="Arial"/>
          <w:color w:val="000000"/>
          <w:szCs w:val="22"/>
          <w:lang w:val="en-US"/>
        </w:rPr>
        <w:t>S</w:t>
      </w:r>
      <w:r w:rsidR="00322C20" w:rsidRPr="00322C20">
        <w:rPr>
          <w:rFonts w:cs="Arial"/>
          <w:color w:val="000000"/>
          <w:szCs w:val="22"/>
          <w:lang w:val="en-US"/>
        </w:rPr>
        <w:t xml:space="preserve">atellite </w:t>
      </w:r>
      <w:r w:rsidR="00F0785D" w:rsidRPr="003B3DE3">
        <w:rPr>
          <w:rFonts w:cs="Arial"/>
          <w:color w:val="000000"/>
          <w:szCs w:val="22"/>
          <w:lang w:val="en-US"/>
        </w:rPr>
        <w:t>T</w:t>
      </w:r>
      <w:r w:rsidR="00322C20" w:rsidRPr="00322C20">
        <w:rPr>
          <w:rFonts w:cs="Arial"/>
          <w:color w:val="000000"/>
          <w:szCs w:val="22"/>
          <w:lang w:val="en-US"/>
        </w:rPr>
        <w:t>oday (29 September)</w:t>
      </w:r>
      <w:r w:rsidR="00322C20" w:rsidRPr="00322C20">
        <w:rPr>
          <w:rFonts w:ascii="Tahoma" w:hAnsi="Tahoma" w:cs="Tahoma"/>
          <w:color w:val="000000"/>
          <w:sz w:val="20"/>
          <w:shd w:val="clear" w:color="auto" w:fill="FFFFFF"/>
          <w:lang w:val="en-US"/>
        </w:rPr>
        <w:t xml:space="preserve"> </w:t>
      </w:r>
      <w:hyperlink r:id="rId14" w:history="1">
        <w:r w:rsidR="00322C20" w:rsidRPr="00322C20">
          <w:rPr>
            <w:rFonts w:ascii="Tahoma" w:hAnsi="Tahoma" w:cs="Tahoma"/>
            <w:color w:val="0000FF"/>
            <w:sz w:val="20"/>
            <w:u w:val="single"/>
            <w:shd w:val="clear" w:color="auto" w:fill="FFFFFF"/>
            <w:lang w:val="en-US"/>
          </w:rPr>
          <w:t>http://www.satellitetoday.com/telecom/2014/09/29/air-to-ground-essential-for-inmarsats-ifc-plans/</w:t>
        </w:r>
      </w:hyperlink>
    </w:p>
    <w:p w:rsidR="00F0785D" w:rsidRPr="003B3DE3" w:rsidRDefault="00F0785D" w:rsidP="00322C20">
      <w:pPr>
        <w:spacing w:before="100" w:beforeAutospacing="1" w:after="100" w:afterAutospacing="1"/>
        <w:jc w:val="left"/>
        <w:rPr>
          <w:rFonts w:cs="Arial"/>
          <w:color w:val="000000"/>
          <w:szCs w:val="22"/>
          <w:lang w:val="en-US"/>
        </w:rPr>
      </w:pPr>
      <w:r w:rsidRPr="003B3DE3">
        <w:rPr>
          <w:rFonts w:cs="Arial"/>
          <w:color w:val="000000"/>
          <w:szCs w:val="22"/>
          <w:lang w:val="en-US"/>
        </w:rPr>
        <w:t>To amplify the information about future use of higher frequencies (&gt; 6 GHz) for Air-To-Ground usage, a document from the ICAO was noted to include information about test trials, even at frequencies &gt; 40 GHz</w:t>
      </w:r>
      <w:r w:rsidR="00525224" w:rsidRPr="003B3DE3">
        <w:rPr>
          <w:rFonts w:cs="Arial"/>
          <w:color w:val="000000"/>
          <w:szCs w:val="22"/>
          <w:lang w:val="en-US"/>
        </w:rPr>
        <w:t xml:space="preserve">; ‘Millimeter wave broadband wireless direct communication between air and ground’. This paper provides information of </w:t>
      </w:r>
      <w:r w:rsidR="00525224" w:rsidRPr="003B3DE3">
        <w:rPr>
          <w:rFonts w:cs="Arial"/>
          <w:color w:val="000000"/>
          <w:szCs w:val="22"/>
          <w:u w:val="single"/>
          <w:lang w:val="en-US"/>
        </w:rPr>
        <w:t>experiments</w:t>
      </w:r>
      <w:r w:rsidR="00525224" w:rsidRPr="003B3DE3">
        <w:rPr>
          <w:rFonts w:cs="Arial"/>
          <w:color w:val="000000"/>
          <w:szCs w:val="22"/>
          <w:lang w:val="en-US"/>
        </w:rPr>
        <w:t xml:space="preserve"> of broadband communication systems for airplanes in which </w:t>
      </w:r>
      <w:r w:rsidR="007D62B2">
        <w:rPr>
          <w:rFonts w:cs="Arial"/>
          <w:color w:val="000000"/>
          <w:szCs w:val="22"/>
          <w:lang w:val="en-US"/>
        </w:rPr>
        <w:t xml:space="preserve">frequencies </w:t>
      </w:r>
      <w:r w:rsidR="00525224" w:rsidRPr="003B3DE3">
        <w:rPr>
          <w:rFonts w:cs="Arial"/>
          <w:color w:val="000000"/>
          <w:szCs w:val="22"/>
          <w:lang w:val="en-US"/>
        </w:rPr>
        <w:t>over</w:t>
      </w:r>
      <w:r w:rsidR="007D62B2">
        <w:rPr>
          <w:rFonts w:cs="Arial"/>
          <w:color w:val="000000"/>
          <w:szCs w:val="22"/>
          <w:lang w:val="en-US"/>
        </w:rPr>
        <w:t xml:space="preserve"> </w:t>
      </w:r>
      <w:r w:rsidR="00525224" w:rsidRPr="003B3DE3">
        <w:rPr>
          <w:rFonts w:cs="Arial"/>
          <w:color w:val="000000"/>
          <w:szCs w:val="22"/>
          <w:lang w:val="en-US"/>
        </w:rPr>
        <w:t>40 GHz serve to facilitate broadband wireless communications between air and ground.</w:t>
      </w:r>
      <w:r w:rsidRPr="003B3DE3">
        <w:rPr>
          <w:rFonts w:cs="Arial"/>
          <w:color w:val="000000"/>
          <w:szCs w:val="22"/>
          <w:lang w:val="en-US"/>
        </w:rPr>
        <w:t xml:space="preserve"> </w:t>
      </w:r>
    </w:p>
    <w:bookmarkStart w:id="1" w:name="_MON_1477808399"/>
    <w:bookmarkEnd w:id="1"/>
    <w:p w:rsidR="00F0785D" w:rsidRDefault="00525224" w:rsidP="00322C20">
      <w:pPr>
        <w:spacing w:before="100" w:beforeAutospacing="1" w:after="100" w:afterAutospacing="1"/>
        <w:jc w:val="left"/>
        <w:rPr>
          <w:rFonts w:ascii="Tahoma" w:hAnsi="Tahoma" w:cs="Tahoma"/>
          <w:color w:val="000000"/>
          <w:sz w:val="20"/>
          <w:lang w:val="en-US"/>
        </w:rPr>
      </w:pPr>
      <w:r>
        <w:rPr>
          <w:rFonts w:ascii="Tahoma" w:hAnsi="Tahoma" w:cs="Tahoma"/>
          <w:color w:val="000000"/>
          <w:sz w:val="20"/>
          <w:lang w:val="en-US"/>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5" o:title=""/>
          </v:shape>
          <o:OLEObject Type="Embed" ProgID="Word.Document.8" ShapeID="_x0000_i1025" DrawAspect="Icon" ObjectID="_1477908520" r:id="rId16">
            <o:FieldCodes>\s</o:FieldCodes>
          </o:OLEObject>
        </w:object>
      </w:r>
    </w:p>
    <w:p w:rsidR="007D62B2" w:rsidRPr="002A094E" w:rsidRDefault="00E3543C" w:rsidP="00322C20">
      <w:pPr>
        <w:spacing w:before="100" w:beforeAutospacing="1" w:after="100" w:afterAutospacing="1"/>
        <w:jc w:val="left"/>
        <w:rPr>
          <w:rFonts w:cs="Arial"/>
          <w:b/>
          <w:i/>
          <w:color w:val="000000"/>
          <w:szCs w:val="22"/>
          <w:lang w:val="en-US"/>
        </w:rPr>
      </w:pPr>
      <w:r>
        <w:rPr>
          <w:rFonts w:cs="Arial"/>
          <w:b/>
          <w:i/>
          <w:color w:val="000000"/>
          <w:szCs w:val="22"/>
          <w:lang w:val="en-US"/>
        </w:rPr>
        <w:t>Should</w:t>
      </w:r>
      <w:r w:rsidR="007D62B2" w:rsidRPr="002A094E">
        <w:rPr>
          <w:rFonts w:cs="Arial"/>
          <w:b/>
          <w:i/>
          <w:color w:val="000000"/>
          <w:szCs w:val="22"/>
          <w:lang w:val="en-US"/>
        </w:rPr>
        <w:t xml:space="preserve"> ECC</w:t>
      </w:r>
      <w:r>
        <w:rPr>
          <w:rFonts w:cs="Arial"/>
          <w:b/>
          <w:i/>
          <w:color w:val="000000"/>
          <w:szCs w:val="22"/>
          <w:lang w:val="en-US"/>
        </w:rPr>
        <w:t xml:space="preserve"> investigate higher frequency options for DA2G</w:t>
      </w:r>
      <w:r w:rsidR="007D62B2" w:rsidRPr="002A094E">
        <w:rPr>
          <w:rFonts w:cs="Arial"/>
          <w:b/>
          <w:i/>
          <w:color w:val="000000"/>
          <w:szCs w:val="22"/>
          <w:lang w:val="en-US"/>
        </w:rPr>
        <w:t>?</w:t>
      </w:r>
    </w:p>
    <w:p w:rsidR="00525224" w:rsidRPr="003B3DE3" w:rsidRDefault="00525224" w:rsidP="00322C20">
      <w:pPr>
        <w:spacing w:before="100" w:beforeAutospacing="1" w:after="100" w:afterAutospacing="1"/>
        <w:jc w:val="left"/>
        <w:rPr>
          <w:rFonts w:cs="Arial"/>
          <w:color w:val="000000"/>
          <w:szCs w:val="22"/>
          <w:lang w:val="en-US"/>
        </w:rPr>
      </w:pPr>
      <w:r w:rsidRPr="003B3DE3">
        <w:rPr>
          <w:rFonts w:cs="Arial"/>
          <w:color w:val="000000"/>
          <w:szCs w:val="22"/>
          <w:lang w:val="en-US"/>
        </w:rPr>
        <w:t xml:space="preserve">The information from the USA as well as ICAO demonstrate that some technology developments are on-going which may in the future make it possible to use higher frequencies for DA2GC, though </w:t>
      </w:r>
      <w:r w:rsidR="007D62B2">
        <w:rPr>
          <w:rFonts w:cs="Arial"/>
          <w:color w:val="000000"/>
          <w:szCs w:val="22"/>
          <w:lang w:val="en-US"/>
        </w:rPr>
        <w:t xml:space="preserve">this is </w:t>
      </w:r>
      <w:r w:rsidRPr="003B3DE3">
        <w:rPr>
          <w:rFonts w:cs="Arial"/>
          <w:color w:val="000000"/>
          <w:szCs w:val="22"/>
          <w:lang w:val="en-US"/>
        </w:rPr>
        <w:t xml:space="preserve">unlikely </w:t>
      </w:r>
      <w:r w:rsidR="007D62B2">
        <w:rPr>
          <w:rFonts w:cs="Arial"/>
          <w:color w:val="000000"/>
          <w:szCs w:val="22"/>
          <w:lang w:val="en-US"/>
        </w:rPr>
        <w:t xml:space="preserve">to be before </w:t>
      </w:r>
      <w:r w:rsidRPr="003B3DE3">
        <w:rPr>
          <w:rFonts w:cs="Arial"/>
          <w:color w:val="000000"/>
          <w:szCs w:val="22"/>
          <w:lang w:val="en-US"/>
        </w:rPr>
        <w:t>2017. Nevertheless this may be a point for consideration at the ECC whether a task should be assigned to investigate this issue further. In this regard, the discussion about protection requirements of the incumbent services in the FCC NPRM process is noted (again, see</w:t>
      </w:r>
      <w:r>
        <w:rPr>
          <w:rFonts w:ascii="Tahoma" w:hAnsi="Tahoma" w:cs="Tahoma"/>
          <w:color w:val="000000"/>
          <w:sz w:val="20"/>
          <w:lang w:val="en-US"/>
        </w:rPr>
        <w:t xml:space="preserve"> </w:t>
      </w:r>
      <w:hyperlink r:id="rId17" w:history="1">
        <w:r w:rsidRPr="00F27AFE">
          <w:rPr>
            <w:rStyle w:val="Hyperlink"/>
            <w:rFonts w:ascii="Tahoma" w:hAnsi="Tahoma" w:cs="Tahoma"/>
            <w:sz w:val="20"/>
            <w:lang w:val="en-US"/>
          </w:rPr>
          <w:t>http://apps.fcc.gov/ecfs/document/view?id=7520957401</w:t>
        </w:r>
      </w:hyperlink>
      <w:r>
        <w:rPr>
          <w:rFonts w:ascii="Tahoma" w:hAnsi="Tahoma" w:cs="Tahoma"/>
          <w:color w:val="000000"/>
          <w:sz w:val="20"/>
          <w:lang w:val="en-US"/>
        </w:rPr>
        <w:t xml:space="preserve"> ). </w:t>
      </w:r>
      <w:proofErr w:type="gramStart"/>
      <w:r w:rsidR="007D62B2">
        <w:rPr>
          <w:rFonts w:cs="Arial"/>
          <w:color w:val="000000"/>
          <w:szCs w:val="22"/>
          <w:lang w:val="en-US"/>
        </w:rPr>
        <w:t>e</w:t>
      </w:r>
      <w:r w:rsidRPr="003B3DE3">
        <w:rPr>
          <w:rFonts w:cs="Arial"/>
          <w:color w:val="000000"/>
          <w:szCs w:val="22"/>
          <w:lang w:val="en-US"/>
        </w:rPr>
        <w:t>.g</w:t>
      </w:r>
      <w:proofErr w:type="gramEnd"/>
      <w:r w:rsidRPr="003B3DE3">
        <w:rPr>
          <w:rFonts w:cs="Arial"/>
          <w:color w:val="000000"/>
          <w:szCs w:val="22"/>
          <w:lang w:val="en-US"/>
        </w:rPr>
        <w:t xml:space="preserve">. </w:t>
      </w:r>
      <w:r w:rsidRPr="003B3DE3">
        <w:rPr>
          <w:rFonts w:cs="Arial"/>
          <w:color w:val="000000"/>
          <w:szCs w:val="22"/>
          <w:lang w:val="en-US"/>
        </w:rPr>
        <w:lastRenderedPageBreak/>
        <w:t xml:space="preserve">Sweden provided a comment during the PC of CEPT Report 52 that such investigations </w:t>
      </w:r>
      <w:r w:rsidR="008C3FDF">
        <w:rPr>
          <w:rFonts w:cs="Arial"/>
          <w:color w:val="000000"/>
          <w:szCs w:val="22"/>
          <w:lang w:val="en-US"/>
        </w:rPr>
        <w:t xml:space="preserve">into higher frequency alternatives </w:t>
      </w:r>
      <w:r w:rsidRPr="003B3DE3">
        <w:rPr>
          <w:rFonts w:cs="Arial"/>
          <w:color w:val="000000"/>
          <w:szCs w:val="22"/>
          <w:lang w:val="en-US"/>
        </w:rPr>
        <w:t>could be helpful.</w:t>
      </w:r>
    </w:p>
    <w:p w:rsidR="00CA3E85" w:rsidRPr="003B3DE3" w:rsidRDefault="00CA3E85" w:rsidP="00322C20">
      <w:pPr>
        <w:spacing w:before="100" w:beforeAutospacing="1" w:after="100" w:afterAutospacing="1"/>
        <w:jc w:val="left"/>
        <w:rPr>
          <w:rFonts w:cs="Arial"/>
          <w:color w:val="000000"/>
          <w:szCs w:val="22"/>
          <w:lang w:val="en-US"/>
        </w:rPr>
      </w:pPr>
      <w:r w:rsidRPr="003B3DE3">
        <w:rPr>
          <w:rFonts w:cs="Arial"/>
          <w:color w:val="000000"/>
          <w:szCs w:val="22"/>
          <w:lang w:val="en-US"/>
        </w:rPr>
        <w:t>Usage of frequencies above 6 GHz was originally ruled out by the ETSI S</w:t>
      </w:r>
      <w:r w:rsidR="00E3543C">
        <w:rPr>
          <w:rFonts w:cs="Arial"/>
          <w:color w:val="000000"/>
          <w:szCs w:val="22"/>
          <w:lang w:val="en-US"/>
        </w:rPr>
        <w:t>R D</w:t>
      </w:r>
      <w:r w:rsidRPr="003B3DE3">
        <w:rPr>
          <w:rFonts w:cs="Arial"/>
          <w:color w:val="000000"/>
          <w:szCs w:val="22"/>
          <w:lang w:val="en-US"/>
        </w:rPr>
        <w:t>ocs</w:t>
      </w:r>
      <w:r w:rsidR="00E3543C">
        <w:rPr>
          <w:rFonts w:cs="Arial"/>
          <w:color w:val="000000"/>
          <w:szCs w:val="22"/>
          <w:lang w:val="en-US"/>
        </w:rPr>
        <w:t xml:space="preserve">. </w:t>
      </w:r>
      <w:proofErr w:type="gramStart"/>
      <w:r w:rsidR="00E3543C">
        <w:rPr>
          <w:rFonts w:cs="Arial"/>
          <w:color w:val="000000"/>
          <w:szCs w:val="22"/>
          <w:lang w:val="en-US"/>
        </w:rPr>
        <w:t xml:space="preserve">which </w:t>
      </w:r>
      <w:r w:rsidRPr="003B3DE3">
        <w:rPr>
          <w:rFonts w:cs="Arial"/>
          <w:color w:val="000000"/>
          <w:szCs w:val="22"/>
          <w:lang w:val="en-US"/>
        </w:rPr>
        <w:t xml:space="preserve"> trigger</w:t>
      </w:r>
      <w:r w:rsidR="00E3543C">
        <w:rPr>
          <w:rFonts w:cs="Arial"/>
          <w:color w:val="000000"/>
          <w:szCs w:val="22"/>
          <w:lang w:val="en-US"/>
        </w:rPr>
        <w:t>ed</w:t>
      </w:r>
      <w:proofErr w:type="gramEnd"/>
      <w:r w:rsidR="00E3543C">
        <w:rPr>
          <w:rFonts w:cs="Arial"/>
          <w:color w:val="000000"/>
          <w:szCs w:val="22"/>
          <w:lang w:val="en-US"/>
        </w:rPr>
        <w:t xml:space="preserve"> </w:t>
      </w:r>
      <w:r w:rsidRPr="003B3DE3">
        <w:rPr>
          <w:rFonts w:cs="Arial"/>
          <w:color w:val="000000"/>
          <w:szCs w:val="22"/>
          <w:lang w:val="en-US"/>
        </w:rPr>
        <w:t xml:space="preserve">the </w:t>
      </w:r>
      <w:r w:rsidR="00E3543C">
        <w:rPr>
          <w:rFonts w:cs="Arial"/>
          <w:color w:val="000000"/>
          <w:szCs w:val="22"/>
          <w:lang w:val="en-US"/>
        </w:rPr>
        <w:t xml:space="preserve">current </w:t>
      </w:r>
      <w:r w:rsidRPr="003B3DE3">
        <w:rPr>
          <w:rFonts w:cs="Arial"/>
          <w:color w:val="000000"/>
          <w:szCs w:val="22"/>
          <w:lang w:val="en-US"/>
        </w:rPr>
        <w:t xml:space="preserve">investigations in the ECC. The main arguments provided were that the technology was not ready for this and the Doppler </w:t>
      </w:r>
      <w:proofErr w:type="gramStart"/>
      <w:r w:rsidRPr="003B3DE3">
        <w:rPr>
          <w:rFonts w:cs="Arial"/>
          <w:color w:val="000000"/>
          <w:szCs w:val="22"/>
          <w:lang w:val="en-US"/>
        </w:rPr>
        <w:t>effect</w:t>
      </w:r>
      <w:proofErr w:type="gramEnd"/>
      <w:r w:rsidRPr="003B3DE3">
        <w:rPr>
          <w:rFonts w:cs="Arial"/>
          <w:color w:val="000000"/>
          <w:szCs w:val="22"/>
          <w:lang w:val="en-US"/>
        </w:rPr>
        <w:t xml:space="preserve"> increase with higher frequencies. However, technology advances may find solutions. On the other side, there is no confirmation/indication that such technology might be available by 2017. In this regard, capital expenditure considerations for DA2GC in comparison to solutions at lower frequencies such as 2GHz or 5.8 GHz are also an important point to enquire further.</w:t>
      </w:r>
    </w:p>
    <w:p w:rsidR="00322C20" w:rsidRPr="00322C20" w:rsidRDefault="00322C20" w:rsidP="00322C20">
      <w:pPr>
        <w:spacing w:before="100" w:beforeAutospacing="1" w:after="100" w:afterAutospacing="1"/>
        <w:jc w:val="left"/>
        <w:rPr>
          <w:rFonts w:ascii="Tahoma" w:hAnsi="Tahoma" w:cs="Tahoma"/>
          <w:color w:val="000000"/>
          <w:sz w:val="20"/>
          <w:lang w:val="en-US"/>
        </w:rPr>
      </w:pPr>
      <w:r w:rsidRPr="00322C20">
        <w:rPr>
          <w:rFonts w:cs="Arial"/>
          <w:color w:val="000000"/>
          <w:szCs w:val="22"/>
          <w:lang w:val="en-US"/>
        </w:rPr>
        <w:t xml:space="preserve">Meanwhile </w:t>
      </w:r>
      <w:r w:rsidR="00525224" w:rsidRPr="003B3DE3">
        <w:rPr>
          <w:rFonts w:cs="Arial"/>
          <w:color w:val="000000"/>
          <w:szCs w:val="22"/>
          <w:lang w:val="en-US"/>
        </w:rPr>
        <w:t>C</w:t>
      </w:r>
      <w:r w:rsidRPr="00322C20">
        <w:rPr>
          <w:rFonts w:cs="Arial"/>
          <w:color w:val="000000"/>
          <w:szCs w:val="22"/>
          <w:lang w:val="en-US"/>
        </w:rPr>
        <w:t>hina has complete</w:t>
      </w:r>
      <w:r w:rsidR="00525224" w:rsidRPr="003B3DE3">
        <w:rPr>
          <w:rFonts w:cs="Arial"/>
          <w:color w:val="000000"/>
          <w:szCs w:val="22"/>
          <w:lang w:val="en-US"/>
        </w:rPr>
        <w:t>d their DQ2GC</w:t>
      </w:r>
      <w:r w:rsidRPr="00322C20">
        <w:rPr>
          <w:rFonts w:cs="Arial"/>
          <w:color w:val="000000"/>
          <w:szCs w:val="22"/>
          <w:lang w:val="en-US"/>
        </w:rPr>
        <w:t xml:space="preserve"> test trials:</w:t>
      </w:r>
      <w:r w:rsidRPr="00322C20">
        <w:rPr>
          <w:rFonts w:ascii="Tahoma" w:hAnsi="Tahoma" w:cs="Tahoma"/>
          <w:color w:val="000000"/>
          <w:sz w:val="20"/>
          <w:lang w:val="en-US"/>
        </w:rPr>
        <w:t xml:space="preserve"> </w:t>
      </w:r>
      <w:hyperlink r:id="rId18" w:history="1">
        <w:r w:rsidRPr="00322C20">
          <w:rPr>
            <w:rFonts w:ascii="Tahoma" w:hAnsi="Tahoma" w:cs="Tahoma"/>
            <w:color w:val="0000FF"/>
            <w:sz w:val="20"/>
            <w:u w:val="single"/>
            <w:lang w:val="en-US"/>
          </w:rPr>
          <w:t>http://www.policychargingcontrol.com/1341-air-china-pilot-in-flight-internet-services-using-zte-ground-air-solutions</w:t>
        </w:r>
      </w:hyperlink>
      <w:r w:rsidRPr="00322C20">
        <w:rPr>
          <w:rFonts w:ascii="Tahoma" w:hAnsi="Tahoma" w:cs="Tahoma"/>
          <w:color w:val="000000"/>
          <w:sz w:val="20"/>
          <w:lang w:val="en-US"/>
        </w:rPr>
        <w:t> </w:t>
      </w:r>
    </w:p>
    <w:p w:rsidR="007C415E" w:rsidRDefault="00CA3E85" w:rsidP="003B3DE3">
      <w:pPr>
        <w:pStyle w:val="ListParagraph"/>
        <w:numPr>
          <w:ilvl w:val="0"/>
          <w:numId w:val="33"/>
        </w:numPr>
        <w:spacing w:after="0"/>
        <w:rPr>
          <w:b/>
          <w:sz w:val="28"/>
          <w:szCs w:val="28"/>
        </w:rPr>
      </w:pPr>
      <w:r w:rsidRPr="003B3DE3">
        <w:rPr>
          <w:b/>
          <w:sz w:val="28"/>
          <w:szCs w:val="28"/>
        </w:rPr>
        <w:t xml:space="preserve">ITU-R SG1 (WP1A, 1B, 1C) </w:t>
      </w:r>
      <w:r w:rsidR="003B3DE3">
        <w:rPr>
          <w:b/>
          <w:sz w:val="28"/>
          <w:szCs w:val="28"/>
        </w:rPr>
        <w:t xml:space="preserve">2014 </w:t>
      </w:r>
      <w:r w:rsidRPr="003B3DE3">
        <w:rPr>
          <w:b/>
          <w:sz w:val="28"/>
          <w:szCs w:val="28"/>
        </w:rPr>
        <w:t>Overview</w:t>
      </w:r>
    </w:p>
    <w:p w:rsidR="003B3DE3" w:rsidRPr="003B3DE3" w:rsidRDefault="003B3DE3" w:rsidP="003B3DE3">
      <w:pPr>
        <w:spacing w:after="0"/>
        <w:rPr>
          <w:b/>
          <w:sz w:val="28"/>
          <w:szCs w:val="28"/>
        </w:rPr>
      </w:pPr>
    </w:p>
    <w:p w:rsidR="003B3DE3" w:rsidRDefault="003B3DE3" w:rsidP="00697E9B">
      <w:r>
        <w:t>A complete overview of the activities of ITU-R Study Group 1 in 2014 (including the working parties 1A, 1B, 1C and all correspondence activities) has been provided by the SG1 Chai</w:t>
      </w:r>
      <w:r w:rsidR="00667E14">
        <w:t>rm</w:t>
      </w:r>
      <w:r>
        <w:t>an and is included here for information:</w:t>
      </w:r>
    </w:p>
    <w:p w:rsidR="003B3DE3" w:rsidRDefault="003B3DE3" w:rsidP="00697E9B">
      <w:r>
        <w:object w:dxaOrig="1531" w:dyaOrig="990">
          <v:shape id="_x0000_i1026" type="#_x0000_t75" style="width:76.4pt;height:49.45pt" o:ole="">
            <v:imagedata r:id="rId19" o:title=""/>
          </v:shape>
          <o:OLEObject Type="Embed" ProgID="AcroExch.Document.7" ShapeID="_x0000_i1026" DrawAspect="Icon" ObjectID="_1477908521" r:id="rId20"/>
        </w:object>
      </w:r>
    </w:p>
    <w:p w:rsidR="00B55204" w:rsidRDefault="00B55204" w:rsidP="00B55204">
      <w:pPr>
        <w:pStyle w:val="ListParagraph"/>
        <w:numPr>
          <w:ilvl w:val="0"/>
          <w:numId w:val="33"/>
        </w:numPr>
        <w:spacing w:after="0"/>
        <w:rPr>
          <w:b/>
          <w:sz w:val="28"/>
          <w:szCs w:val="28"/>
        </w:rPr>
      </w:pPr>
      <w:r w:rsidRPr="00B55204">
        <w:rPr>
          <w:b/>
          <w:sz w:val="28"/>
          <w:szCs w:val="28"/>
        </w:rPr>
        <w:t>Industry Canada - on policy changes in the 3500 MHz Band (3475-3650 MHz)</w:t>
      </w:r>
    </w:p>
    <w:p w:rsidR="00B55204" w:rsidRPr="00B55204" w:rsidRDefault="00B55204" w:rsidP="00B55204">
      <w:pPr>
        <w:spacing w:after="0"/>
        <w:rPr>
          <w:b/>
          <w:sz w:val="28"/>
          <w:szCs w:val="28"/>
        </w:rPr>
      </w:pPr>
    </w:p>
    <w:p w:rsidR="00B55204" w:rsidRDefault="00B55204" w:rsidP="00697E9B">
      <w:r>
        <w:t>Industry Canada started on 19 August 2014 a c</w:t>
      </w:r>
      <w:r w:rsidRPr="00B55204">
        <w:t xml:space="preserve">onsultation on </w:t>
      </w:r>
      <w:r>
        <w:t>p</w:t>
      </w:r>
      <w:r w:rsidRPr="00B55204">
        <w:t xml:space="preserve">olicy </w:t>
      </w:r>
      <w:r>
        <w:t>c</w:t>
      </w:r>
      <w:r w:rsidRPr="00B55204">
        <w:t xml:space="preserve">hanges in the 3500 MHz Band (3475-3650 MHz) and a </w:t>
      </w:r>
      <w:r>
        <w:t>n</w:t>
      </w:r>
      <w:r w:rsidRPr="00B55204">
        <w:t xml:space="preserve">ew </w:t>
      </w:r>
      <w:r>
        <w:t>l</w:t>
      </w:r>
      <w:r w:rsidRPr="00B55204">
        <w:t xml:space="preserve">icensing </w:t>
      </w:r>
      <w:r>
        <w:t>p</w:t>
      </w:r>
      <w:r w:rsidRPr="00B55204">
        <w:t xml:space="preserve">rocess in </w:t>
      </w:r>
      <w:r>
        <w:t>r</w:t>
      </w:r>
      <w:r w:rsidRPr="00B55204">
        <w:t xml:space="preserve">ural </w:t>
      </w:r>
      <w:r>
        <w:t>a</w:t>
      </w:r>
      <w:r w:rsidRPr="00B55204">
        <w:t>reas</w:t>
      </w:r>
      <w:r>
        <w:t xml:space="preserve">. This concept shows a method on how to deal with existing FWA licenses, new FWA licenses in so-called rural areas as well as the complete re-allocation of the band to the mobile service and </w:t>
      </w:r>
      <w:r w:rsidR="00E3543C">
        <w:t xml:space="preserve">how to </w:t>
      </w:r>
      <w:proofErr w:type="spellStart"/>
      <w:r w:rsidR="00E3543C">
        <w:t>deconflict</w:t>
      </w:r>
      <w:proofErr w:type="spellEnd"/>
      <w:r>
        <w:t xml:space="preserve"> the two aforementioned licen</w:t>
      </w:r>
      <w:r w:rsidR="00E3543C">
        <w:t>c</w:t>
      </w:r>
      <w:r>
        <w:t>e classes.</w:t>
      </w:r>
    </w:p>
    <w:p w:rsidR="00B55204" w:rsidRDefault="002A094E" w:rsidP="00697E9B">
      <w:hyperlink r:id="rId21" w:history="1">
        <w:r w:rsidR="00B55204" w:rsidRPr="00F27AFE">
          <w:rPr>
            <w:rStyle w:val="Hyperlink"/>
          </w:rPr>
          <w:t>http://www.ic.gc.ca/eic/site/smt-gst.nsf/eng/sf10841.html</w:t>
        </w:r>
      </w:hyperlink>
    </w:p>
    <w:p w:rsidR="00B55204" w:rsidRDefault="00B55204" w:rsidP="00697E9B"/>
    <w:p w:rsidR="006C7D8C" w:rsidRPr="006C7D8C" w:rsidRDefault="006C7D8C" w:rsidP="006C7D8C">
      <w:pPr>
        <w:pStyle w:val="ListParagraph"/>
        <w:numPr>
          <w:ilvl w:val="0"/>
          <w:numId w:val="33"/>
        </w:numPr>
        <w:spacing w:after="0"/>
        <w:rPr>
          <w:b/>
          <w:sz w:val="28"/>
          <w:szCs w:val="28"/>
        </w:rPr>
      </w:pPr>
      <w:r w:rsidRPr="006C7D8C">
        <w:rPr>
          <w:b/>
          <w:sz w:val="28"/>
          <w:szCs w:val="28"/>
        </w:rPr>
        <w:t>1</w:t>
      </w:r>
      <w:r w:rsidR="00510966">
        <w:rPr>
          <w:b/>
          <w:sz w:val="28"/>
          <w:szCs w:val="28"/>
        </w:rPr>
        <w:t>7</w:t>
      </w:r>
      <w:r w:rsidR="00510966" w:rsidRPr="00510966">
        <w:rPr>
          <w:b/>
          <w:sz w:val="28"/>
          <w:szCs w:val="28"/>
          <w:vertAlign w:val="superscript"/>
        </w:rPr>
        <w:t>th</w:t>
      </w:r>
      <w:r w:rsidR="00510966">
        <w:rPr>
          <w:b/>
          <w:sz w:val="28"/>
          <w:szCs w:val="28"/>
        </w:rPr>
        <w:t xml:space="preserve"> </w:t>
      </w:r>
      <w:r w:rsidRPr="006C7D8C">
        <w:rPr>
          <w:b/>
          <w:sz w:val="28"/>
          <w:szCs w:val="28"/>
        </w:rPr>
        <w:t>Meeting of the APT Wireless Group (AWG-1</w:t>
      </w:r>
      <w:r w:rsidR="00510966">
        <w:rPr>
          <w:b/>
          <w:sz w:val="28"/>
          <w:szCs w:val="28"/>
        </w:rPr>
        <w:t>7</w:t>
      </w:r>
      <w:r w:rsidRPr="006C7D8C">
        <w:rPr>
          <w:b/>
          <w:sz w:val="28"/>
          <w:szCs w:val="28"/>
        </w:rPr>
        <w:t>)</w:t>
      </w:r>
    </w:p>
    <w:p w:rsidR="006C7D8C" w:rsidRDefault="006C7D8C" w:rsidP="006C7D8C">
      <w:pPr>
        <w:spacing w:after="0"/>
        <w:rPr>
          <w:b/>
          <w:sz w:val="28"/>
          <w:szCs w:val="28"/>
          <w:lang w:val="en-US"/>
        </w:rPr>
      </w:pPr>
    </w:p>
    <w:p w:rsidR="00B55204" w:rsidRDefault="00510966" w:rsidP="00270D2F">
      <w:pPr>
        <w:rPr>
          <w:lang w:val="en-US"/>
        </w:rPr>
      </w:pPr>
      <w:r w:rsidRPr="00510966">
        <w:rPr>
          <w:lang w:val="en-US"/>
        </w:rPr>
        <w:t>The 17th Meeting of APT Wireless Group was completed successfully in Macao, China from 23 to 26 September 2014.</w:t>
      </w:r>
    </w:p>
    <w:p w:rsidR="00510966" w:rsidRDefault="00510966" w:rsidP="00510966">
      <w:r>
        <w:t>The Meeting finalised and approved the following APT Reports:</w:t>
      </w:r>
    </w:p>
    <w:tbl>
      <w:tblPr>
        <w:tblpPr w:leftFromText="45" w:rightFromText="45" w:vertAnchor="text"/>
        <w:tblW w:w="5000" w:type="pct"/>
        <w:tblCellSpacing w:w="7" w:type="dxa"/>
        <w:tblBorders>
          <w:top w:val="single" w:sz="6" w:space="0" w:color="D2D2D2"/>
          <w:left w:val="single" w:sz="6" w:space="0" w:color="D2D2D2"/>
          <w:bottom w:val="single" w:sz="6" w:space="0" w:color="D2D2D2"/>
          <w:right w:val="single" w:sz="6" w:space="0" w:color="D2D2D2"/>
        </w:tblBorders>
        <w:tblCellMar>
          <w:left w:w="0" w:type="dxa"/>
          <w:right w:w="0" w:type="dxa"/>
        </w:tblCellMar>
        <w:tblLook w:val="04A0" w:firstRow="1" w:lastRow="0" w:firstColumn="1" w:lastColumn="0" w:noHBand="0" w:noVBand="1"/>
      </w:tblPr>
      <w:tblGrid>
        <w:gridCol w:w="1808"/>
        <w:gridCol w:w="6833"/>
        <w:gridCol w:w="893"/>
      </w:tblGrid>
      <w:tr w:rsidR="00510966" w:rsidRPr="00510966" w:rsidTr="00510966">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2A094E" w:rsidP="00510966">
            <w:pPr>
              <w:spacing w:after="0" w:line="312" w:lineRule="auto"/>
              <w:jc w:val="left"/>
              <w:rPr>
                <w:rFonts w:ascii="Times New Roman" w:hAnsi="Times New Roman"/>
                <w:szCs w:val="22"/>
                <w:lang w:val="da-DK" w:eastAsia="da-DK"/>
              </w:rPr>
            </w:pPr>
            <w:hyperlink r:id="rId22" w:history="1">
              <w:r w:rsidR="00510966" w:rsidRPr="00F3272D">
                <w:rPr>
                  <w:rFonts w:ascii="Times New Roman" w:hAnsi="Times New Roman"/>
                  <w:color w:val="095E54"/>
                  <w:szCs w:val="22"/>
                  <w:lang w:val="da-DK" w:eastAsia="da-DK"/>
                </w:rPr>
                <w:t>APT/AWG/REP-50</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510966" w:rsidRPr="00F3272D" w:rsidRDefault="00510966" w:rsidP="00510966">
            <w:pPr>
              <w:spacing w:after="0" w:line="312" w:lineRule="auto"/>
              <w:jc w:val="left"/>
              <w:rPr>
                <w:rFonts w:ascii="Times New Roman" w:hAnsi="Times New Roman"/>
                <w:szCs w:val="22"/>
                <w:lang w:val="en-US" w:eastAsia="da-DK"/>
              </w:rPr>
            </w:pPr>
            <w:r w:rsidRPr="00F3272D">
              <w:rPr>
                <w:rFonts w:ascii="Times New Roman" w:hAnsi="Times New Roman"/>
                <w:color w:val="000000"/>
                <w:szCs w:val="22"/>
                <w:lang w:val="en-US" w:eastAsia="da-DK"/>
              </w:rPr>
              <w:t xml:space="preserve">APT Survey Report on Frequency Bands in relations to Study on WRC-15 Agenda Item 1.1 </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510966" w:rsidP="00510966">
            <w:pPr>
              <w:spacing w:after="0" w:line="312" w:lineRule="auto"/>
              <w:jc w:val="center"/>
              <w:rPr>
                <w:rFonts w:ascii="Times New Roman" w:hAnsi="Times New Roman"/>
                <w:szCs w:val="22"/>
                <w:lang w:val="da-DK" w:eastAsia="da-DK"/>
              </w:rPr>
            </w:pPr>
            <w:r w:rsidRPr="00F3272D">
              <w:rPr>
                <w:rFonts w:ascii="Times New Roman" w:hAnsi="Times New Roman"/>
                <w:szCs w:val="22"/>
                <w:lang w:val="da-DK" w:eastAsia="da-DK"/>
              </w:rPr>
              <w:t>09/2014</w:t>
            </w:r>
          </w:p>
        </w:tc>
      </w:tr>
      <w:tr w:rsidR="00510966" w:rsidRPr="00510966" w:rsidTr="00510966">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2A094E" w:rsidP="00510966">
            <w:pPr>
              <w:spacing w:after="0" w:line="312" w:lineRule="auto"/>
              <w:jc w:val="left"/>
              <w:rPr>
                <w:rFonts w:ascii="Times New Roman" w:hAnsi="Times New Roman"/>
                <w:szCs w:val="22"/>
                <w:lang w:val="da-DK" w:eastAsia="da-DK"/>
              </w:rPr>
            </w:pPr>
            <w:hyperlink r:id="rId23" w:history="1">
              <w:r w:rsidR="00510966" w:rsidRPr="00F3272D">
                <w:rPr>
                  <w:rFonts w:ascii="Times New Roman" w:hAnsi="Times New Roman"/>
                  <w:color w:val="095E54"/>
                  <w:szCs w:val="22"/>
                  <w:lang w:val="da-DK" w:eastAsia="da-DK"/>
                </w:rPr>
                <w:t>APT/AWG/REP-51</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510966" w:rsidRPr="00F3272D" w:rsidRDefault="00510966" w:rsidP="00510966">
            <w:pPr>
              <w:spacing w:after="0" w:line="312" w:lineRule="auto"/>
              <w:jc w:val="left"/>
              <w:rPr>
                <w:rFonts w:ascii="Times New Roman" w:hAnsi="Times New Roman"/>
                <w:szCs w:val="22"/>
                <w:lang w:val="en-US" w:eastAsia="da-DK"/>
              </w:rPr>
            </w:pPr>
            <w:r w:rsidRPr="00F3272D">
              <w:rPr>
                <w:rFonts w:ascii="Times New Roman" w:hAnsi="Times New Roman"/>
                <w:color w:val="000000"/>
                <w:szCs w:val="22"/>
                <w:lang w:val="en-US" w:eastAsia="da-DK"/>
              </w:rPr>
              <w:t>APT Report on Usage of the Bands 8 700 – 9 300 MHz and 9 900 – 10 500 MHz in Asia-Pacific Region</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510966" w:rsidP="00510966">
            <w:pPr>
              <w:spacing w:after="0" w:line="312" w:lineRule="auto"/>
              <w:jc w:val="center"/>
              <w:rPr>
                <w:rFonts w:ascii="Times New Roman" w:hAnsi="Times New Roman"/>
                <w:szCs w:val="22"/>
                <w:lang w:val="da-DK" w:eastAsia="da-DK"/>
              </w:rPr>
            </w:pPr>
            <w:r w:rsidRPr="00F3272D">
              <w:rPr>
                <w:rFonts w:ascii="Times New Roman" w:hAnsi="Times New Roman"/>
                <w:szCs w:val="22"/>
                <w:lang w:val="da-DK" w:eastAsia="da-DK"/>
              </w:rPr>
              <w:t>09/2014</w:t>
            </w:r>
          </w:p>
        </w:tc>
      </w:tr>
      <w:tr w:rsidR="00510966" w:rsidRPr="00510966" w:rsidTr="00510966">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2A094E" w:rsidP="00510966">
            <w:pPr>
              <w:spacing w:after="0" w:line="312" w:lineRule="auto"/>
              <w:jc w:val="left"/>
              <w:rPr>
                <w:rFonts w:ascii="Times New Roman" w:hAnsi="Times New Roman"/>
                <w:szCs w:val="22"/>
                <w:lang w:val="da-DK" w:eastAsia="da-DK"/>
              </w:rPr>
            </w:pPr>
            <w:hyperlink r:id="rId24" w:history="1">
              <w:r w:rsidR="00510966" w:rsidRPr="00F3272D">
                <w:rPr>
                  <w:rFonts w:ascii="Times New Roman" w:hAnsi="Times New Roman"/>
                  <w:color w:val="095E54"/>
                  <w:szCs w:val="22"/>
                  <w:lang w:val="da-DK" w:eastAsia="da-DK"/>
                </w:rPr>
                <w:t>APT/AWG/REP-52</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510966" w:rsidRPr="00F3272D" w:rsidRDefault="00510966" w:rsidP="004009BD">
            <w:pPr>
              <w:spacing w:after="0" w:line="312" w:lineRule="auto"/>
              <w:jc w:val="left"/>
              <w:rPr>
                <w:rFonts w:ascii="Times New Roman" w:hAnsi="Times New Roman"/>
                <w:szCs w:val="22"/>
                <w:lang w:val="en-US" w:eastAsia="da-DK"/>
              </w:rPr>
            </w:pPr>
            <w:r w:rsidRPr="00F3272D">
              <w:rPr>
                <w:rFonts w:ascii="Times New Roman" w:hAnsi="Times New Roman"/>
                <w:color w:val="000000"/>
                <w:szCs w:val="22"/>
                <w:lang w:val="en-US" w:eastAsia="da-DK"/>
              </w:rPr>
              <w:t>APT Report on Usage of the Bands 2 700 - 2 900 MHz, 4 200 - 4 400 MHz and 5 350 - 5 460 MH</w:t>
            </w:r>
            <w:r w:rsidR="004009BD" w:rsidRPr="00F3272D">
              <w:rPr>
                <w:rFonts w:ascii="Times New Roman" w:hAnsi="Times New Roman"/>
                <w:color w:val="000000"/>
                <w:szCs w:val="22"/>
                <w:lang w:val="en-US" w:eastAsia="da-DK"/>
              </w:rPr>
              <w:t>z</w:t>
            </w:r>
            <w:r w:rsidRPr="00F3272D">
              <w:rPr>
                <w:rFonts w:ascii="Times New Roman" w:hAnsi="Times New Roman"/>
                <w:color w:val="000000"/>
                <w:szCs w:val="22"/>
                <w:lang w:val="en-US" w:eastAsia="da-DK"/>
              </w:rPr>
              <w:t xml:space="preserve"> in Asia-Pacific Region </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510966" w:rsidP="00510966">
            <w:pPr>
              <w:spacing w:after="0" w:line="312" w:lineRule="auto"/>
              <w:jc w:val="center"/>
              <w:rPr>
                <w:rFonts w:ascii="Times New Roman" w:hAnsi="Times New Roman"/>
                <w:szCs w:val="22"/>
                <w:lang w:val="da-DK" w:eastAsia="da-DK"/>
              </w:rPr>
            </w:pPr>
            <w:r w:rsidRPr="00F3272D">
              <w:rPr>
                <w:rFonts w:ascii="Times New Roman" w:hAnsi="Times New Roman"/>
                <w:szCs w:val="22"/>
                <w:lang w:val="da-DK" w:eastAsia="da-DK"/>
              </w:rPr>
              <w:t>09/2014</w:t>
            </w:r>
          </w:p>
        </w:tc>
      </w:tr>
      <w:tr w:rsidR="00510966" w:rsidRPr="00510966" w:rsidTr="00510966">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2A094E" w:rsidP="00510966">
            <w:pPr>
              <w:spacing w:after="0" w:line="312" w:lineRule="auto"/>
              <w:jc w:val="left"/>
              <w:rPr>
                <w:rFonts w:ascii="Times New Roman" w:hAnsi="Times New Roman"/>
                <w:szCs w:val="22"/>
                <w:lang w:val="da-DK" w:eastAsia="da-DK"/>
              </w:rPr>
            </w:pPr>
            <w:hyperlink r:id="rId25" w:history="1">
              <w:r w:rsidR="00510966" w:rsidRPr="00F3272D">
                <w:rPr>
                  <w:rFonts w:ascii="Times New Roman" w:hAnsi="Times New Roman"/>
                  <w:color w:val="095E54"/>
                  <w:szCs w:val="22"/>
                  <w:lang w:val="da-DK" w:eastAsia="da-DK"/>
                </w:rPr>
                <w:t>APT/AWG/REP-53</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510966" w:rsidRPr="00F3272D" w:rsidRDefault="00510966" w:rsidP="00510966">
            <w:pPr>
              <w:spacing w:after="0" w:line="312" w:lineRule="auto"/>
              <w:jc w:val="left"/>
              <w:rPr>
                <w:rFonts w:ascii="Times New Roman" w:hAnsi="Times New Roman"/>
                <w:szCs w:val="22"/>
                <w:lang w:val="en-US" w:eastAsia="da-DK"/>
              </w:rPr>
            </w:pPr>
            <w:r w:rsidRPr="00F3272D">
              <w:rPr>
                <w:rFonts w:ascii="Times New Roman" w:hAnsi="Times New Roman"/>
                <w:color w:val="000000"/>
                <w:szCs w:val="22"/>
                <w:lang w:val="en-US" w:eastAsia="da-DK"/>
              </w:rPr>
              <w:t xml:space="preserve">APT Report on Migration Strategy of GSM to Mobile Broadband </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510966" w:rsidP="00510966">
            <w:pPr>
              <w:spacing w:after="0" w:line="312" w:lineRule="auto"/>
              <w:jc w:val="center"/>
              <w:rPr>
                <w:rFonts w:ascii="Times New Roman" w:hAnsi="Times New Roman"/>
                <w:szCs w:val="22"/>
                <w:lang w:val="da-DK" w:eastAsia="da-DK"/>
              </w:rPr>
            </w:pPr>
            <w:r w:rsidRPr="00F3272D">
              <w:rPr>
                <w:rFonts w:ascii="Times New Roman" w:hAnsi="Times New Roman"/>
                <w:szCs w:val="22"/>
                <w:lang w:val="da-DK" w:eastAsia="da-DK"/>
              </w:rPr>
              <w:t>09/2014</w:t>
            </w:r>
          </w:p>
        </w:tc>
      </w:tr>
      <w:tr w:rsidR="00510966" w:rsidRPr="00510966" w:rsidTr="00510966">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2A094E" w:rsidP="00510966">
            <w:pPr>
              <w:spacing w:after="0" w:line="312" w:lineRule="auto"/>
              <w:jc w:val="left"/>
              <w:rPr>
                <w:rFonts w:ascii="Times New Roman" w:hAnsi="Times New Roman"/>
                <w:szCs w:val="22"/>
                <w:lang w:val="da-DK" w:eastAsia="da-DK"/>
              </w:rPr>
            </w:pPr>
            <w:hyperlink r:id="rId26" w:history="1">
              <w:r w:rsidR="00510966" w:rsidRPr="00F3272D">
                <w:rPr>
                  <w:rFonts w:ascii="Times New Roman" w:hAnsi="Times New Roman"/>
                  <w:color w:val="095E54"/>
                  <w:szCs w:val="22"/>
                  <w:lang w:val="da-DK" w:eastAsia="da-DK"/>
                </w:rPr>
                <w:t>APT/AWG/REP-54</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510966" w:rsidRPr="00F3272D" w:rsidRDefault="00510966" w:rsidP="00510966">
            <w:pPr>
              <w:spacing w:after="0" w:line="312" w:lineRule="auto"/>
              <w:jc w:val="left"/>
              <w:rPr>
                <w:rFonts w:ascii="Times New Roman" w:hAnsi="Times New Roman"/>
                <w:szCs w:val="22"/>
                <w:lang w:val="en-US" w:eastAsia="da-DK"/>
              </w:rPr>
            </w:pPr>
            <w:r w:rsidRPr="00F3272D">
              <w:rPr>
                <w:rFonts w:ascii="Times New Roman" w:hAnsi="Times New Roman"/>
                <w:color w:val="000000"/>
                <w:szCs w:val="22"/>
                <w:lang w:val="en-US" w:eastAsia="da-DK"/>
              </w:rPr>
              <w:t xml:space="preserve">APT Survey Report on Fixed Wireless Systems </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510966" w:rsidP="00510966">
            <w:pPr>
              <w:spacing w:after="0" w:line="312" w:lineRule="auto"/>
              <w:jc w:val="center"/>
              <w:rPr>
                <w:rFonts w:ascii="Times New Roman" w:hAnsi="Times New Roman"/>
                <w:szCs w:val="22"/>
                <w:lang w:val="da-DK" w:eastAsia="da-DK"/>
              </w:rPr>
            </w:pPr>
            <w:r w:rsidRPr="00F3272D">
              <w:rPr>
                <w:rFonts w:ascii="Times New Roman" w:hAnsi="Times New Roman"/>
                <w:szCs w:val="22"/>
                <w:lang w:val="da-DK" w:eastAsia="da-DK"/>
              </w:rPr>
              <w:t>09/2014</w:t>
            </w:r>
          </w:p>
        </w:tc>
      </w:tr>
      <w:tr w:rsidR="00510966" w:rsidRPr="00510966" w:rsidTr="00510966">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2A094E" w:rsidP="00510966">
            <w:pPr>
              <w:spacing w:after="0" w:line="312" w:lineRule="auto"/>
              <w:jc w:val="left"/>
              <w:rPr>
                <w:rFonts w:ascii="Times New Roman" w:hAnsi="Times New Roman"/>
                <w:szCs w:val="22"/>
                <w:lang w:val="da-DK" w:eastAsia="da-DK"/>
              </w:rPr>
            </w:pPr>
            <w:hyperlink r:id="rId27" w:history="1">
              <w:r w:rsidR="00510966" w:rsidRPr="00F3272D">
                <w:rPr>
                  <w:rFonts w:ascii="Times New Roman" w:hAnsi="Times New Roman"/>
                  <w:color w:val="095E54"/>
                  <w:szCs w:val="22"/>
                  <w:lang w:val="da-DK" w:eastAsia="da-DK"/>
                </w:rPr>
                <w:t>APT/AWG/REP-55</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510966" w:rsidRPr="00F3272D" w:rsidRDefault="00510966" w:rsidP="00510966">
            <w:pPr>
              <w:spacing w:after="0" w:line="312" w:lineRule="auto"/>
              <w:jc w:val="left"/>
              <w:rPr>
                <w:rFonts w:ascii="Times New Roman" w:hAnsi="Times New Roman"/>
                <w:szCs w:val="22"/>
                <w:lang w:val="en-US" w:eastAsia="da-DK"/>
              </w:rPr>
            </w:pPr>
            <w:r w:rsidRPr="00F3272D">
              <w:rPr>
                <w:rFonts w:ascii="Times New Roman" w:hAnsi="Times New Roman"/>
                <w:color w:val="000000"/>
                <w:szCs w:val="22"/>
                <w:lang w:val="en-US" w:eastAsia="da-DK"/>
              </w:rPr>
              <w:t>APT Report on Study on Embedded Narrow Band M2M</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510966" w:rsidP="00510966">
            <w:pPr>
              <w:spacing w:after="0" w:line="312" w:lineRule="auto"/>
              <w:jc w:val="center"/>
              <w:rPr>
                <w:rFonts w:ascii="Times New Roman" w:hAnsi="Times New Roman"/>
                <w:szCs w:val="22"/>
                <w:lang w:val="da-DK" w:eastAsia="da-DK"/>
              </w:rPr>
            </w:pPr>
            <w:r w:rsidRPr="00F3272D">
              <w:rPr>
                <w:rFonts w:ascii="Times New Roman" w:hAnsi="Times New Roman"/>
                <w:szCs w:val="22"/>
                <w:lang w:val="da-DK" w:eastAsia="da-DK"/>
              </w:rPr>
              <w:t>09/2014</w:t>
            </w:r>
          </w:p>
        </w:tc>
      </w:tr>
      <w:tr w:rsidR="00510966" w:rsidRPr="00510966" w:rsidTr="00510966">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2A094E" w:rsidP="00510966">
            <w:pPr>
              <w:spacing w:after="0" w:line="312" w:lineRule="auto"/>
              <w:jc w:val="left"/>
              <w:rPr>
                <w:rFonts w:ascii="Times New Roman" w:hAnsi="Times New Roman"/>
                <w:szCs w:val="22"/>
                <w:lang w:val="da-DK" w:eastAsia="da-DK"/>
              </w:rPr>
            </w:pPr>
            <w:hyperlink r:id="rId28" w:history="1">
              <w:r w:rsidR="00510966" w:rsidRPr="00F3272D">
                <w:rPr>
                  <w:rFonts w:ascii="Times New Roman" w:hAnsi="Times New Roman"/>
                  <w:color w:val="095E54"/>
                  <w:szCs w:val="22"/>
                  <w:lang w:val="da-DK" w:eastAsia="da-DK"/>
                </w:rPr>
                <w:t>APT/AWG/REP-56</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510966" w:rsidRPr="00F3272D" w:rsidRDefault="00510966" w:rsidP="00510966">
            <w:pPr>
              <w:spacing w:after="0" w:line="312" w:lineRule="auto"/>
              <w:jc w:val="left"/>
              <w:rPr>
                <w:rFonts w:ascii="Times New Roman" w:hAnsi="Times New Roman"/>
                <w:szCs w:val="22"/>
                <w:lang w:val="en-US" w:eastAsia="da-DK"/>
              </w:rPr>
            </w:pPr>
            <w:r w:rsidRPr="00F3272D">
              <w:rPr>
                <w:rFonts w:ascii="Times New Roman" w:hAnsi="Times New Roman"/>
                <w:color w:val="000000"/>
                <w:szCs w:val="22"/>
                <w:lang w:val="en-US" w:eastAsia="da-DK"/>
              </w:rPr>
              <w:t>APT Report on Possible Radio Services and Applications onboard Aircraft and Vessels</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510966" w:rsidP="00510966">
            <w:pPr>
              <w:spacing w:after="0" w:line="312" w:lineRule="auto"/>
              <w:jc w:val="center"/>
              <w:rPr>
                <w:rFonts w:ascii="Times New Roman" w:hAnsi="Times New Roman"/>
                <w:szCs w:val="22"/>
                <w:lang w:val="da-DK" w:eastAsia="da-DK"/>
              </w:rPr>
            </w:pPr>
            <w:r w:rsidRPr="00F3272D">
              <w:rPr>
                <w:rFonts w:ascii="Times New Roman" w:hAnsi="Times New Roman"/>
                <w:szCs w:val="22"/>
                <w:lang w:val="da-DK" w:eastAsia="da-DK"/>
              </w:rPr>
              <w:t>09/2014</w:t>
            </w:r>
          </w:p>
        </w:tc>
      </w:tr>
      <w:tr w:rsidR="00510966" w:rsidRPr="00510966" w:rsidTr="00510966">
        <w:trPr>
          <w:tblCellSpacing w:w="7" w:type="dxa"/>
        </w:trPr>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2A094E" w:rsidP="00510966">
            <w:pPr>
              <w:spacing w:after="0" w:line="312" w:lineRule="auto"/>
              <w:jc w:val="left"/>
              <w:rPr>
                <w:rFonts w:ascii="Times New Roman" w:hAnsi="Times New Roman"/>
                <w:szCs w:val="22"/>
                <w:lang w:val="da-DK" w:eastAsia="da-DK"/>
              </w:rPr>
            </w:pPr>
            <w:hyperlink r:id="rId29" w:history="1">
              <w:r w:rsidR="00510966" w:rsidRPr="00F3272D">
                <w:rPr>
                  <w:rFonts w:ascii="Times New Roman" w:hAnsi="Times New Roman"/>
                  <w:color w:val="095E54"/>
                  <w:szCs w:val="22"/>
                  <w:lang w:val="da-DK" w:eastAsia="da-DK"/>
                </w:rPr>
                <w:t>APT/AWG/REP-57</w:t>
              </w:r>
            </w:hyperlink>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vAlign w:val="center"/>
            <w:hideMark/>
          </w:tcPr>
          <w:p w:rsidR="00510966" w:rsidRPr="00F3272D" w:rsidRDefault="00510966" w:rsidP="00510966">
            <w:pPr>
              <w:spacing w:after="0" w:line="312" w:lineRule="auto"/>
              <w:jc w:val="left"/>
              <w:rPr>
                <w:rFonts w:ascii="Times New Roman" w:hAnsi="Times New Roman"/>
                <w:szCs w:val="22"/>
                <w:lang w:val="en-US" w:eastAsia="da-DK"/>
              </w:rPr>
            </w:pPr>
            <w:r w:rsidRPr="00F3272D">
              <w:rPr>
                <w:rFonts w:ascii="Times New Roman" w:hAnsi="Times New Roman"/>
                <w:color w:val="000000"/>
                <w:szCs w:val="22"/>
                <w:lang w:val="en-US" w:eastAsia="da-DK"/>
              </w:rPr>
              <w:t xml:space="preserve">APT Report on Studies within the Architecture and Performance of Integrated MSS System and Hybrid Satellite/ Terrestrial Systems below the 3GHz Band </w:t>
            </w:r>
          </w:p>
        </w:tc>
        <w:tc>
          <w:tcPr>
            <w:tcW w:w="0" w:type="auto"/>
            <w:tcBorders>
              <w:top w:val="single" w:sz="6" w:space="0" w:color="D2D2D2"/>
              <w:left w:val="single" w:sz="6" w:space="0" w:color="D2D2D2"/>
              <w:bottom w:val="single" w:sz="6" w:space="0" w:color="D2D2D2"/>
              <w:right w:val="single" w:sz="6" w:space="0" w:color="D2D2D2"/>
            </w:tcBorders>
            <w:shd w:val="clear" w:color="auto" w:fill="FFFFFF"/>
            <w:tcMar>
              <w:top w:w="60" w:type="dxa"/>
              <w:left w:w="60" w:type="dxa"/>
              <w:bottom w:w="60" w:type="dxa"/>
              <w:right w:w="60" w:type="dxa"/>
            </w:tcMar>
            <w:hideMark/>
          </w:tcPr>
          <w:p w:rsidR="00510966" w:rsidRPr="00F3272D" w:rsidRDefault="00510966" w:rsidP="00510966">
            <w:pPr>
              <w:spacing w:after="0" w:line="312" w:lineRule="auto"/>
              <w:jc w:val="center"/>
              <w:rPr>
                <w:rFonts w:ascii="Times New Roman" w:hAnsi="Times New Roman"/>
                <w:szCs w:val="22"/>
                <w:lang w:val="da-DK" w:eastAsia="da-DK"/>
              </w:rPr>
            </w:pPr>
            <w:r w:rsidRPr="00F3272D">
              <w:rPr>
                <w:rFonts w:ascii="Times New Roman" w:hAnsi="Times New Roman"/>
                <w:szCs w:val="22"/>
                <w:lang w:val="da-DK" w:eastAsia="da-DK"/>
              </w:rPr>
              <w:t>09/2014</w:t>
            </w:r>
          </w:p>
        </w:tc>
      </w:tr>
    </w:tbl>
    <w:p w:rsidR="00510966" w:rsidRDefault="00510966" w:rsidP="00270D2F"/>
    <w:p w:rsidR="006C7D8C" w:rsidRDefault="006C7D8C" w:rsidP="006C7D8C">
      <w:r>
        <w:t xml:space="preserve">The recent </w:t>
      </w:r>
      <w:r w:rsidRPr="006F70A7">
        <w:rPr>
          <w:b/>
        </w:rPr>
        <w:t>APT e-Newsletters</w:t>
      </w:r>
      <w:r>
        <w:t xml:space="preserve"> are available under: </w:t>
      </w:r>
      <w:hyperlink r:id="rId30" w:history="1">
        <w:r w:rsidRPr="00567DD6">
          <w:rPr>
            <w:rStyle w:val="Hyperlink"/>
          </w:rPr>
          <w:t>http://www.apt.int/Publications</w:t>
        </w:r>
      </w:hyperlink>
      <w:r>
        <w:t xml:space="preserve"> </w:t>
      </w:r>
      <w:r w:rsidR="00270D2F">
        <w:t>(at the bottom of the page)</w:t>
      </w:r>
    </w:p>
    <w:p w:rsidR="00277CF8" w:rsidRDefault="00277CF8" w:rsidP="00277CF8">
      <w:r w:rsidRPr="00916B79">
        <w:t>The following circulation of questionnaires has been approved by AWG-</w:t>
      </w:r>
      <w:r w:rsidR="00E32CFA">
        <w:t>17</w:t>
      </w:r>
      <w:r w:rsidRPr="00916B79">
        <w:t xml:space="preserve"> (</w:t>
      </w:r>
      <w:proofErr w:type="gramStart"/>
      <w:r w:rsidR="00E32CFA">
        <w:t xml:space="preserve">September </w:t>
      </w:r>
      <w:r>
        <w:t xml:space="preserve"> 2014</w:t>
      </w:r>
      <w:proofErr w:type="gramEnd"/>
      <w:r w:rsidRPr="00916B79">
        <w:t xml:space="preserve">) </w:t>
      </w:r>
    </w:p>
    <w:p w:rsidR="00510966" w:rsidRPr="00330291" w:rsidRDefault="002A094E" w:rsidP="00510966">
      <w:pPr>
        <w:numPr>
          <w:ilvl w:val="1"/>
          <w:numId w:val="29"/>
        </w:numPr>
        <w:spacing w:before="100" w:beforeAutospacing="1" w:after="100" w:afterAutospacing="1" w:line="312" w:lineRule="auto"/>
        <w:jc w:val="left"/>
        <w:rPr>
          <w:rStyle w:val="Hyperlink"/>
        </w:rPr>
      </w:pPr>
      <w:hyperlink r:id="rId31" w:history="1">
        <w:r w:rsidR="00510966">
          <w:rPr>
            <w:rStyle w:val="Hyperlink"/>
          </w:rPr>
          <w:t>◦Questionnaire on Small Cell Cloud Services</w:t>
        </w:r>
      </w:hyperlink>
      <w:r w:rsidR="00510966">
        <w:t xml:space="preserve"> (on developments with regard to </w:t>
      </w:r>
      <w:proofErr w:type="spellStart"/>
      <w:r w:rsidR="00510966">
        <w:t>Femto</w:t>
      </w:r>
      <w:proofErr w:type="spellEnd"/>
      <w:r w:rsidR="00510966">
        <w:t>/small cells/cloud services)</w:t>
      </w:r>
    </w:p>
    <w:p w:rsidR="00667E14" w:rsidRDefault="000403A2" w:rsidP="00277CF8">
      <w:pPr>
        <w:spacing w:after="0"/>
        <w:jc w:val="left"/>
        <w:rPr>
          <w:lang w:val="en"/>
        </w:rPr>
      </w:pPr>
      <w:r>
        <w:rPr>
          <w:lang w:val="en"/>
        </w:rPr>
        <w:t xml:space="preserve">Please note that the AFIS (APT Frequency Information System) is live now: </w:t>
      </w:r>
      <w:hyperlink r:id="rId32" w:history="1">
        <w:r w:rsidRPr="00BD7F54">
          <w:rPr>
            <w:rStyle w:val="Hyperlink"/>
            <w:lang w:val="en"/>
          </w:rPr>
          <w:t>http://www.aptafis.org/</w:t>
        </w:r>
      </w:hyperlink>
      <w:r>
        <w:rPr>
          <w:lang w:val="en"/>
        </w:rPr>
        <w:t xml:space="preserve"> . First information uploaded includes the ITU-R Region 3 allocations and footnotes, APT Reports and SRD implementation in some APT countries.</w:t>
      </w:r>
    </w:p>
    <w:p w:rsidR="000403A2" w:rsidRDefault="000403A2" w:rsidP="00277CF8">
      <w:pPr>
        <w:spacing w:after="0"/>
        <w:jc w:val="left"/>
        <w:rPr>
          <w:lang w:val="en"/>
        </w:rPr>
      </w:pPr>
    </w:p>
    <w:p w:rsidR="00A16EA7" w:rsidRDefault="00A16EA7" w:rsidP="00A16EA7">
      <w:pPr>
        <w:pStyle w:val="ListParagraph"/>
        <w:numPr>
          <w:ilvl w:val="0"/>
          <w:numId w:val="33"/>
        </w:numPr>
        <w:spacing w:after="0"/>
        <w:rPr>
          <w:b/>
          <w:sz w:val="28"/>
          <w:szCs w:val="28"/>
        </w:rPr>
      </w:pPr>
      <w:r w:rsidRPr="00A16EA7">
        <w:rPr>
          <w:b/>
          <w:sz w:val="28"/>
          <w:szCs w:val="28"/>
        </w:rPr>
        <w:t>FCC delays start of 600 MHz incentive auction to early 2016</w:t>
      </w:r>
    </w:p>
    <w:p w:rsidR="00A16EA7" w:rsidRDefault="00A16EA7" w:rsidP="00A16EA7">
      <w:pPr>
        <w:spacing w:after="0"/>
        <w:rPr>
          <w:b/>
          <w:sz w:val="28"/>
          <w:szCs w:val="28"/>
        </w:rPr>
      </w:pPr>
    </w:p>
    <w:p w:rsidR="00A16EA7" w:rsidRPr="00A16EA7" w:rsidRDefault="00A16EA7" w:rsidP="00A16EA7">
      <w:pPr>
        <w:spacing w:before="100" w:beforeAutospacing="1" w:after="100" w:afterAutospacing="1"/>
        <w:jc w:val="left"/>
        <w:rPr>
          <w:rFonts w:cs="Arial"/>
          <w:color w:val="000000"/>
          <w:szCs w:val="22"/>
          <w:lang w:val="en-US"/>
        </w:rPr>
      </w:pPr>
      <w:r w:rsidRPr="00A16EA7">
        <w:rPr>
          <w:rFonts w:cs="Arial"/>
          <w:color w:val="000000"/>
          <w:szCs w:val="22"/>
          <w:lang w:val="en-US"/>
        </w:rPr>
        <w:t xml:space="preserve">The FCC </w:t>
      </w:r>
      <w:r w:rsidR="00E32CFA">
        <w:rPr>
          <w:rFonts w:cs="Arial"/>
          <w:color w:val="000000"/>
          <w:szCs w:val="22"/>
          <w:lang w:val="en-US"/>
        </w:rPr>
        <w:t xml:space="preserve">has </w:t>
      </w:r>
      <w:r w:rsidRPr="00A16EA7">
        <w:rPr>
          <w:rFonts w:cs="Arial"/>
          <w:color w:val="000000"/>
          <w:szCs w:val="22"/>
          <w:lang w:val="en-US"/>
        </w:rPr>
        <w:t xml:space="preserve">decided to delay the start of the 600 MHz broadcast TV spectrum incentive auction from mid-2015 to early 2016. The delay marks the second time in less than a year the FCC has pushed back the </w:t>
      </w:r>
      <w:proofErr w:type="gramStart"/>
      <w:r w:rsidRPr="00A16EA7">
        <w:rPr>
          <w:rFonts w:cs="Arial"/>
          <w:color w:val="000000"/>
          <w:szCs w:val="22"/>
          <w:lang w:val="en-US"/>
        </w:rPr>
        <w:t>start date</w:t>
      </w:r>
      <w:proofErr w:type="gramEnd"/>
      <w:r w:rsidRPr="00A16EA7">
        <w:rPr>
          <w:rFonts w:cs="Arial"/>
          <w:color w:val="000000"/>
          <w:szCs w:val="22"/>
          <w:lang w:val="en-US"/>
        </w:rPr>
        <w:t xml:space="preserve"> of the auction</w:t>
      </w:r>
      <w:r w:rsidR="00E97863">
        <w:rPr>
          <w:rStyle w:val="FootnoteReference"/>
          <w:rFonts w:cs="Arial"/>
          <w:color w:val="000000"/>
          <w:szCs w:val="22"/>
          <w:lang w:val="en-US"/>
        </w:rPr>
        <w:footnoteReference w:id="1"/>
      </w:r>
      <w:r w:rsidR="00E97863">
        <w:rPr>
          <w:rFonts w:cs="Arial"/>
          <w:color w:val="000000"/>
          <w:szCs w:val="22"/>
          <w:lang w:val="en-US"/>
        </w:rPr>
        <w:t>.</w:t>
      </w:r>
      <w:r w:rsidR="00E97863" w:rsidRPr="00E97863">
        <w:rPr>
          <w:rFonts w:cs="Arial"/>
          <w:color w:val="000000"/>
          <w:szCs w:val="22"/>
          <w:lang w:val="en-US"/>
        </w:rPr>
        <w:t xml:space="preserve"> </w:t>
      </w:r>
      <w:proofErr w:type="gramStart"/>
      <w:r w:rsidRPr="00A16EA7">
        <w:rPr>
          <w:rFonts w:cs="Arial"/>
          <w:color w:val="000000"/>
          <w:szCs w:val="22"/>
          <w:lang w:val="en-US"/>
        </w:rPr>
        <w:t>and</w:t>
      </w:r>
      <w:proofErr w:type="gramEnd"/>
      <w:r w:rsidRPr="00A16EA7">
        <w:rPr>
          <w:rFonts w:cs="Arial"/>
          <w:color w:val="000000"/>
          <w:szCs w:val="22"/>
          <w:lang w:val="en-US"/>
        </w:rPr>
        <w:t xml:space="preserve"> is an indication of the both the complexity in designing the auction and the problems stemming from a legal challenge against the auction by the National Association of Broadcasters.</w:t>
      </w:r>
    </w:p>
    <w:p w:rsidR="00A16EA7" w:rsidRPr="00A16EA7" w:rsidRDefault="00A16EA7" w:rsidP="00A16EA7">
      <w:pPr>
        <w:spacing w:before="100" w:beforeAutospacing="1" w:after="100" w:afterAutospacing="1"/>
        <w:jc w:val="left"/>
        <w:rPr>
          <w:rFonts w:cs="Arial"/>
          <w:color w:val="000000"/>
          <w:szCs w:val="22"/>
          <w:lang w:val="en-US"/>
        </w:rPr>
      </w:pPr>
      <w:r w:rsidRPr="00A16EA7">
        <w:rPr>
          <w:rFonts w:cs="Arial"/>
          <w:color w:val="000000"/>
          <w:szCs w:val="22"/>
          <w:lang w:val="en-US"/>
        </w:rPr>
        <w:t xml:space="preserve">The NAB </w:t>
      </w:r>
      <w:r>
        <w:rPr>
          <w:rFonts w:cs="Arial"/>
          <w:color w:val="000000"/>
          <w:szCs w:val="22"/>
          <w:lang w:val="en-US"/>
        </w:rPr>
        <w:t xml:space="preserve">(National Association of Broadcasters) </w:t>
      </w:r>
      <w:r w:rsidRPr="00A16EA7">
        <w:rPr>
          <w:rFonts w:cs="Arial"/>
          <w:color w:val="000000"/>
          <w:szCs w:val="22"/>
          <w:lang w:val="en-US"/>
        </w:rPr>
        <w:t xml:space="preserve">sued the FCC in August, arguing that the agency's rules would diminish broadcasters' coverage areas and could result in a loss in viewership. One of the broadcasters' main arguments against the FCC is that the </w:t>
      </w:r>
      <w:r w:rsidR="00E97863">
        <w:rPr>
          <w:rFonts w:cs="Arial"/>
          <w:color w:val="000000"/>
          <w:szCs w:val="22"/>
          <w:lang w:val="en-US"/>
        </w:rPr>
        <w:t>C</w:t>
      </w:r>
      <w:r w:rsidRPr="00A16EA7">
        <w:rPr>
          <w:rFonts w:cs="Arial"/>
          <w:color w:val="000000"/>
          <w:szCs w:val="22"/>
          <w:lang w:val="en-US"/>
        </w:rPr>
        <w:t xml:space="preserve">ommission has changed how it calculates TV station coverage areas, using a methodology known as OET-69, </w:t>
      </w:r>
      <w:r w:rsidR="00E97863">
        <w:rPr>
          <w:rFonts w:cs="Arial"/>
          <w:color w:val="000000"/>
          <w:szCs w:val="22"/>
          <w:lang w:val="en-US"/>
        </w:rPr>
        <w:t xml:space="preserve">(OET = </w:t>
      </w:r>
      <w:r w:rsidRPr="00A16EA7">
        <w:rPr>
          <w:rFonts w:cs="Arial"/>
          <w:color w:val="000000"/>
          <w:szCs w:val="22"/>
          <w:lang w:val="en-US"/>
        </w:rPr>
        <w:t>the FCC's Office of Engineering and Technology</w:t>
      </w:r>
      <w:r w:rsidR="00E97863">
        <w:rPr>
          <w:rFonts w:cs="Arial"/>
          <w:color w:val="000000"/>
          <w:szCs w:val="22"/>
          <w:lang w:val="en-US"/>
        </w:rPr>
        <w:t>)</w:t>
      </w:r>
      <w:r w:rsidRPr="00A16EA7">
        <w:rPr>
          <w:rFonts w:cs="Arial"/>
          <w:color w:val="000000"/>
          <w:szCs w:val="22"/>
          <w:lang w:val="en-US"/>
        </w:rPr>
        <w:t xml:space="preserve">. The NAB has said it did not intend </w:t>
      </w:r>
      <w:r w:rsidR="00E97863">
        <w:rPr>
          <w:rFonts w:cs="Arial"/>
          <w:color w:val="000000"/>
          <w:szCs w:val="22"/>
          <w:lang w:val="en-US"/>
        </w:rPr>
        <w:t xml:space="preserve">that </w:t>
      </w:r>
      <w:r w:rsidRPr="00A16EA7">
        <w:rPr>
          <w:rFonts w:cs="Arial"/>
          <w:color w:val="000000"/>
          <w:szCs w:val="22"/>
          <w:lang w:val="en-US"/>
        </w:rPr>
        <w:t xml:space="preserve">its lawsuit </w:t>
      </w:r>
      <w:r w:rsidR="00E97863">
        <w:rPr>
          <w:rFonts w:cs="Arial"/>
          <w:color w:val="000000"/>
          <w:szCs w:val="22"/>
          <w:lang w:val="en-US"/>
        </w:rPr>
        <w:t>would</w:t>
      </w:r>
      <w:r w:rsidRPr="00A16EA7">
        <w:rPr>
          <w:rFonts w:cs="Arial"/>
          <w:color w:val="000000"/>
          <w:szCs w:val="22"/>
          <w:lang w:val="en-US"/>
        </w:rPr>
        <w:t xml:space="preserve"> derail the auction.</w:t>
      </w:r>
    </w:p>
    <w:p w:rsidR="00A16EA7" w:rsidRPr="00A16EA7" w:rsidRDefault="00A16EA7" w:rsidP="00A16EA7">
      <w:pPr>
        <w:spacing w:before="100" w:beforeAutospacing="1" w:after="100" w:afterAutospacing="1"/>
        <w:jc w:val="left"/>
        <w:rPr>
          <w:rFonts w:cs="Arial"/>
          <w:color w:val="000000"/>
          <w:szCs w:val="22"/>
          <w:lang w:val="en-US"/>
        </w:rPr>
      </w:pPr>
      <w:r w:rsidRPr="00A16EA7">
        <w:rPr>
          <w:rFonts w:cs="Arial"/>
          <w:color w:val="000000"/>
          <w:szCs w:val="22"/>
          <w:lang w:val="en-US"/>
        </w:rPr>
        <w:t>Under the basic auction structure, after broadcasters give up their spectrum, it will be "repacked" so that broadcasters that do not give up their spectrum can stay on the air</w:t>
      </w:r>
      <w:r w:rsidR="00E97863">
        <w:rPr>
          <w:rFonts w:cs="Arial"/>
          <w:color w:val="000000"/>
          <w:szCs w:val="22"/>
          <w:lang w:val="en-US"/>
        </w:rPr>
        <w:t>, but typically on different frequencies</w:t>
      </w:r>
      <w:r w:rsidRPr="00A16EA7">
        <w:rPr>
          <w:rFonts w:cs="Arial"/>
          <w:color w:val="000000"/>
          <w:szCs w:val="22"/>
          <w:lang w:val="en-US"/>
        </w:rPr>
        <w:t>. Then the FCC will conduct a traditional "forward" auction in which wireless carriers will bid for the freed spectrum</w:t>
      </w:r>
      <w:r w:rsidR="00E97863">
        <w:rPr>
          <w:rFonts w:cs="Arial"/>
          <w:color w:val="000000"/>
          <w:szCs w:val="22"/>
          <w:lang w:val="en-US"/>
        </w:rPr>
        <w:t>; how much freed spectrum is available will depend on how much broadcasters are prepared to relinquish in return for the fees they offer to receive in order to do so.</w:t>
      </w:r>
      <w:r w:rsidRPr="00A16EA7">
        <w:rPr>
          <w:rFonts w:cs="Arial"/>
          <w:color w:val="000000"/>
          <w:szCs w:val="22"/>
          <w:lang w:val="en-US"/>
        </w:rPr>
        <w:t>.</w:t>
      </w:r>
    </w:p>
    <w:p w:rsidR="00A16EA7" w:rsidRPr="00A16EA7" w:rsidRDefault="00A16EA7" w:rsidP="00A16EA7">
      <w:pPr>
        <w:spacing w:before="100" w:beforeAutospacing="1" w:after="100" w:afterAutospacing="1"/>
        <w:jc w:val="left"/>
        <w:rPr>
          <w:rFonts w:cs="Arial"/>
          <w:color w:val="000000"/>
          <w:szCs w:val="22"/>
          <w:lang w:val="en-US"/>
        </w:rPr>
      </w:pPr>
      <w:r w:rsidRPr="00A16EA7">
        <w:rPr>
          <w:rFonts w:cs="Arial"/>
          <w:color w:val="000000"/>
          <w:szCs w:val="22"/>
          <w:lang w:val="en-US"/>
        </w:rPr>
        <w:t xml:space="preserve">The FCC adopted basic rules for the auction in May 2014 and then set about writing more detailed rules for how the auction would be governed. </w:t>
      </w:r>
    </w:p>
    <w:p w:rsidR="00A16EA7" w:rsidRPr="00A16EA7" w:rsidRDefault="00A16EA7" w:rsidP="00A16EA7">
      <w:pPr>
        <w:spacing w:before="100" w:beforeAutospacing="1" w:after="100" w:afterAutospacing="1"/>
        <w:jc w:val="left"/>
        <w:rPr>
          <w:rFonts w:cs="Arial"/>
          <w:color w:val="000000"/>
          <w:szCs w:val="22"/>
          <w:lang w:val="en-US"/>
        </w:rPr>
      </w:pPr>
      <w:r w:rsidRPr="00A16EA7">
        <w:rPr>
          <w:rFonts w:cs="Arial"/>
          <w:color w:val="000000"/>
          <w:szCs w:val="22"/>
          <w:lang w:val="en-US"/>
        </w:rPr>
        <w:lastRenderedPageBreak/>
        <w:t xml:space="preserve">By the end of the year the </w:t>
      </w:r>
      <w:r w:rsidR="00E97863">
        <w:rPr>
          <w:rFonts w:cs="Arial"/>
          <w:color w:val="000000"/>
          <w:szCs w:val="22"/>
          <w:lang w:val="en-US"/>
        </w:rPr>
        <w:t>C</w:t>
      </w:r>
      <w:r w:rsidRPr="00A16EA7">
        <w:rPr>
          <w:rFonts w:cs="Arial"/>
          <w:color w:val="000000"/>
          <w:szCs w:val="22"/>
          <w:lang w:val="en-US"/>
        </w:rPr>
        <w:t xml:space="preserve">ommission is expected to vote on a public notice that will propose and seek comment on the detailed directions for how the auction will be conducted, including the methodology to be used to establish opening bids for the reverse and forward auctions; how to define "impaired" markets subject to interference; and the components of determining when final bidding conditions have been met. The FCC will also consider a proposed rule-making to preserve one vacant TV channel post-auction for use by </w:t>
      </w:r>
      <w:proofErr w:type="spellStart"/>
      <w:r w:rsidRPr="00A16EA7">
        <w:rPr>
          <w:rFonts w:cs="Arial"/>
          <w:color w:val="000000"/>
          <w:szCs w:val="22"/>
          <w:lang w:val="en-US"/>
        </w:rPr>
        <w:t>licen</w:t>
      </w:r>
      <w:r w:rsidR="00E97863">
        <w:rPr>
          <w:rFonts w:cs="Arial"/>
          <w:color w:val="000000"/>
          <w:szCs w:val="22"/>
          <w:lang w:val="en-US"/>
        </w:rPr>
        <w:t>c</w:t>
      </w:r>
      <w:r w:rsidRPr="00A16EA7">
        <w:rPr>
          <w:rFonts w:cs="Arial"/>
          <w:color w:val="000000"/>
          <w:szCs w:val="22"/>
          <w:lang w:val="en-US"/>
        </w:rPr>
        <w:t>e</w:t>
      </w:r>
      <w:proofErr w:type="spellEnd"/>
      <w:r w:rsidR="00E97863">
        <w:rPr>
          <w:rFonts w:cs="Arial"/>
          <w:color w:val="000000"/>
          <w:szCs w:val="22"/>
          <w:lang w:val="en-US"/>
        </w:rPr>
        <w:t>-exempt</w:t>
      </w:r>
      <w:r w:rsidRPr="00A16EA7">
        <w:rPr>
          <w:rFonts w:cs="Arial"/>
          <w:color w:val="000000"/>
          <w:szCs w:val="22"/>
          <w:lang w:val="en-US"/>
        </w:rPr>
        <w:t xml:space="preserve"> devices.</w:t>
      </w:r>
    </w:p>
    <w:p w:rsidR="00A16EA7" w:rsidRPr="00A16EA7" w:rsidRDefault="00A16EA7" w:rsidP="00A16EA7">
      <w:pPr>
        <w:spacing w:before="100" w:beforeAutospacing="1" w:after="100" w:afterAutospacing="1"/>
        <w:jc w:val="left"/>
        <w:rPr>
          <w:rFonts w:cs="Arial"/>
          <w:color w:val="000000"/>
          <w:szCs w:val="22"/>
          <w:lang w:val="en-US"/>
        </w:rPr>
      </w:pPr>
      <w:r w:rsidRPr="00A16EA7">
        <w:rPr>
          <w:rFonts w:cs="Arial"/>
          <w:color w:val="000000"/>
          <w:szCs w:val="22"/>
          <w:lang w:val="en-US"/>
        </w:rPr>
        <w:t>.</w:t>
      </w:r>
    </w:p>
    <w:p w:rsidR="00A16EA7" w:rsidRPr="002A094E" w:rsidRDefault="002A094E" w:rsidP="00A16EA7">
      <w:pPr>
        <w:spacing w:after="0"/>
        <w:rPr>
          <w:b/>
          <w:i/>
          <w:sz w:val="24"/>
          <w:szCs w:val="24"/>
        </w:rPr>
      </w:pPr>
      <w:hyperlink r:id="rId33" w:history="1">
        <w:r w:rsidR="00A16EA7" w:rsidRPr="00BD7F54">
          <w:rPr>
            <w:rStyle w:val="Hyperlink"/>
            <w:b/>
            <w:sz w:val="24"/>
            <w:szCs w:val="24"/>
          </w:rPr>
          <w:t>http://www.fcc.gov/blog/incentive-auction-progress-report</w:t>
        </w:r>
      </w:hyperlink>
      <w:r w:rsidR="00A16EA7" w:rsidRPr="002A094E">
        <w:rPr>
          <w:b/>
          <w:i/>
          <w:sz w:val="24"/>
          <w:szCs w:val="24"/>
        </w:rPr>
        <w:t xml:space="preserve"> </w:t>
      </w:r>
      <w:r w:rsidR="00A16EA7" w:rsidRPr="002A094E">
        <w:rPr>
          <w:b/>
          <w:i/>
          <w:sz w:val="20"/>
        </w:rPr>
        <w:t>(24 October 2014)</w:t>
      </w:r>
    </w:p>
    <w:p w:rsidR="00E97863" w:rsidRPr="002A094E" w:rsidRDefault="00E97863" w:rsidP="00BC6FF5">
      <w:pPr>
        <w:spacing w:before="100" w:beforeAutospacing="1" w:after="100" w:afterAutospacing="1"/>
        <w:jc w:val="left"/>
        <w:rPr>
          <w:rFonts w:cs="Arial"/>
          <w:b/>
          <w:i/>
          <w:color w:val="000000"/>
          <w:szCs w:val="22"/>
          <w:lang w:val="en-US"/>
        </w:rPr>
      </w:pPr>
      <w:r w:rsidRPr="002A094E">
        <w:rPr>
          <w:rFonts w:cs="Arial"/>
          <w:b/>
          <w:i/>
          <w:color w:val="000000"/>
          <w:szCs w:val="22"/>
          <w:lang w:val="en-US"/>
        </w:rPr>
        <w:t>Other spec</w:t>
      </w:r>
      <w:r w:rsidR="00CF4265">
        <w:rPr>
          <w:rFonts w:cs="Arial"/>
          <w:b/>
          <w:i/>
          <w:color w:val="000000"/>
          <w:szCs w:val="22"/>
          <w:lang w:val="en-US"/>
        </w:rPr>
        <w:t>t</w:t>
      </w:r>
      <w:r w:rsidRPr="002A094E">
        <w:rPr>
          <w:rFonts w:cs="Arial"/>
          <w:b/>
          <w:i/>
          <w:color w:val="000000"/>
          <w:szCs w:val="22"/>
          <w:lang w:val="en-US"/>
        </w:rPr>
        <w:t>rum users in UHF</w:t>
      </w:r>
    </w:p>
    <w:p w:rsidR="00BC6FF5" w:rsidRPr="00BC6FF5" w:rsidRDefault="00BC6FF5" w:rsidP="00BC6FF5">
      <w:pPr>
        <w:spacing w:before="100" w:beforeAutospacing="1" w:after="100" w:afterAutospacing="1"/>
        <w:jc w:val="left"/>
        <w:rPr>
          <w:rFonts w:cs="Arial"/>
          <w:color w:val="000000"/>
          <w:szCs w:val="22"/>
          <w:lang w:val="en-US"/>
        </w:rPr>
      </w:pPr>
      <w:r w:rsidRPr="00BC6FF5">
        <w:rPr>
          <w:rFonts w:cs="Arial"/>
          <w:color w:val="000000"/>
          <w:szCs w:val="22"/>
          <w:lang w:val="en-US"/>
        </w:rPr>
        <w:t>In addition, on 30 September 2014, the FCC started a NPRM (</w:t>
      </w:r>
      <w:r>
        <w:rPr>
          <w:rFonts w:cs="Arial"/>
          <w:color w:val="000000"/>
          <w:szCs w:val="22"/>
          <w:lang w:val="en-US"/>
        </w:rPr>
        <w:t>n</w:t>
      </w:r>
      <w:r w:rsidRPr="00BC6FF5">
        <w:rPr>
          <w:rFonts w:cs="Arial"/>
          <w:color w:val="000000"/>
          <w:szCs w:val="22"/>
          <w:lang w:val="en-US"/>
        </w:rPr>
        <w:t>ew proposed rulemaking</w:t>
      </w:r>
      <w:r>
        <w:rPr>
          <w:rFonts w:cs="Arial"/>
          <w:color w:val="000000"/>
          <w:szCs w:val="22"/>
          <w:lang w:val="en-US"/>
        </w:rPr>
        <w:t xml:space="preserve">/ consultation) </w:t>
      </w:r>
      <w:r w:rsidRPr="00BC6FF5">
        <w:rPr>
          <w:rFonts w:cs="Arial"/>
          <w:color w:val="000000"/>
          <w:szCs w:val="22"/>
          <w:lang w:val="en-US"/>
        </w:rPr>
        <w:t xml:space="preserve">for modification of the Part 15 rules (unlicensed devices). The Commission’s Part 15 rules permit devices to operate on unused “white space” spectrum between TV stations. The Notice of Proposed Rulemaking considers changes to its existing Part 15 rules to facilitate unlicensed use of the television bands, 600 MHz Band guard bands and channel 37. </w:t>
      </w:r>
    </w:p>
    <w:p w:rsidR="00BC6FF5" w:rsidRPr="00BC6FF5" w:rsidRDefault="00BC6FF5" w:rsidP="00BC6FF5">
      <w:pPr>
        <w:spacing w:before="100" w:beforeAutospacing="1" w:after="100" w:afterAutospacing="1"/>
        <w:jc w:val="left"/>
        <w:rPr>
          <w:rFonts w:cs="Arial"/>
          <w:color w:val="000000"/>
          <w:szCs w:val="22"/>
          <w:lang w:val="en-US"/>
        </w:rPr>
      </w:pPr>
      <w:r w:rsidRPr="00BC6FF5">
        <w:rPr>
          <w:rFonts w:cs="Arial"/>
          <w:color w:val="000000"/>
          <w:szCs w:val="22"/>
          <w:lang w:val="en-US"/>
        </w:rPr>
        <w:t>Following the incentive auction, with the repacking of the television band and the repurposing of current television spectrum for wireless services, there will be fewer frequencies in the UHF band available for use by unlicensed fixed and personal/portable white space devices and wireless microphones. The proposed changes to Part 15 rules are designed to allow for more robust service and efficient spectral use</w:t>
      </w:r>
      <w:r>
        <w:rPr>
          <w:rFonts w:cs="Arial"/>
          <w:color w:val="000000"/>
          <w:szCs w:val="22"/>
          <w:lang w:val="en-US"/>
        </w:rPr>
        <w:t xml:space="preserve"> </w:t>
      </w:r>
      <w:r w:rsidRPr="00BC6FF5">
        <w:rPr>
          <w:rFonts w:cs="Arial"/>
          <w:color w:val="000000"/>
          <w:szCs w:val="22"/>
          <w:lang w:val="en-US"/>
        </w:rPr>
        <w:t>in the frequency bands that are now and will continue to be allocated and assigned to broadcast television services, while continuing to protect authorised users from harmful interference.</w:t>
      </w:r>
    </w:p>
    <w:p w:rsidR="00A16EA7" w:rsidRPr="00BC6FF5" w:rsidRDefault="002A094E" w:rsidP="00A16EA7">
      <w:pPr>
        <w:spacing w:after="0"/>
        <w:rPr>
          <w:b/>
          <w:szCs w:val="22"/>
        </w:rPr>
      </w:pPr>
      <w:hyperlink r:id="rId34" w:history="1">
        <w:r w:rsidR="00BC6FF5" w:rsidRPr="00BC6FF5">
          <w:rPr>
            <w:rStyle w:val="Hyperlink"/>
            <w:b/>
            <w:szCs w:val="22"/>
          </w:rPr>
          <w:t>http://www.fcc.gov/document/fcc-proposes-modify-rules-unlicensed-use-tv-600-mhz-bands</w:t>
        </w:r>
      </w:hyperlink>
      <w:r w:rsidR="00BC6FF5" w:rsidRPr="00BC6FF5">
        <w:rPr>
          <w:b/>
          <w:szCs w:val="22"/>
        </w:rPr>
        <w:t xml:space="preserve"> </w:t>
      </w:r>
    </w:p>
    <w:p w:rsidR="00BC6FF5" w:rsidRDefault="00BC6FF5" w:rsidP="00BC6FF5">
      <w:pPr>
        <w:spacing w:after="0"/>
        <w:jc w:val="left"/>
        <w:rPr>
          <w:b/>
          <w:szCs w:val="22"/>
        </w:rPr>
      </w:pPr>
      <w:r w:rsidRPr="00BC6FF5">
        <w:rPr>
          <w:rFonts w:cs="Arial"/>
          <w:color w:val="000000"/>
          <w:szCs w:val="22"/>
          <w:lang w:val="en-US"/>
        </w:rPr>
        <w:t>Docket (see views):</w:t>
      </w:r>
      <w:r>
        <w:rPr>
          <w:b/>
          <w:sz w:val="28"/>
          <w:szCs w:val="28"/>
        </w:rPr>
        <w:t xml:space="preserve"> </w:t>
      </w:r>
      <w:hyperlink r:id="rId35" w:history="1">
        <w:r w:rsidRPr="00BD7F54">
          <w:rPr>
            <w:rStyle w:val="Hyperlink"/>
            <w:b/>
            <w:szCs w:val="22"/>
          </w:rPr>
          <w:t>http://apps.fcc.gov/ecfs/proceeding/view?name=14-144</w:t>
        </w:r>
      </w:hyperlink>
      <w:r>
        <w:rPr>
          <w:b/>
          <w:szCs w:val="22"/>
        </w:rPr>
        <w:t xml:space="preserve"> </w:t>
      </w:r>
    </w:p>
    <w:p w:rsidR="00BC6FF5" w:rsidRDefault="00BC6FF5" w:rsidP="00BC6FF5">
      <w:pPr>
        <w:spacing w:after="0"/>
        <w:jc w:val="left"/>
        <w:rPr>
          <w:b/>
          <w:szCs w:val="22"/>
        </w:rPr>
      </w:pPr>
    </w:p>
    <w:bookmarkStart w:id="2" w:name="_MON_1477817259"/>
    <w:bookmarkEnd w:id="2"/>
    <w:p w:rsidR="00E7762C" w:rsidRDefault="00E7762C" w:rsidP="00E7762C">
      <w:pPr>
        <w:spacing w:after="0"/>
        <w:jc w:val="left"/>
        <w:rPr>
          <w:b/>
          <w:sz w:val="28"/>
          <w:szCs w:val="28"/>
        </w:rPr>
      </w:pPr>
      <w:r>
        <w:rPr>
          <w:b/>
          <w:sz w:val="28"/>
          <w:szCs w:val="28"/>
        </w:rPr>
        <w:object w:dxaOrig="1531" w:dyaOrig="990">
          <v:shape id="_x0000_i1027" type="#_x0000_t75" style="width:76.4pt;height:49.45pt" o:ole="">
            <v:imagedata r:id="rId36" o:title=""/>
          </v:shape>
          <o:OLEObject Type="Embed" ProgID="Word.Document.12" ShapeID="_x0000_i1027" DrawAspect="Icon" ObjectID="_1477908522" r:id="rId37">
            <o:FieldCodes>\s</o:FieldCodes>
          </o:OLEObject>
        </w:object>
      </w:r>
    </w:p>
    <w:p w:rsidR="00E7762C" w:rsidRPr="00E7762C" w:rsidRDefault="00E7762C" w:rsidP="00E7762C">
      <w:pPr>
        <w:spacing w:after="0"/>
        <w:jc w:val="left"/>
        <w:rPr>
          <w:rFonts w:cs="Arial"/>
          <w:color w:val="000000"/>
          <w:szCs w:val="22"/>
          <w:lang w:val="en-US"/>
        </w:rPr>
      </w:pPr>
      <w:r w:rsidRPr="00E7762C">
        <w:rPr>
          <w:rFonts w:cs="Arial"/>
          <w:color w:val="000000"/>
          <w:szCs w:val="22"/>
          <w:lang w:val="en-US"/>
        </w:rPr>
        <w:t>The FCC comment deadline</w:t>
      </w:r>
      <w:r w:rsidR="00A3274B">
        <w:rPr>
          <w:rFonts w:cs="Arial"/>
          <w:color w:val="000000"/>
          <w:szCs w:val="22"/>
          <w:lang w:val="en-US"/>
        </w:rPr>
        <w:t xml:space="preserve"> was</w:t>
      </w:r>
      <w:r w:rsidRPr="00E7762C">
        <w:rPr>
          <w:rFonts w:cs="Arial"/>
          <w:color w:val="000000"/>
          <w:szCs w:val="22"/>
          <w:lang w:val="en-US"/>
        </w:rPr>
        <w:t xml:space="preserve"> 45 days after the date of publication</w:t>
      </w:r>
      <w:r>
        <w:rPr>
          <w:rFonts w:cs="Arial"/>
          <w:color w:val="000000"/>
          <w:szCs w:val="22"/>
          <w:lang w:val="en-US"/>
        </w:rPr>
        <w:t>.</w:t>
      </w:r>
    </w:p>
    <w:p w:rsidR="00A3274B" w:rsidRDefault="00A3274B" w:rsidP="00BC6FF5">
      <w:pPr>
        <w:spacing w:after="0"/>
        <w:jc w:val="left"/>
        <w:rPr>
          <w:b/>
          <w:sz w:val="28"/>
          <w:szCs w:val="28"/>
          <w:lang w:val="en-US"/>
        </w:rPr>
      </w:pPr>
    </w:p>
    <w:p w:rsidR="00BE1D13" w:rsidRPr="00BE1D13" w:rsidRDefault="00BE1D13" w:rsidP="00BE1D13">
      <w:pPr>
        <w:pStyle w:val="ListParagraph"/>
        <w:numPr>
          <w:ilvl w:val="0"/>
          <w:numId w:val="33"/>
        </w:numPr>
        <w:spacing w:after="0"/>
        <w:rPr>
          <w:b/>
          <w:sz w:val="28"/>
          <w:szCs w:val="28"/>
        </w:rPr>
      </w:pPr>
      <w:r>
        <w:rPr>
          <w:b/>
          <w:sz w:val="28"/>
          <w:szCs w:val="28"/>
        </w:rPr>
        <w:t xml:space="preserve">IEEE: </w:t>
      </w:r>
      <w:r w:rsidRPr="00BE1D13">
        <w:rPr>
          <w:b/>
          <w:sz w:val="28"/>
          <w:szCs w:val="28"/>
        </w:rPr>
        <w:t xml:space="preserve">Spectrum co-existence </w:t>
      </w:r>
      <w:r>
        <w:rPr>
          <w:b/>
          <w:sz w:val="28"/>
          <w:szCs w:val="28"/>
        </w:rPr>
        <w:t xml:space="preserve">studies </w:t>
      </w:r>
      <w:r w:rsidRPr="00BE1D13">
        <w:rPr>
          <w:b/>
          <w:sz w:val="28"/>
          <w:szCs w:val="28"/>
        </w:rPr>
        <w:t>between ITS and WAS/RLAN</w:t>
      </w:r>
    </w:p>
    <w:p w:rsidR="00BE1D13" w:rsidRDefault="00BE1D13" w:rsidP="00BC6FF5">
      <w:pPr>
        <w:spacing w:after="0"/>
        <w:jc w:val="left"/>
        <w:rPr>
          <w:b/>
          <w:sz w:val="28"/>
          <w:szCs w:val="28"/>
          <w:lang w:val="en-US"/>
        </w:rPr>
      </w:pPr>
    </w:p>
    <w:p w:rsidR="00BE1D13" w:rsidRPr="00BE1D13" w:rsidRDefault="00BE1D13" w:rsidP="00BC6FF5">
      <w:pPr>
        <w:spacing w:after="0"/>
        <w:jc w:val="left"/>
        <w:rPr>
          <w:rFonts w:cs="Arial"/>
          <w:color w:val="000000"/>
          <w:szCs w:val="22"/>
          <w:lang w:val="en-US"/>
        </w:rPr>
      </w:pPr>
      <w:r w:rsidRPr="00BE1D13">
        <w:rPr>
          <w:rFonts w:cs="Arial"/>
          <w:color w:val="000000"/>
          <w:szCs w:val="22"/>
          <w:lang w:val="en-US"/>
        </w:rPr>
        <w:t xml:space="preserve">The Regulatory Standing Committee of IEEE 802.11 created already in 2013 a “Tiger Team” to bring together interested participants to exchange technical ideas and explore possible solutions to the band sharing issue as proposed in the FCC NPRM. </w:t>
      </w:r>
    </w:p>
    <w:p w:rsidR="00BE1D13" w:rsidRPr="00BE1D13" w:rsidRDefault="00BE1D13" w:rsidP="00BC6FF5">
      <w:pPr>
        <w:spacing w:after="0"/>
        <w:jc w:val="left"/>
        <w:rPr>
          <w:rFonts w:cs="Arial"/>
          <w:color w:val="000000"/>
          <w:szCs w:val="22"/>
          <w:lang w:val="en-US"/>
        </w:rPr>
      </w:pPr>
    </w:p>
    <w:p w:rsidR="00BE1D13" w:rsidRDefault="00BE1D13" w:rsidP="00BC6FF5">
      <w:pPr>
        <w:spacing w:after="0"/>
        <w:jc w:val="left"/>
        <w:rPr>
          <w:b/>
          <w:sz w:val="28"/>
          <w:szCs w:val="28"/>
          <w:lang w:val="en-US"/>
        </w:rPr>
      </w:pPr>
      <w:r w:rsidRPr="00BE1D13">
        <w:rPr>
          <w:rFonts w:cs="Arial"/>
          <w:color w:val="000000"/>
          <w:szCs w:val="22"/>
          <w:lang w:val="en-US"/>
        </w:rPr>
        <w:t>Documents are available on the IEEE document server called “Mentor”</w:t>
      </w:r>
      <w:r>
        <w:rPr>
          <w:rFonts w:cs="Arial"/>
          <w:color w:val="000000"/>
          <w:szCs w:val="22"/>
          <w:lang w:val="en-US"/>
        </w:rPr>
        <w:t xml:space="preserve"> (this may be of interest/ for information </w:t>
      </w:r>
      <w:r w:rsidR="00CF4265">
        <w:rPr>
          <w:rFonts w:cs="Arial"/>
          <w:color w:val="000000"/>
          <w:szCs w:val="22"/>
          <w:lang w:val="en-US"/>
        </w:rPr>
        <w:t>to</w:t>
      </w:r>
      <w:r>
        <w:rPr>
          <w:rFonts w:cs="Arial"/>
          <w:color w:val="000000"/>
          <w:szCs w:val="22"/>
          <w:lang w:val="en-US"/>
        </w:rPr>
        <w:t xml:space="preserve"> those active in FM55 and SE24)</w:t>
      </w:r>
      <w:r w:rsidRPr="00BE1D13">
        <w:rPr>
          <w:rFonts w:cs="Arial"/>
          <w:color w:val="000000"/>
          <w:szCs w:val="22"/>
          <w:lang w:val="en-US"/>
        </w:rPr>
        <w:t>.</w:t>
      </w:r>
    </w:p>
    <w:p w:rsidR="00BE1D13" w:rsidRDefault="00BE1D13" w:rsidP="00BC6FF5">
      <w:pPr>
        <w:spacing w:after="0"/>
        <w:jc w:val="left"/>
        <w:rPr>
          <w:b/>
          <w:sz w:val="28"/>
          <w:szCs w:val="28"/>
          <w:lang w:val="en-US"/>
        </w:rPr>
      </w:pPr>
    </w:p>
    <w:p w:rsidR="00BE1D13" w:rsidRPr="00BE1D13" w:rsidRDefault="002A094E" w:rsidP="00BC6FF5">
      <w:pPr>
        <w:spacing w:after="0"/>
        <w:jc w:val="left"/>
        <w:rPr>
          <w:b/>
          <w:szCs w:val="22"/>
          <w:lang w:val="en-US"/>
        </w:rPr>
      </w:pPr>
      <w:hyperlink r:id="rId38" w:history="1">
        <w:r w:rsidR="00BE1D13" w:rsidRPr="00BE1D13">
          <w:rPr>
            <w:rStyle w:val="Hyperlink"/>
            <w:b/>
            <w:szCs w:val="22"/>
            <w:lang w:val="en-US"/>
          </w:rPr>
          <w:t>https://mentor.ieee.org/802.11/documents?is_dcn=DCN%2C%20Title%2C%20Author%20or%20Affiliation&amp;is_group=0reg</w:t>
        </w:r>
      </w:hyperlink>
      <w:r w:rsidR="00BE1D13" w:rsidRPr="00BE1D13">
        <w:rPr>
          <w:b/>
          <w:szCs w:val="22"/>
          <w:lang w:val="en-US"/>
        </w:rPr>
        <w:t xml:space="preserve"> </w:t>
      </w:r>
    </w:p>
    <w:p w:rsidR="00BE1D13" w:rsidRDefault="00BE1D13" w:rsidP="00BC6FF5">
      <w:pPr>
        <w:spacing w:after="0"/>
        <w:jc w:val="left"/>
        <w:rPr>
          <w:b/>
          <w:sz w:val="28"/>
          <w:szCs w:val="28"/>
          <w:lang w:val="en-US"/>
        </w:rPr>
      </w:pPr>
    </w:p>
    <w:p w:rsidR="00BE1D13" w:rsidRDefault="00BE1D13" w:rsidP="00BC6FF5">
      <w:pPr>
        <w:spacing w:after="0"/>
        <w:jc w:val="left"/>
        <w:rPr>
          <w:rFonts w:cs="Arial"/>
          <w:color w:val="000000"/>
          <w:szCs w:val="22"/>
          <w:lang w:val="en-US"/>
        </w:rPr>
      </w:pPr>
      <w:r w:rsidRPr="00BE1D13">
        <w:rPr>
          <w:rFonts w:cs="Arial"/>
          <w:color w:val="000000"/>
          <w:szCs w:val="22"/>
          <w:lang w:val="en-US"/>
        </w:rPr>
        <w:t>IEEE 802.11 technical activities will continue to explore ITS vs WAS/RLAN coexistence techniques through 2014 and beyond. It is said that extensive field testing will be conducted by WLAN and DSRC stakeholders outside of IEEE 802.11, if suitable technical options are identified.</w:t>
      </w:r>
    </w:p>
    <w:p w:rsidR="00BE1D13" w:rsidRDefault="00BE1D13" w:rsidP="00BC6FF5">
      <w:pPr>
        <w:spacing w:after="0"/>
        <w:jc w:val="left"/>
        <w:rPr>
          <w:rFonts w:cs="Arial"/>
          <w:color w:val="000000"/>
          <w:szCs w:val="22"/>
          <w:lang w:val="en-US"/>
        </w:rPr>
      </w:pPr>
    </w:p>
    <w:p w:rsidR="00BE1D13" w:rsidRDefault="00BE1D13" w:rsidP="00BC6FF5">
      <w:pPr>
        <w:spacing w:after="0"/>
        <w:jc w:val="left"/>
        <w:rPr>
          <w:rFonts w:cs="Arial"/>
          <w:color w:val="000000"/>
          <w:szCs w:val="22"/>
          <w:lang w:val="en-US"/>
        </w:rPr>
      </w:pPr>
      <w:r>
        <w:rPr>
          <w:rFonts w:cs="Arial"/>
          <w:color w:val="000000"/>
          <w:szCs w:val="22"/>
          <w:lang w:val="en-US"/>
        </w:rPr>
        <w:lastRenderedPageBreak/>
        <w:t>Intra- IEEE 802.11 technical co-existence solutions may trigger questions about the technical neutrality potential of a specific approach.</w:t>
      </w:r>
    </w:p>
    <w:p w:rsidR="00F96873" w:rsidRDefault="00F96873">
      <w:pPr>
        <w:spacing w:after="0"/>
        <w:jc w:val="left"/>
        <w:rPr>
          <w:lang w:val="en"/>
        </w:rPr>
      </w:pPr>
    </w:p>
    <w:p w:rsidR="00F96873" w:rsidRDefault="00F96873" w:rsidP="00BC6FF5">
      <w:pPr>
        <w:spacing w:after="0"/>
        <w:jc w:val="left"/>
        <w:rPr>
          <w:lang w:val="en"/>
        </w:rPr>
      </w:pPr>
    </w:p>
    <w:p w:rsidR="00F96873" w:rsidRPr="00F96873" w:rsidRDefault="00F96873" w:rsidP="00F96873">
      <w:pPr>
        <w:pStyle w:val="ListParagraph"/>
        <w:numPr>
          <w:ilvl w:val="0"/>
          <w:numId w:val="33"/>
        </w:numPr>
        <w:spacing w:after="0"/>
        <w:rPr>
          <w:b/>
          <w:sz w:val="28"/>
          <w:szCs w:val="28"/>
        </w:rPr>
      </w:pPr>
      <w:r w:rsidRPr="00F96873">
        <w:rPr>
          <w:b/>
          <w:sz w:val="28"/>
          <w:szCs w:val="28"/>
        </w:rPr>
        <w:t>3GPP SA6 - new Working Group to undertake specification work for mission critical communications such as BB-PPDR</w:t>
      </w:r>
    </w:p>
    <w:p w:rsidR="00F96873" w:rsidRDefault="00F96873" w:rsidP="00F96873">
      <w:pPr>
        <w:spacing w:after="0"/>
        <w:jc w:val="left"/>
        <w:rPr>
          <w:lang w:val="en"/>
        </w:rPr>
      </w:pPr>
    </w:p>
    <w:p w:rsidR="00F96873" w:rsidRPr="00F96873" w:rsidRDefault="00F96873" w:rsidP="00F96873">
      <w:pPr>
        <w:spacing w:after="0"/>
        <w:jc w:val="left"/>
        <w:rPr>
          <w:lang w:val="en"/>
        </w:rPr>
      </w:pPr>
      <w:r w:rsidRPr="00F96873">
        <w:rPr>
          <w:lang w:val="en"/>
        </w:rPr>
        <w:t>3GPP has created a new Working Group to undertake specification work for applications in the mission critical communications space.</w:t>
      </w:r>
    </w:p>
    <w:p w:rsidR="00F96873" w:rsidRPr="00F96873" w:rsidRDefault="00F96873" w:rsidP="00F96873">
      <w:pPr>
        <w:spacing w:after="0"/>
        <w:jc w:val="left"/>
        <w:rPr>
          <w:lang w:val="en"/>
        </w:rPr>
      </w:pPr>
    </w:p>
    <w:p w:rsidR="00F96873" w:rsidRPr="00F96873" w:rsidRDefault="00F96873" w:rsidP="00F96873">
      <w:pPr>
        <w:spacing w:after="0"/>
        <w:jc w:val="left"/>
        <w:rPr>
          <w:lang w:val="en"/>
        </w:rPr>
      </w:pPr>
      <w:r w:rsidRPr="00F96873">
        <w:rPr>
          <w:lang w:val="en"/>
        </w:rPr>
        <w:t xml:space="preserve">The 3GPP SA Plenary meeting (TSG SA#65), in Edinburgh </w:t>
      </w:r>
      <w:r>
        <w:rPr>
          <w:lang w:val="en"/>
        </w:rPr>
        <w:t>in September 2014</w:t>
      </w:r>
      <w:r w:rsidRPr="00F96873">
        <w:rPr>
          <w:lang w:val="en"/>
        </w:rPr>
        <w:t>, approved the creation of WG SA6, to initially focus on the Mission Critical Push to Talk (MCPTT) application in Release 13 while developing in to the generic home for all future 3GPP mission critical application work - as defined by stage 1 service requirements, on top of a common architecture.</w:t>
      </w:r>
    </w:p>
    <w:p w:rsidR="00F96873" w:rsidRPr="00F96873" w:rsidRDefault="00F96873" w:rsidP="00F96873">
      <w:pPr>
        <w:spacing w:after="0"/>
        <w:jc w:val="left"/>
        <w:rPr>
          <w:lang w:val="en"/>
        </w:rPr>
      </w:pPr>
    </w:p>
    <w:p w:rsidR="00F96873" w:rsidRDefault="00F96873" w:rsidP="00F96873">
      <w:pPr>
        <w:spacing w:after="0"/>
        <w:jc w:val="left"/>
        <w:rPr>
          <w:lang w:val="en"/>
        </w:rPr>
      </w:pPr>
      <w:r w:rsidRPr="00F96873">
        <w:rPr>
          <w:lang w:val="en"/>
        </w:rPr>
        <w:t xml:space="preserve">The goal </w:t>
      </w:r>
      <w:r>
        <w:rPr>
          <w:lang w:val="en"/>
        </w:rPr>
        <w:t xml:space="preserve">is </w:t>
      </w:r>
      <w:r w:rsidRPr="00F96873">
        <w:rPr>
          <w:lang w:val="en"/>
        </w:rPr>
        <w:t xml:space="preserve">an </w:t>
      </w:r>
      <w:proofErr w:type="spellStart"/>
      <w:r w:rsidRPr="00F96873">
        <w:rPr>
          <w:lang w:val="en"/>
        </w:rPr>
        <w:t>organi</w:t>
      </w:r>
      <w:r>
        <w:rPr>
          <w:lang w:val="en"/>
        </w:rPr>
        <w:t>s</w:t>
      </w:r>
      <w:r w:rsidRPr="00F96873">
        <w:rPr>
          <w:lang w:val="en"/>
        </w:rPr>
        <w:t>ational</w:t>
      </w:r>
      <w:proofErr w:type="spellEnd"/>
      <w:r w:rsidRPr="00F96873">
        <w:rPr>
          <w:lang w:val="en"/>
        </w:rPr>
        <w:t xml:space="preserve"> setup that is equally attractive for all relevant stakeholders of this industry. To </w:t>
      </w:r>
      <w:proofErr w:type="spellStart"/>
      <w:r w:rsidRPr="00F96873">
        <w:rPr>
          <w:lang w:val="en"/>
        </w:rPr>
        <w:t>emphasise</w:t>
      </w:r>
      <w:proofErr w:type="spellEnd"/>
      <w:r w:rsidRPr="00F96873">
        <w:rPr>
          <w:lang w:val="en"/>
        </w:rPr>
        <w:t xml:space="preserve"> this, a liaison statement has been sent out by TSG SA, outlining the main tasks that have been identified for SA6 and noting the relationships between ongoing</w:t>
      </w:r>
    </w:p>
    <w:p w:rsidR="00F96873" w:rsidRDefault="00F96873" w:rsidP="00BC6FF5">
      <w:pPr>
        <w:spacing w:after="0"/>
        <w:jc w:val="left"/>
        <w:rPr>
          <w:lang w:val="en"/>
        </w:rPr>
      </w:pPr>
    </w:p>
    <w:bookmarkStart w:id="3" w:name="_MON_1477820015"/>
    <w:bookmarkEnd w:id="3"/>
    <w:p w:rsidR="00F96873" w:rsidRDefault="00F96873" w:rsidP="00BC6FF5">
      <w:pPr>
        <w:spacing w:after="0"/>
        <w:jc w:val="left"/>
        <w:rPr>
          <w:lang w:val="en"/>
        </w:rPr>
      </w:pPr>
      <w:r>
        <w:rPr>
          <w:lang w:val="en"/>
        </w:rPr>
        <w:object w:dxaOrig="1531" w:dyaOrig="990">
          <v:shape id="_x0000_i1028" type="#_x0000_t75" style="width:76.4pt;height:49.45pt" o:ole="">
            <v:imagedata r:id="rId39" o:title=""/>
          </v:shape>
          <o:OLEObject Type="Embed" ProgID="Word.Document.8" ShapeID="_x0000_i1028" DrawAspect="Icon" ObjectID="_1477908523" r:id="rId40">
            <o:FieldCodes>\s</o:FieldCodes>
          </o:OLEObject>
        </w:object>
      </w:r>
    </w:p>
    <w:p w:rsidR="00F96873" w:rsidRDefault="00F96873" w:rsidP="00BC6FF5">
      <w:pPr>
        <w:spacing w:after="0"/>
        <w:jc w:val="left"/>
        <w:rPr>
          <w:lang w:val="en"/>
        </w:rPr>
      </w:pPr>
    </w:p>
    <w:p w:rsidR="00F96873" w:rsidRDefault="00F96873" w:rsidP="00BC6FF5">
      <w:pPr>
        <w:spacing w:after="0"/>
        <w:jc w:val="left"/>
        <w:rPr>
          <w:lang w:val="en"/>
        </w:rPr>
      </w:pPr>
      <w:r>
        <w:rPr>
          <w:lang w:val="en"/>
        </w:rPr>
        <w:t xml:space="preserve">SA6 </w:t>
      </w:r>
      <w:proofErr w:type="spellStart"/>
      <w:r>
        <w:rPr>
          <w:lang w:val="en"/>
        </w:rPr>
        <w:t>webside</w:t>
      </w:r>
      <w:proofErr w:type="spellEnd"/>
      <w:r>
        <w:rPr>
          <w:lang w:val="en"/>
        </w:rPr>
        <w:t xml:space="preserve">: </w:t>
      </w:r>
      <w:hyperlink r:id="rId41" w:history="1">
        <w:r w:rsidRPr="00BD7F54">
          <w:rPr>
            <w:rStyle w:val="Hyperlink"/>
            <w:lang w:val="en"/>
          </w:rPr>
          <w:t>http://www.3gpp.org/specifications-groups/sa-plenary/sa6-mission-critical-applications</w:t>
        </w:r>
      </w:hyperlink>
      <w:r>
        <w:rPr>
          <w:lang w:val="en"/>
        </w:rPr>
        <w:t xml:space="preserve"> </w:t>
      </w:r>
    </w:p>
    <w:p w:rsidR="00F96873" w:rsidRDefault="00F96873" w:rsidP="00BC6FF5">
      <w:pPr>
        <w:spacing w:after="0"/>
        <w:jc w:val="left"/>
        <w:rPr>
          <w:lang w:val="en"/>
        </w:rPr>
      </w:pPr>
    </w:p>
    <w:p w:rsidR="00F96873" w:rsidRDefault="00F96873" w:rsidP="00BC6FF5">
      <w:pPr>
        <w:spacing w:after="0"/>
        <w:jc w:val="left"/>
        <w:rPr>
          <w:lang w:val="en"/>
        </w:rPr>
      </w:pPr>
      <w:r>
        <w:rPr>
          <w:lang w:val="en"/>
        </w:rPr>
        <w:t xml:space="preserve">These activities are considered to support the future interoperability requirements for BB-PPDR services, though further analysis about the precise work in SA6 might be required </w:t>
      </w:r>
      <w:r w:rsidR="005D1128">
        <w:rPr>
          <w:lang w:val="en"/>
        </w:rPr>
        <w:t xml:space="preserve">to fully understand whether SA6 will also produce protocol conformance and interoperability specifications </w:t>
      </w:r>
      <w:r>
        <w:rPr>
          <w:lang w:val="en"/>
        </w:rPr>
        <w:t xml:space="preserve">(interoperability </w:t>
      </w:r>
      <w:proofErr w:type="spellStart"/>
      <w:r w:rsidR="005D1128">
        <w:rPr>
          <w:lang w:val="en"/>
        </w:rPr>
        <w:t>recognised</w:t>
      </w:r>
      <w:proofErr w:type="spellEnd"/>
      <w:r w:rsidR="005D1128">
        <w:rPr>
          <w:lang w:val="en"/>
        </w:rPr>
        <w:t xml:space="preserve"> </w:t>
      </w:r>
      <w:r>
        <w:rPr>
          <w:lang w:val="en"/>
        </w:rPr>
        <w:t>as important feature</w:t>
      </w:r>
      <w:r w:rsidR="005D1128">
        <w:rPr>
          <w:lang w:val="en"/>
        </w:rPr>
        <w:t xml:space="preserve"> for BB-PPDR by many stakeholders).</w:t>
      </w:r>
    </w:p>
    <w:p w:rsidR="005D1128" w:rsidRDefault="005D1128" w:rsidP="00BC6FF5">
      <w:pPr>
        <w:spacing w:after="0"/>
        <w:jc w:val="left"/>
        <w:rPr>
          <w:lang w:val="en"/>
        </w:rPr>
      </w:pPr>
    </w:p>
    <w:p w:rsidR="005D1128" w:rsidRDefault="005D1128" w:rsidP="00BC6FF5">
      <w:pPr>
        <w:spacing w:after="0"/>
        <w:jc w:val="left"/>
        <w:rPr>
          <w:lang w:val="en"/>
        </w:rPr>
      </w:pPr>
      <w:r>
        <w:rPr>
          <w:lang w:val="en"/>
        </w:rPr>
        <w:t xml:space="preserve">Side note: Concerning BB-PPDR, it was noted that within ITU-R SG5, the </w:t>
      </w:r>
      <w:r w:rsidRPr="005D1128">
        <w:rPr>
          <w:lang w:val="en"/>
        </w:rPr>
        <w:t xml:space="preserve">United Arab Emirates and Jordan </w:t>
      </w:r>
      <w:r>
        <w:rPr>
          <w:lang w:val="en"/>
        </w:rPr>
        <w:t xml:space="preserve">indicated </w:t>
      </w:r>
      <w:r w:rsidRPr="005D1128">
        <w:rPr>
          <w:lang w:val="en"/>
        </w:rPr>
        <w:t xml:space="preserve">for </w:t>
      </w:r>
      <w:r>
        <w:rPr>
          <w:lang w:val="en"/>
        </w:rPr>
        <w:t>BB-</w:t>
      </w:r>
      <w:r w:rsidRPr="005D1128">
        <w:rPr>
          <w:lang w:val="en"/>
        </w:rPr>
        <w:t>PPDR</w:t>
      </w:r>
      <w:r>
        <w:rPr>
          <w:lang w:val="en"/>
        </w:rPr>
        <w:t xml:space="preserve"> the use of </w:t>
      </w:r>
      <w:r w:rsidRPr="005D1128">
        <w:rPr>
          <w:lang w:val="en"/>
        </w:rPr>
        <w:t>703-713/758-768 MHz</w:t>
      </w:r>
      <w:r>
        <w:rPr>
          <w:lang w:val="en"/>
        </w:rPr>
        <w:t xml:space="preserve"> in the future.</w:t>
      </w:r>
    </w:p>
    <w:p w:rsidR="00A243E6" w:rsidRDefault="00A243E6" w:rsidP="00BC6FF5">
      <w:pPr>
        <w:spacing w:after="0"/>
        <w:jc w:val="left"/>
        <w:rPr>
          <w:lang w:val="en"/>
        </w:rPr>
      </w:pPr>
    </w:p>
    <w:p w:rsidR="005D1128" w:rsidRPr="00A243E6" w:rsidRDefault="00A243E6" w:rsidP="00A243E6">
      <w:pPr>
        <w:pStyle w:val="ListParagraph"/>
        <w:numPr>
          <w:ilvl w:val="0"/>
          <w:numId w:val="33"/>
        </w:numPr>
        <w:spacing w:after="0"/>
        <w:rPr>
          <w:b/>
          <w:sz w:val="28"/>
          <w:szCs w:val="28"/>
        </w:rPr>
      </w:pPr>
      <w:r w:rsidRPr="00A243E6">
        <w:rPr>
          <w:b/>
          <w:sz w:val="28"/>
          <w:szCs w:val="28"/>
        </w:rPr>
        <w:t xml:space="preserve">FCC: </w:t>
      </w:r>
      <w:r w:rsidR="00CF4265">
        <w:rPr>
          <w:b/>
          <w:sz w:val="28"/>
          <w:szCs w:val="28"/>
        </w:rPr>
        <w:t xml:space="preserve">PPDR: </w:t>
      </w:r>
      <w:r w:rsidRPr="00A243E6">
        <w:rPr>
          <w:b/>
          <w:sz w:val="28"/>
          <w:szCs w:val="28"/>
        </w:rPr>
        <w:t xml:space="preserve">700 MHz </w:t>
      </w:r>
      <w:proofErr w:type="spellStart"/>
      <w:r w:rsidRPr="00A243E6">
        <w:rPr>
          <w:b/>
          <w:sz w:val="28"/>
          <w:szCs w:val="28"/>
        </w:rPr>
        <w:t>Narrowbanding</w:t>
      </w:r>
      <w:proofErr w:type="spellEnd"/>
      <w:r w:rsidRPr="00A243E6">
        <w:rPr>
          <w:b/>
          <w:sz w:val="28"/>
          <w:szCs w:val="28"/>
        </w:rPr>
        <w:t xml:space="preserve"> Deadline Eliminated</w:t>
      </w:r>
    </w:p>
    <w:p w:rsidR="00A243E6" w:rsidRDefault="00A243E6" w:rsidP="00BC6FF5">
      <w:pPr>
        <w:spacing w:after="0"/>
        <w:jc w:val="left"/>
        <w:rPr>
          <w:lang w:val="en"/>
        </w:rPr>
      </w:pPr>
    </w:p>
    <w:p w:rsidR="00A243E6" w:rsidRPr="00A243E6" w:rsidRDefault="00A243E6" w:rsidP="00A243E6">
      <w:pPr>
        <w:spacing w:after="0"/>
        <w:jc w:val="left"/>
        <w:rPr>
          <w:lang w:val="en"/>
        </w:rPr>
      </w:pPr>
      <w:r w:rsidRPr="00A243E6">
        <w:rPr>
          <w:lang w:val="en"/>
        </w:rPr>
        <w:t>The FCC issue</w:t>
      </w:r>
      <w:r>
        <w:rPr>
          <w:lang w:val="en"/>
        </w:rPr>
        <w:t>d</w:t>
      </w:r>
      <w:r w:rsidRPr="00A243E6">
        <w:rPr>
          <w:lang w:val="en"/>
        </w:rPr>
        <w:t xml:space="preserve"> a report and order eliminating requirements associated with the planned deadline to transition 700 MHz public-safety narrowband systems from 12.5 kHz to 6.25 kHz channels by Dec. 31, 2016, as well as designating some channels in the band for voice communications for current T-Band licensees and other</w:t>
      </w:r>
      <w:r w:rsidR="00CF4265">
        <w:rPr>
          <w:lang w:val="en"/>
        </w:rPr>
        <w:t>s</w:t>
      </w:r>
      <w:r w:rsidRPr="00A243E6">
        <w:rPr>
          <w:lang w:val="en"/>
        </w:rPr>
        <w:t xml:space="preserve"> for communications with helicopters and other aircraft.</w:t>
      </w:r>
      <w:r>
        <w:rPr>
          <w:lang w:val="en"/>
        </w:rPr>
        <w:t xml:space="preserve"> This elimination is only for the 700 MHz frequencies and public-safety narrowband systems. </w:t>
      </w:r>
      <w:r w:rsidRPr="00A243E6">
        <w:rPr>
          <w:lang w:val="en"/>
        </w:rPr>
        <w:t>It also allows public-safety entities to submit applications for 12.5 kHz-channel systems after Dec. 31, 2014, which was prohibited under the previous rules.</w:t>
      </w:r>
    </w:p>
    <w:p w:rsidR="00A243E6" w:rsidRPr="00A243E6" w:rsidRDefault="00A243E6" w:rsidP="00A243E6">
      <w:pPr>
        <w:spacing w:after="0"/>
        <w:jc w:val="left"/>
        <w:rPr>
          <w:lang w:val="en"/>
        </w:rPr>
      </w:pPr>
    </w:p>
    <w:p w:rsidR="00A243E6" w:rsidRDefault="00A243E6" w:rsidP="00A243E6">
      <w:pPr>
        <w:spacing w:after="0"/>
        <w:jc w:val="left"/>
        <w:rPr>
          <w:lang w:val="en"/>
        </w:rPr>
      </w:pPr>
      <w:r w:rsidRPr="00A243E6">
        <w:rPr>
          <w:lang w:val="en"/>
        </w:rPr>
        <w:t xml:space="preserve">Another key aspect of the FCC’s report and order is its decision to designate former secondary </w:t>
      </w:r>
      <w:proofErr w:type="spellStart"/>
      <w:r w:rsidRPr="00A243E6">
        <w:rPr>
          <w:lang w:val="en"/>
        </w:rPr>
        <w:t>trunking</w:t>
      </w:r>
      <w:proofErr w:type="spellEnd"/>
      <w:r w:rsidRPr="00A243E6">
        <w:rPr>
          <w:lang w:val="en"/>
        </w:rPr>
        <w:t xml:space="preserve"> channels in the 700 MHz band for air-ground communication with aircraft such as public-safety helicopters that are operating at an altitude of 1</w:t>
      </w:r>
      <w:r w:rsidR="00F3272D">
        <w:rPr>
          <w:lang w:val="en"/>
        </w:rPr>
        <w:t>,</w:t>
      </w:r>
      <w:r w:rsidRPr="00A243E6">
        <w:rPr>
          <w:lang w:val="en"/>
        </w:rPr>
        <w:t>500 feet or lower</w:t>
      </w:r>
      <w:r>
        <w:rPr>
          <w:lang w:val="en"/>
        </w:rPr>
        <w:t xml:space="preserve"> (</w:t>
      </w:r>
      <w:r w:rsidRPr="00A243E6">
        <w:rPr>
          <w:lang w:val="en"/>
        </w:rPr>
        <w:t>because they are not used for their originally intended purpose</w:t>
      </w:r>
      <w:r>
        <w:rPr>
          <w:lang w:val="en"/>
        </w:rPr>
        <w:t xml:space="preserve">). </w:t>
      </w:r>
    </w:p>
    <w:p w:rsidR="00F96873" w:rsidRDefault="00F96873" w:rsidP="00BC6FF5">
      <w:pPr>
        <w:spacing w:after="0"/>
        <w:jc w:val="left"/>
        <w:rPr>
          <w:lang w:val="en"/>
        </w:rPr>
      </w:pPr>
    </w:p>
    <w:p w:rsidR="00A243E6" w:rsidRDefault="00A243E6" w:rsidP="00BC6FF5">
      <w:pPr>
        <w:spacing w:after="0"/>
        <w:jc w:val="left"/>
        <w:rPr>
          <w:lang w:val="en"/>
        </w:rPr>
      </w:pPr>
      <w:r>
        <w:rPr>
          <w:lang w:val="en"/>
        </w:rPr>
        <w:t xml:space="preserve">Despite this move of the FCC, it should be noted that the </w:t>
      </w:r>
      <w:proofErr w:type="spellStart"/>
      <w:r>
        <w:rPr>
          <w:lang w:val="en"/>
        </w:rPr>
        <w:t>narrowbanding</w:t>
      </w:r>
      <w:proofErr w:type="spellEnd"/>
      <w:r>
        <w:rPr>
          <w:lang w:val="en"/>
        </w:rPr>
        <w:t xml:space="preserve"> rules in the USA and also in China </w:t>
      </w:r>
      <w:r w:rsidR="00F3272D">
        <w:rPr>
          <w:lang w:val="en"/>
        </w:rPr>
        <w:t>(similar regulations) i</w:t>
      </w:r>
      <w:r>
        <w:rPr>
          <w:lang w:val="en"/>
        </w:rPr>
        <w:t>mpose practically that only digital PMR equipment can be placed on these markets.</w:t>
      </w:r>
    </w:p>
    <w:p w:rsidR="00A243E6" w:rsidRDefault="00A243E6" w:rsidP="00BC6FF5">
      <w:pPr>
        <w:spacing w:after="0"/>
        <w:jc w:val="left"/>
        <w:rPr>
          <w:lang w:val="en"/>
        </w:rPr>
      </w:pPr>
    </w:p>
    <w:p w:rsidR="00A243E6" w:rsidRDefault="002A094E" w:rsidP="00BC6FF5">
      <w:pPr>
        <w:spacing w:after="0"/>
        <w:jc w:val="left"/>
        <w:rPr>
          <w:lang w:val="en"/>
        </w:rPr>
      </w:pPr>
      <w:hyperlink r:id="rId42" w:history="1">
        <w:r w:rsidR="00A243E6" w:rsidRPr="00BD7F54">
          <w:rPr>
            <w:rStyle w:val="Hyperlink"/>
            <w:lang w:val="en"/>
          </w:rPr>
          <w:t>http://www.fcc.gov/document/700-mhz-narrowband-ro</w:t>
        </w:r>
      </w:hyperlink>
      <w:r w:rsidR="00A243E6">
        <w:rPr>
          <w:lang w:val="en"/>
        </w:rPr>
        <w:t xml:space="preserve"> </w:t>
      </w:r>
    </w:p>
    <w:p w:rsidR="009E4A39" w:rsidRDefault="009E4A39" w:rsidP="00BC6FF5">
      <w:pPr>
        <w:spacing w:after="0"/>
        <w:jc w:val="left"/>
        <w:rPr>
          <w:lang w:val="en"/>
        </w:rPr>
      </w:pPr>
    </w:p>
    <w:p w:rsidR="009E4A39" w:rsidRPr="009E4A39" w:rsidRDefault="009E4A39" w:rsidP="009E4A39">
      <w:pPr>
        <w:pStyle w:val="ListParagraph"/>
        <w:numPr>
          <w:ilvl w:val="0"/>
          <w:numId w:val="33"/>
        </w:numPr>
        <w:spacing w:after="0"/>
        <w:rPr>
          <w:b/>
          <w:sz w:val="28"/>
          <w:szCs w:val="28"/>
        </w:rPr>
      </w:pPr>
      <w:r w:rsidRPr="009E4A39">
        <w:rPr>
          <w:b/>
          <w:sz w:val="28"/>
          <w:szCs w:val="28"/>
        </w:rPr>
        <w:t>LTE in ‘unlicensed’ spectrum in 5 GHz</w:t>
      </w:r>
    </w:p>
    <w:p w:rsidR="009E4A39" w:rsidRDefault="009E4A39" w:rsidP="00BC6FF5">
      <w:pPr>
        <w:spacing w:after="0"/>
        <w:jc w:val="left"/>
        <w:rPr>
          <w:lang w:val="en"/>
        </w:rPr>
      </w:pPr>
    </w:p>
    <w:p w:rsidR="009E4A39" w:rsidRPr="009E4A39" w:rsidRDefault="009E4A39" w:rsidP="009E4A39">
      <w:pPr>
        <w:spacing w:after="0"/>
        <w:jc w:val="left"/>
        <w:rPr>
          <w:lang w:val="en"/>
        </w:rPr>
      </w:pPr>
      <w:r w:rsidRPr="009E4A39">
        <w:rPr>
          <w:lang w:val="en"/>
        </w:rPr>
        <w:t xml:space="preserve">A </w:t>
      </w:r>
      <w:r>
        <w:rPr>
          <w:lang w:val="en"/>
        </w:rPr>
        <w:t xml:space="preserve">3GPP </w:t>
      </w:r>
      <w:r w:rsidRPr="009E4A39">
        <w:rPr>
          <w:lang w:val="en"/>
        </w:rPr>
        <w:t>workshop</w:t>
      </w:r>
      <w:r>
        <w:rPr>
          <w:lang w:val="en"/>
        </w:rPr>
        <w:t xml:space="preserve"> was held at ETSI on 19 June 2014 </w:t>
      </w:r>
      <w:r w:rsidR="008C47FE">
        <w:rPr>
          <w:lang w:val="en"/>
        </w:rPr>
        <w:t xml:space="preserve">(nearly 180 participants) </w:t>
      </w:r>
      <w:r w:rsidRPr="009E4A39">
        <w:rPr>
          <w:lang w:val="en"/>
        </w:rPr>
        <w:t>to share ideas on LTE in unlicensed spectrum</w:t>
      </w:r>
      <w:r>
        <w:rPr>
          <w:lang w:val="en"/>
        </w:rPr>
        <w:t>.</w:t>
      </w:r>
      <w:r w:rsidRPr="009E4A39">
        <w:rPr>
          <w:lang w:val="en"/>
        </w:rPr>
        <w:t xml:space="preserve"> </w:t>
      </w:r>
      <w:r>
        <w:rPr>
          <w:lang w:val="en"/>
        </w:rPr>
        <w:t xml:space="preserve">It </w:t>
      </w:r>
      <w:r w:rsidRPr="009E4A39">
        <w:rPr>
          <w:lang w:val="en"/>
        </w:rPr>
        <w:t>has been described as a “fruitful contribution to the start of work in the project” as it is considered by cellular operators as an important complement to meet future traffic demands.</w:t>
      </w:r>
    </w:p>
    <w:p w:rsidR="009E4A39" w:rsidRDefault="009E4A39" w:rsidP="009E4A39">
      <w:pPr>
        <w:spacing w:after="0"/>
        <w:jc w:val="left"/>
        <w:rPr>
          <w:lang w:val="en"/>
        </w:rPr>
      </w:pPr>
    </w:p>
    <w:p w:rsidR="009E4A39" w:rsidRDefault="007E4E9A" w:rsidP="009E4A39">
      <w:pPr>
        <w:spacing w:after="0"/>
        <w:jc w:val="left"/>
        <w:rPr>
          <w:lang w:val="en"/>
        </w:rPr>
      </w:pPr>
      <w:r>
        <w:rPr>
          <w:lang w:val="en"/>
        </w:rPr>
        <w:t>Major observations:</w:t>
      </w:r>
    </w:p>
    <w:p w:rsidR="007E4E9A" w:rsidRPr="009E4A39" w:rsidRDefault="007E4E9A" w:rsidP="009E4A39">
      <w:pPr>
        <w:spacing w:after="0"/>
        <w:jc w:val="left"/>
        <w:rPr>
          <w:lang w:val="en"/>
        </w:rPr>
      </w:pPr>
    </w:p>
    <w:p w:rsidR="009E4A39" w:rsidRPr="007E4E9A" w:rsidRDefault="009E4A39" w:rsidP="007E4E9A">
      <w:pPr>
        <w:pStyle w:val="ListParagraph"/>
        <w:numPr>
          <w:ilvl w:val="0"/>
          <w:numId w:val="46"/>
        </w:numPr>
        <w:spacing w:after="0"/>
        <w:jc w:val="left"/>
        <w:rPr>
          <w:lang w:val="en"/>
        </w:rPr>
      </w:pPr>
      <w:r w:rsidRPr="007E4E9A">
        <w:rPr>
          <w:lang w:val="en"/>
        </w:rPr>
        <w:t>Early focus to be on license</w:t>
      </w:r>
      <w:r w:rsidR="00CF4265">
        <w:rPr>
          <w:lang w:val="en"/>
        </w:rPr>
        <w:t>-exempt</w:t>
      </w:r>
      <w:r w:rsidRPr="007E4E9A">
        <w:rPr>
          <w:lang w:val="en"/>
        </w:rPr>
        <w:t xml:space="preserve"> operation in 5 GHz. However, the core technology should be as frequency agnostic as possible</w:t>
      </w:r>
      <w:r w:rsidR="007E4E9A">
        <w:rPr>
          <w:lang w:val="en"/>
        </w:rPr>
        <w:t>;</w:t>
      </w:r>
    </w:p>
    <w:p w:rsidR="009E4A39" w:rsidRPr="009E4A39" w:rsidRDefault="009E4A39" w:rsidP="007E4E9A">
      <w:pPr>
        <w:spacing w:after="0"/>
        <w:ind w:left="567"/>
        <w:jc w:val="left"/>
        <w:rPr>
          <w:lang w:val="en"/>
        </w:rPr>
      </w:pPr>
    </w:p>
    <w:p w:rsidR="009E4A39" w:rsidRPr="007E4E9A" w:rsidRDefault="009E4A39" w:rsidP="007E4E9A">
      <w:pPr>
        <w:pStyle w:val="ListParagraph"/>
        <w:numPr>
          <w:ilvl w:val="0"/>
          <w:numId w:val="46"/>
        </w:numPr>
        <w:spacing w:after="0"/>
        <w:jc w:val="left"/>
        <w:rPr>
          <w:lang w:val="en"/>
        </w:rPr>
      </w:pPr>
      <w:r w:rsidRPr="007E4E9A">
        <w:rPr>
          <w:lang w:val="en"/>
        </w:rPr>
        <w:t>While different regional requirements emerged from the discussion, most of the companies prefer 3GPP to focus on the standardization of a global solution that can work across regions</w:t>
      </w:r>
      <w:r w:rsidR="007E4E9A">
        <w:rPr>
          <w:lang w:val="en"/>
        </w:rPr>
        <w:t>;</w:t>
      </w:r>
    </w:p>
    <w:p w:rsidR="009E4A39" w:rsidRPr="009E4A39" w:rsidRDefault="009E4A39" w:rsidP="007E4E9A">
      <w:pPr>
        <w:spacing w:after="0"/>
        <w:ind w:left="567"/>
        <w:jc w:val="left"/>
        <w:rPr>
          <w:lang w:val="en"/>
        </w:rPr>
      </w:pPr>
    </w:p>
    <w:p w:rsidR="009E4A39" w:rsidRPr="007E4E9A" w:rsidRDefault="009E4A39" w:rsidP="007E4E9A">
      <w:pPr>
        <w:pStyle w:val="ListParagraph"/>
        <w:numPr>
          <w:ilvl w:val="0"/>
          <w:numId w:val="46"/>
        </w:numPr>
        <w:spacing w:after="0"/>
        <w:jc w:val="left"/>
        <w:rPr>
          <w:lang w:val="en"/>
        </w:rPr>
      </w:pPr>
      <w:r w:rsidRPr="007E4E9A">
        <w:rPr>
          <w:lang w:val="en"/>
        </w:rPr>
        <w:t>Strong interest to study both indoor and outdoor deployments</w:t>
      </w:r>
      <w:r w:rsidR="007E4E9A">
        <w:rPr>
          <w:lang w:val="en"/>
        </w:rPr>
        <w:t>;</w:t>
      </w:r>
    </w:p>
    <w:p w:rsidR="009E4A39" w:rsidRPr="009E4A39" w:rsidRDefault="009E4A39" w:rsidP="007E4E9A">
      <w:pPr>
        <w:spacing w:after="0"/>
        <w:ind w:left="567"/>
        <w:jc w:val="left"/>
        <w:rPr>
          <w:lang w:val="en"/>
        </w:rPr>
      </w:pPr>
    </w:p>
    <w:p w:rsidR="009E4A39" w:rsidRPr="007E4E9A" w:rsidRDefault="009E4A39" w:rsidP="007E4E9A">
      <w:pPr>
        <w:pStyle w:val="ListParagraph"/>
        <w:numPr>
          <w:ilvl w:val="0"/>
          <w:numId w:val="46"/>
        </w:numPr>
        <w:spacing w:after="0"/>
        <w:jc w:val="left"/>
        <w:rPr>
          <w:lang w:val="en"/>
        </w:rPr>
      </w:pPr>
      <w:r w:rsidRPr="007E4E9A">
        <w:rPr>
          <w:lang w:val="en"/>
        </w:rPr>
        <w:t xml:space="preserve">Initial focus will likely be on Licensed-Assisted Carrier Aggregation operation to aggregate a primary cell, using licensed spectrum, to deliver critical information and guaranteed Quality of Service, and a co-located secondary cell, using unlicensed spectrum, to opportunistically boost </w:t>
      </w:r>
      <w:proofErr w:type="spellStart"/>
      <w:r w:rsidRPr="007E4E9A">
        <w:rPr>
          <w:lang w:val="en"/>
        </w:rPr>
        <w:t>datarate</w:t>
      </w:r>
      <w:proofErr w:type="spellEnd"/>
      <w:r w:rsidR="007E4E9A">
        <w:rPr>
          <w:lang w:val="en"/>
        </w:rPr>
        <w:t>;</w:t>
      </w:r>
    </w:p>
    <w:p w:rsidR="007E4E9A" w:rsidRDefault="007E4E9A" w:rsidP="007E4E9A">
      <w:pPr>
        <w:spacing w:after="0"/>
        <w:ind w:left="567"/>
        <w:jc w:val="left"/>
        <w:rPr>
          <w:lang w:val="en"/>
        </w:rPr>
      </w:pPr>
    </w:p>
    <w:p w:rsidR="009E4A39" w:rsidRPr="007E4E9A" w:rsidRDefault="009E4A39" w:rsidP="007E4E9A">
      <w:pPr>
        <w:pStyle w:val="ListParagraph"/>
        <w:numPr>
          <w:ilvl w:val="0"/>
          <w:numId w:val="46"/>
        </w:numPr>
        <w:spacing w:after="0"/>
        <w:jc w:val="left"/>
        <w:rPr>
          <w:lang w:val="en"/>
        </w:rPr>
      </w:pPr>
      <w:r w:rsidRPr="007E4E9A">
        <w:rPr>
          <w:lang w:val="en"/>
        </w:rPr>
        <w:t>Two available options: (1) Secondary cell on unlicensed spectrum used for supplemental downlink capacity only, (2) Secondary cell on unlicensed spectrum used for both supplemental downlink and uplink capacity. Many companies propose to start working on (1) and then follow with (2)</w:t>
      </w:r>
    </w:p>
    <w:p w:rsidR="009E4A39" w:rsidRPr="009E4A39" w:rsidRDefault="009E4A39" w:rsidP="007E4E9A">
      <w:pPr>
        <w:spacing w:after="0"/>
        <w:ind w:left="567"/>
        <w:jc w:val="left"/>
        <w:rPr>
          <w:lang w:val="en"/>
        </w:rPr>
      </w:pPr>
    </w:p>
    <w:p w:rsidR="009E4A39" w:rsidRDefault="009E4A39" w:rsidP="007E4E9A">
      <w:pPr>
        <w:pStyle w:val="ListParagraph"/>
        <w:numPr>
          <w:ilvl w:val="0"/>
          <w:numId w:val="46"/>
        </w:numPr>
        <w:spacing w:after="0"/>
        <w:jc w:val="left"/>
        <w:rPr>
          <w:lang w:val="en"/>
        </w:rPr>
      </w:pPr>
      <w:r w:rsidRPr="007E4E9A">
        <w:rPr>
          <w:lang w:val="en"/>
        </w:rPr>
        <w:t xml:space="preserve">Fair coexistence between LTE and other technologies such as </w:t>
      </w:r>
      <w:proofErr w:type="spellStart"/>
      <w:r w:rsidRPr="007E4E9A">
        <w:rPr>
          <w:lang w:val="en"/>
        </w:rPr>
        <w:t>WiFi</w:t>
      </w:r>
      <w:proofErr w:type="spellEnd"/>
      <w:r w:rsidRPr="007E4E9A">
        <w:rPr>
          <w:lang w:val="en"/>
        </w:rPr>
        <w:t xml:space="preserve"> as well as between LTE operators is seen necessary</w:t>
      </w:r>
      <w:r w:rsidR="007E4E9A">
        <w:rPr>
          <w:lang w:val="en"/>
        </w:rPr>
        <w:t>.</w:t>
      </w:r>
    </w:p>
    <w:p w:rsidR="007E4E9A" w:rsidRDefault="007E4E9A" w:rsidP="007E4E9A">
      <w:pPr>
        <w:pStyle w:val="ListParagraph"/>
        <w:rPr>
          <w:lang w:val="en"/>
        </w:rPr>
      </w:pPr>
    </w:p>
    <w:p w:rsidR="007E4E9A" w:rsidRPr="007E4E9A" w:rsidRDefault="007E4E9A" w:rsidP="007E4E9A">
      <w:pPr>
        <w:pStyle w:val="ListParagraph"/>
        <w:rPr>
          <w:lang w:val="en"/>
        </w:rPr>
      </w:pPr>
      <w:r>
        <w:rPr>
          <w:lang w:val="en"/>
        </w:rPr>
        <w:t xml:space="preserve">In September 2014, a new work item was </w:t>
      </w:r>
      <w:r w:rsidR="008C47FE">
        <w:rPr>
          <w:lang w:val="en"/>
        </w:rPr>
        <w:t>approved</w:t>
      </w:r>
      <w:r>
        <w:rPr>
          <w:lang w:val="en"/>
        </w:rPr>
        <w:t xml:space="preserve"> in 3GPP RAN with a lot of support from individual members in the 3GPP (see under item 13 –support in the document under the following link):</w:t>
      </w:r>
    </w:p>
    <w:p w:rsidR="007E4E9A" w:rsidRPr="007E4E9A" w:rsidRDefault="002A094E" w:rsidP="007E4E9A">
      <w:pPr>
        <w:spacing w:after="0"/>
        <w:jc w:val="left"/>
        <w:rPr>
          <w:rFonts w:ascii="Calibri" w:eastAsia="Calibri" w:hAnsi="Calibri" w:cs="Consolas"/>
          <w:szCs w:val="21"/>
          <w:lang w:val="en" w:eastAsia="en-US"/>
        </w:rPr>
      </w:pPr>
      <w:hyperlink r:id="rId43" w:history="1">
        <w:r w:rsidR="007E4E9A" w:rsidRPr="007E4E9A">
          <w:rPr>
            <w:rFonts w:ascii="Calibri" w:eastAsia="Calibri" w:hAnsi="Calibri" w:cs="Consolas"/>
            <w:color w:val="0000FF"/>
            <w:szCs w:val="21"/>
            <w:u w:val="single"/>
            <w:lang w:val="en" w:eastAsia="en-US"/>
          </w:rPr>
          <w:t>ftp://ftp.3gpp.org/tsg_ran/TSG_RAN/TSGR_65/Docs/RP-141664.zip</w:t>
        </w:r>
      </w:hyperlink>
      <w:r w:rsidR="007E4E9A" w:rsidRPr="007E4E9A">
        <w:rPr>
          <w:rFonts w:ascii="Calibri" w:eastAsia="Calibri" w:hAnsi="Calibri" w:cs="Consolas"/>
          <w:szCs w:val="21"/>
          <w:lang w:val="en" w:eastAsia="en-US"/>
        </w:rPr>
        <w:t xml:space="preserve"> </w:t>
      </w:r>
    </w:p>
    <w:p w:rsidR="007E4E9A" w:rsidRPr="007E4E9A" w:rsidRDefault="007E4E9A" w:rsidP="007E4E9A">
      <w:pPr>
        <w:spacing w:after="0"/>
        <w:jc w:val="left"/>
        <w:rPr>
          <w:lang w:val="en"/>
        </w:rPr>
      </w:pPr>
    </w:p>
    <w:sectPr w:rsidR="007E4E9A" w:rsidRPr="007E4E9A" w:rsidSect="008F677F">
      <w:footerReference w:type="even" r:id="rId44"/>
      <w:footerReference w:type="default" r:id="rId45"/>
      <w:pgSz w:w="11907" w:h="16840" w:code="9"/>
      <w:pgMar w:top="1134" w:right="1275" w:bottom="1134" w:left="1276"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42F" w:rsidRDefault="0093342F">
      <w:r>
        <w:separator/>
      </w:r>
    </w:p>
  </w:endnote>
  <w:endnote w:type="continuationSeparator" w:id="0">
    <w:p w:rsidR="0093342F" w:rsidRDefault="00933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66" w:rsidRDefault="00510966">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10966" w:rsidRDefault="0051096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966" w:rsidRDefault="00510966">
    <w:pP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2A094E">
      <w:rPr>
        <w:rStyle w:val="PageNumber"/>
        <w:noProof/>
        <w:sz w:val="20"/>
      </w:rPr>
      <w:t>9</w:t>
    </w:r>
    <w:r>
      <w:rPr>
        <w:rStyle w:val="PageNumber"/>
        <w:sz w:val="20"/>
      </w:rPr>
      <w:fldChar w:fldCharType="end"/>
    </w:r>
  </w:p>
  <w:p w:rsidR="00510966" w:rsidRDefault="005109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42F" w:rsidRDefault="0093342F">
      <w:r>
        <w:separator/>
      </w:r>
    </w:p>
  </w:footnote>
  <w:footnote w:type="continuationSeparator" w:id="0">
    <w:p w:rsidR="0093342F" w:rsidRDefault="0093342F">
      <w:r>
        <w:continuationSeparator/>
      </w:r>
    </w:p>
  </w:footnote>
  <w:footnote w:id="1">
    <w:p w:rsidR="00E97863" w:rsidRPr="002A094E" w:rsidRDefault="00E97863">
      <w:pPr>
        <w:pStyle w:val="FootnoteText"/>
        <w:rPr>
          <w:sz w:val="18"/>
          <w:szCs w:val="18"/>
          <w:lang w:val="en-US"/>
        </w:rPr>
      </w:pPr>
      <w:r>
        <w:rPr>
          <w:rStyle w:val="FootnoteReference"/>
        </w:rPr>
        <w:footnoteRef/>
      </w:r>
      <w:r>
        <w:t xml:space="preserve"> </w:t>
      </w:r>
      <w:r w:rsidRPr="002A094E">
        <w:rPr>
          <w:sz w:val="18"/>
          <w:szCs w:val="18"/>
          <w:lang w:val="en-US"/>
        </w:rPr>
        <w:t xml:space="preserve">In December 2013, the </w:t>
      </w:r>
      <w:r>
        <w:rPr>
          <w:sz w:val="18"/>
          <w:szCs w:val="18"/>
          <w:lang w:val="en-US"/>
        </w:rPr>
        <w:t>FCC</w:t>
      </w:r>
      <w:r w:rsidRPr="002A094E">
        <w:rPr>
          <w:sz w:val="18"/>
          <w:szCs w:val="18"/>
          <w:lang w:val="en-US"/>
        </w:rPr>
        <w:t xml:space="preserve"> pushed back the start of the auction to mid-2015 from sometime in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1D67"/>
    <w:multiLevelType w:val="hybridMultilevel"/>
    <w:tmpl w:val="6E3EB21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3D52E9B"/>
    <w:multiLevelType w:val="hybridMultilevel"/>
    <w:tmpl w:val="5AD893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98A2819"/>
    <w:multiLevelType w:val="hybridMultilevel"/>
    <w:tmpl w:val="F2DA3988"/>
    <w:lvl w:ilvl="0" w:tplc="0406000F">
      <w:start w:val="1"/>
      <w:numFmt w:val="decimal"/>
      <w:lvlText w:val="%1."/>
      <w:lvlJc w:val="left"/>
      <w:pPr>
        <w:ind w:left="1287" w:hanging="360"/>
      </w:pPr>
    </w:lvl>
    <w:lvl w:ilvl="1" w:tplc="04060019" w:tentative="1">
      <w:start w:val="1"/>
      <w:numFmt w:val="lowerLetter"/>
      <w:lvlText w:val="%2."/>
      <w:lvlJc w:val="left"/>
      <w:pPr>
        <w:ind w:left="2007" w:hanging="360"/>
      </w:pPr>
    </w:lvl>
    <w:lvl w:ilvl="2" w:tplc="0406001B" w:tentative="1">
      <w:start w:val="1"/>
      <w:numFmt w:val="lowerRoman"/>
      <w:lvlText w:val="%3."/>
      <w:lvlJc w:val="right"/>
      <w:pPr>
        <w:ind w:left="2727" w:hanging="180"/>
      </w:pPr>
    </w:lvl>
    <w:lvl w:ilvl="3" w:tplc="0406000F" w:tentative="1">
      <w:start w:val="1"/>
      <w:numFmt w:val="decimal"/>
      <w:lvlText w:val="%4."/>
      <w:lvlJc w:val="left"/>
      <w:pPr>
        <w:ind w:left="3447" w:hanging="360"/>
      </w:pPr>
    </w:lvl>
    <w:lvl w:ilvl="4" w:tplc="04060019" w:tentative="1">
      <w:start w:val="1"/>
      <w:numFmt w:val="lowerLetter"/>
      <w:lvlText w:val="%5."/>
      <w:lvlJc w:val="left"/>
      <w:pPr>
        <w:ind w:left="4167" w:hanging="360"/>
      </w:pPr>
    </w:lvl>
    <w:lvl w:ilvl="5" w:tplc="0406001B" w:tentative="1">
      <w:start w:val="1"/>
      <w:numFmt w:val="lowerRoman"/>
      <w:lvlText w:val="%6."/>
      <w:lvlJc w:val="right"/>
      <w:pPr>
        <w:ind w:left="4887" w:hanging="180"/>
      </w:pPr>
    </w:lvl>
    <w:lvl w:ilvl="6" w:tplc="0406000F" w:tentative="1">
      <w:start w:val="1"/>
      <w:numFmt w:val="decimal"/>
      <w:lvlText w:val="%7."/>
      <w:lvlJc w:val="left"/>
      <w:pPr>
        <w:ind w:left="5607" w:hanging="360"/>
      </w:pPr>
    </w:lvl>
    <w:lvl w:ilvl="7" w:tplc="04060019" w:tentative="1">
      <w:start w:val="1"/>
      <w:numFmt w:val="lowerLetter"/>
      <w:lvlText w:val="%8."/>
      <w:lvlJc w:val="left"/>
      <w:pPr>
        <w:ind w:left="6327" w:hanging="360"/>
      </w:pPr>
    </w:lvl>
    <w:lvl w:ilvl="8" w:tplc="0406001B" w:tentative="1">
      <w:start w:val="1"/>
      <w:numFmt w:val="lowerRoman"/>
      <w:lvlText w:val="%9."/>
      <w:lvlJc w:val="right"/>
      <w:pPr>
        <w:ind w:left="7047" w:hanging="180"/>
      </w:pPr>
    </w:lvl>
  </w:abstractNum>
  <w:abstractNum w:abstractNumId="3">
    <w:nsid w:val="09F52D34"/>
    <w:multiLevelType w:val="multilevel"/>
    <w:tmpl w:val="9F2CDB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0C1E14E0"/>
    <w:multiLevelType w:val="hybridMultilevel"/>
    <w:tmpl w:val="1850F774"/>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6">
    <w:nsid w:val="0E3251F3"/>
    <w:multiLevelType w:val="hybridMultilevel"/>
    <w:tmpl w:val="8F60E2D4"/>
    <w:lvl w:ilvl="0" w:tplc="DF1246FC">
      <w:start w:val="1"/>
      <w:numFmt w:val="decimal"/>
      <w:lvlText w:val="%1."/>
      <w:lvlJc w:val="left"/>
      <w:pPr>
        <w:ind w:left="927" w:hanging="360"/>
      </w:p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7">
    <w:nsid w:val="0E807809"/>
    <w:multiLevelType w:val="hybridMultilevel"/>
    <w:tmpl w:val="720C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943108"/>
    <w:multiLevelType w:val="hybridMultilevel"/>
    <w:tmpl w:val="5B9CD2A6"/>
    <w:lvl w:ilvl="0" w:tplc="36944DF6">
      <w:start w:val="1"/>
      <w:numFmt w:val="lowerRoman"/>
      <w:lvlText w:val="%1)"/>
      <w:lvlJc w:val="left"/>
      <w:pPr>
        <w:ind w:left="720" w:hanging="360"/>
      </w:pPr>
      <w:rPr>
        <w:rFonts w:ascii="Calibri" w:eastAsia="Calibri" w:hAnsi="Calibri" w:cs="Times New Roman" w:hint="default"/>
      </w:rPr>
    </w:lvl>
    <w:lvl w:ilvl="1" w:tplc="36944DF6">
      <w:start w:val="1"/>
      <w:numFmt w:val="lowerRoman"/>
      <w:lvlText w:val="%2)"/>
      <w:lvlJc w:val="left"/>
      <w:pPr>
        <w:ind w:left="1440" w:hanging="360"/>
      </w:pPr>
      <w:rPr>
        <w:rFonts w:ascii="Calibri" w:eastAsia="Calibri" w:hAnsi="Calibri" w:cs="Times New Roman"/>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2322B6B"/>
    <w:multiLevelType w:val="hybridMultilevel"/>
    <w:tmpl w:val="C7186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B92AEA"/>
    <w:multiLevelType w:val="hybridMultilevel"/>
    <w:tmpl w:val="EC38BD7A"/>
    <w:lvl w:ilvl="0" w:tplc="8E086DAA">
      <w:start w:val="1"/>
      <w:numFmt w:val="decimal"/>
      <w:lvlText w:val="%1."/>
      <w:lvlJc w:val="left"/>
      <w:pPr>
        <w:ind w:left="927" w:hanging="360"/>
      </w:pPr>
      <w:rPr>
        <w:rFonts w:cs="Times New Roman" w:hint="default"/>
        <w:sz w:val="28"/>
        <w:u w:val="none"/>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11">
    <w:nsid w:val="221533FB"/>
    <w:multiLevelType w:val="hybridMultilevel"/>
    <w:tmpl w:val="AD4A6C0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nsid w:val="23081DDA"/>
    <w:multiLevelType w:val="hybridMultilevel"/>
    <w:tmpl w:val="F98AA984"/>
    <w:lvl w:ilvl="0" w:tplc="0406000F">
      <w:start w:val="1"/>
      <w:numFmt w:val="decimal"/>
      <w:lvlText w:val="%1."/>
      <w:lvlJc w:val="left"/>
      <w:pPr>
        <w:ind w:left="1287" w:hanging="360"/>
      </w:pPr>
    </w:lvl>
    <w:lvl w:ilvl="1" w:tplc="04060019" w:tentative="1">
      <w:start w:val="1"/>
      <w:numFmt w:val="lowerLetter"/>
      <w:lvlText w:val="%2."/>
      <w:lvlJc w:val="left"/>
      <w:pPr>
        <w:ind w:left="2007" w:hanging="360"/>
      </w:pPr>
    </w:lvl>
    <w:lvl w:ilvl="2" w:tplc="0406001B" w:tentative="1">
      <w:start w:val="1"/>
      <w:numFmt w:val="lowerRoman"/>
      <w:lvlText w:val="%3."/>
      <w:lvlJc w:val="right"/>
      <w:pPr>
        <w:ind w:left="2727" w:hanging="180"/>
      </w:pPr>
    </w:lvl>
    <w:lvl w:ilvl="3" w:tplc="0406000F" w:tentative="1">
      <w:start w:val="1"/>
      <w:numFmt w:val="decimal"/>
      <w:lvlText w:val="%4."/>
      <w:lvlJc w:val="left"/>
      <w:pPr>
        <w:ind w:left="3447" w:hanging="360"/>
      </w:pPr>
    </w:lvl>
    <w:lvl w:ilvl="4" w:tplc="04060019" w:tentative="1">
      <w:start w:val="1"/>
      <w:numFmt w:val="lowerLetter"/>
      <w:lvlText w:val="%5."/>
      <w:lvlJc w:val="left"/>
      <w:pPr>
        <w:ind w:left="4167" w:hanging="360"/>
      </w:pPr>
    </w:lvl>
    <w:lvl w:ilvl="5" w:tplc="0406001B" w:tentative="1">
      <w:start w:val="1"/>
      <w:numFmt w:val="lowerRoman"/>
      <w:lvlText w:val="%6."/>
      <w:lvlJc w:val="right"/>
      <w:pPr>
        <w:ind w:left="4887" w:hanging="180"/>
      </w:pPr>
    </w:lvl>
    <w:lvl w:ilvl="6" w:tplc="0406000F" w:tentative="1">
      <w:start w:val="1"/>
      <w:numFmt w:val="decimal"/>
      <w:lvlText w:val="%7."/>
      <w:lvlJc w:val="left"/>
      <w:pPr>
        <w:ind w:left="5607" w:hanging="360"/>
      </w:pPr>
    </w:lvl>
    <w:lvl w:ilvl="7" w:tplc="04060019" w:tentative="1">
      <w:start w:val="1"/>
      <w:numFmt w:val="lowerLetter"/>
      <w:lvlText w:val="%8."/>
      <w:lvlJc w:val="left"/>
      <w:pPr>
        <w:ind w:left="6327" w:hanging="360"/>
      </w:pPr>
    </w:lvl>
    <w:lvl w:ilvl="8" w:tplc="0406001B" w:tentative="1">
      <w:start w:val="1"/>
      <w:numFmt w:val="lowerRoman"/>
      <w:lvlText w:val="%9."/>
      <w:lvlJc w:val="right"/>
      <w:pPr>
        <w:ind w:left="7047" w:hanging="180"/>
      </w:pPr>
    </w:lvl>
  </w:abstractNum>
  <w:abstractNum w:abstractNumId="13">
    <w:nsid w:val="286270B1"/>
    <w:multiLevelType w:val="hybridMultilevel"/>
    <w:tmpl w:val="BA6AF36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2AFC3234"/>
    <w:multiLevelType w:val="hybridMultilevel"/>
    <w:tmpl w:val="E54AD86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5">
    <w:nsid w:val="2BB8607D"/>
    <w:multiLevelType w:val="hybridMultilevel"/>
    <w:tmpl w:val="4AA4E2D4"/>
    <w:lvl w:ilvl="0" w:tplc="255EFD7C">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2D0D17E7"/>
    <w:multiLevelType w:val="multilevel"/>
    <w:tmpl w:val="14F2EE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cs="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cs="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cs="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18">
    <w:nsid w:val="31EB3128"/>
    <w:multiLevelType w:val="hybridMultilevel"/>
    <w:tmpl w:val="366A0184"/>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9">
    <w:nsid w:val="35CC17F7"/>
    <w:multiLevelType w:val="multilevel"/>
    <w:tmpl w:val="0440665E"/>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1">
    <w:nsid w:val="37C7185F"/>
    <w:multiLevelType w:val="multilevel"/>
    <w:tmpl w:val="7642517A"/>
    <w:lvl w:ilvl="0">
      <w:start w:val="1"/>
      <w:numFmt w:val="decimal"/>
      <w:lvlText w:val="%1."/>
      <w:lvlJc w:val="left"/>
      <w:pPr>
        <w:ind w:left="435" w:hanging="43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2">
    <w:nsid w:val="3C263D9F"/>
    <w:multiLevelType w:val="multilevel"/>
    <w:tmpl w:val="A0E4F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3A229D"/>
    <w:multiLevelType w:val="hybridMultilevel"/>
    <w:tmpl w:val="4C049D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nsid w:val="45A16FF0"/>
    <w:multiLevelType w:val="hybridMultilevel"/>
    <w:tmpl w:val="C9F0A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0333B"/>
    <w:multiLevelType w:val="hybridMultilevel"/>
    <w:tmpl w:val="51521BC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27">
    <w:nsid w:val="4B4974F4"/>
    <w:multiLevelType w:val="hybridMultilevel"/>
    <w:tmpl w:val="15D053CA"/>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525851A3"/>
    <w:multiLevelType w:val="hybridMultilevel"/>
    <w:tmpl w:val="5B5C4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A576F7"/>
    <w:multiLevelType w:val="hybridMultilevel"/>
    <w:tmpl w:val="E74273F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5D29287F"/>
    <w:multiLevelType w:val="hybridMultilevel"/>
    <w:tmpl w:val="73C00256"/>
    <w:lvl w:ilvl="0" w:tplc="2382B4D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5E67627A"/>
    <w:multiLevelType w:val="hybridMultilevel"/>
    <w:tmpl w:val="6ECCDF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nsid w:val="64FF58AF"/>
    <w:multiLevelType w:val="hybridMultilevel"/>
    <w:tmpl w:val="7224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AA5474"/>
    <w:multiLevelType w:val="hybridMultilevel"/>
    <w:tmpl w:val="62281D64"/>
    <w:lvl w:ilvl="0" w:tplc="0BC6F722">
      <w:numFmt w:val="bullet"/>
      <w:lvlText w:val=""/>
      <w:lvlJc w:val="left"/>
      <w:pPr>
        <w:ind w:left="720" w:hanging="360"/>
      </w:pPr>
      <w:rPr>
        <w:rFonts w:ascii="Symbol" w:eastAsia="Calibri" w:hAnsi="Symbol"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7324262"/>
    <w:multiLevelType w:val="hybridMultilevel"/>
    <w:tmpl w:val="EC38BD7A"/>
    <w:lvl w:ilvl="0" w:tplc="8E086DAA">
      <w:start w:val="1"/>
      <w:numFmt w:val="decimal"/>
      <w:lvlText w:val="%1."/>
      <w:lvlJc w:val="left"/>
      <w:pPr>
        <w:ind w:left="927" w:hanging="360"/>
      </w:pPr>
      <w:rPr>
        <w:rFonts w:cs="Times New Roman" w:hint="default"/>
        <w:sz w:val="28"/>
        <w:u w:val="none"/>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36">
    <w:nsid w:val="6BA554F2"/>
    <w:multiLevelType w:val="hybridMultilevel"/>
    <w:tmpl w:val="2A0A3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7767BF"/>
    <w:multiLevelType w:val="multilevel"/>
    <w:tmpl w:val="7060B39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8">
    <w:nsid w:val="79A74A3F"/>
    <w:multiLevelType w:val="hybridMultilevel"/>
    <w:tmpl w:val="2BFCCE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7D38284E"/>
    <w:multiLevelType w:val="hybridMultilevel"/>
    <w:tmpl w:val="E7343AF0"/>
    <w:lvl w:ilvl="0" w:tplc="255EFD7C">
      <w:start w:val="1"/>
      <w:numFmt w:val="decimal"/>
      <w:lvlText w:val="%1."/>
      <w:lvlJc w:val="left"/>
      <w:pPr>
        <w:ind w:left="930" w:hanging="57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nsid w:val="7E1A0688"/>
    <w:multiLevelType w:val="hybridMultilevel"/>
    <w:tmpl w:val="D012C0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0"/>
  </w:num>
  <w:num w:numId="2">
    <w:abstractNumId w:val="4"/>
  </w:num>
  <w:num w:numId="3">
    <w:abstractNumId w:val="37"/>
  </w:num>
  <w:num w:numId="4">
    <w:abstractNumId w:val="37"/>
  </w:num>
  <w:num w:numId="5">
    <w:abstractNumId w:val="37"/>
  </w:num>
  <w:num w:numId="6">
    <w:abstractNumId w:val="32"/>
  </w:num>
  <w:num w:numId="7">
    <w:abstractNumId w:val="37"/>
  </w:num>
  <w:num w:numId="8">
    <w:abstractNumId w:val="37"/>
  </w:num>
  <w:num w:numId="9">
    <w:abstractNumId w:val="17"/>
  </w:num>
  <w:num w:numId="10">
    <w:abstractNumId w:val="26"/>
  </w:num>
  <w:num w:numId="11">
    <w:abstractNumId w:val="20"/>
  </w:num>
  <w:num w:numId="12">
    <w:abstractNumId w:val="29"/>
  </w:num>
  <w:num w:numId="13">
    <w:abstractNumId w:val="19"/>
  </w:num>
  <w:num w:numId="14">
    <w:abstractNumId w:val="16"/>
  </w:num>
  <w:num w:numId="15">
    <w:abstractNumId w:val="15"/>
  </w:num>
  <w:num w:numId="16">
    <w:abstractNumId w:val="34"/>
  </w:num>
  <w:num w:numId="17">
    <w:abstractNumId w:val="23"/>
  </w:num>
  <w:num w:numId="18">
    <w:abstractNumId w:val="39"/>
  </w:num>
  <w:num w:numId="19">
    <w:abstractNumId w:val="13"/>
  </w:num>
  <w:num w:numId="20">
    <w:abstractNumId w:val="38"/>
  </w:num>
  <w:num w:numId="21">
    <w:abstractNumId w:val="27"/>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8"/>
  </w:num>
  <w:num w:numId="25">
    <w:abstractNumId w:val="24"/>
  </w:num>
  <w:num w:numId="26">
    <w:abstractNumId w:val="36"/>
  </w:num>
  <w:num w:numId="27">
    <w:abstractNumId w:val="9"/>
  </w:num>
  <w:num w:numId="28">
    <w:abstractNumId w:val="6"/>
  </w:num>
  <w:num w:numId="29">
    <w:abstractNumId w:val="22"/>
  </w:num>
  <w:num w:numId="30">
    <w:abstractNumId w:val="5"/>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0"/>
  </w:num>
  <w:num w:numId="34">
    <w:abstractNumId w:val="40"/>
  </w:num>
  <w:num w:numId="35">
    <w:abstractNumId w:val="7"/>
  </w:num>
  <w:num w:numId="36">
    <w:abstractNumId w:val="8"/>
  </w:num>
  <w:num w:numId="37">
    <w:abstractNumId w:val="0"/>
  </w:num>
  <w:num w:numId="38">
    <w:abstractNumId w:val="12"/>
  </w:num>
  <w:num w:numId="39">
    <w:abstractNumId w:val="25"/>
  </w:num>
  <w:num w:numId="40">
    <w:abstractNumId w:val="21"/>
  </w:num>
  <w:num w:numId="41">
    <w:abstractNumId w:val="33"/>
  </w:num>
  <w:num w:numId="42">
    <w:abstractNumId w:val="35"/>
  </w:num>
  <w:num w:numId="43">
    <w:abstractNumId w:val="31"/>
  </w:num>
  <w:num w:numId="44">
    <w:abstractNumId w:val="11"/>
  </w:num>
  <w:num w:numId="45">
    <w:abstractNumId w:val="1"/>
  </w:num>
  <w:num w:numId="46">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C68"/>
    <w:rsid w:val="000233C6"/>
    <w:rsid w:val="00033112"/>
    <w:rsid w:val="000364E2"/>
    <w:rsid w:val="000403A2"/>
    <w:rsid w:val="00042E6D"/>
    <w:rsid w:val="00053EFE"/>
    <w:rsid w:val="0005529F"/>
    <w:rsid w:val="00061978"/>
    <w:rsid w:val="000641A7"/>
    <w:rsid w:val="000671E5"/>
    <w:rsid w:val="00070549"/>
    <w:rsid w:val="00074256"/>
    <w:rsid w:val="00080FDE"/>
    <w:rsid w:val="000830E2"/>
    <w:rsid w:val="00086867"/>
    <w:rsid w:val="00092416"/>
    <w:rsid w:val="000956E8"/>
    <w:rsid w:val="00095D52"/>
    <w:rsid w:val="00097E34"/>
    <w:rsid w:val="000B0905"/>
    <w:rsid w:val="000B27FA"/>
    <w:rsid w:val="000B39F4"/>
    <w:rsid w:val="000B787A"/>
    <w:rsid w:val="000C0A61"/>
    <w:rsid w:val="000C2EF7"/>
    <w:rsid w:val="000D0F3C"/>
    <w:rsid w:val="000E346F"/>
    <w:rsid w:val="000F0612"/>
    <w:rsid w:val="000F1373"/>
    <w:rsid w:val="000F46B6"/>
    <w:rsid w:val="000F775A"/>
    <w:rsid w:val="00100372"/>
    <w:rsid w:val="00101F1B"/>
    <w:rsid w:val="00106047"/>
    <w:rsid w:val="00106238"/>
    <w:rsid w:val="00107715"/>
    <w:rsid w:val="00112E59"/>
    <w:rsid w:val="00113B49"/>
    <w:rsid w:val="00135342"/>
    <w:rsid w:val="00135FE7"/>
    <w:rsid w:val="0013730F"/>
    <w:rsid w:val="00154CD8"/>
    <w:rsid w:val="00161D26"/>
    <w:rsid w:val="00162CBB"/>
    <w:rsid w:val="0016435A"/>
    <w:rsid w:val="0017696D"/>
    <w:rsid w:val="00177DC7"/>
    <w:rsid w:val="00181D23"/>
    <w:rsid w:val="001875C6"/>
    <w:rsid w:val="00193380"/>
    <w:rsid w:val="001A0544"/>
    <w:rsid w:val="001A74FD"/>
    <w:rsid w:val="001A79B6"/>
    <w:rsid w:val="001C02C9"/>
    <w:rsid w:val="001C7C24"/>
    <w:rsid w:val="001D08D5"/>
    <w:rsid w:val="001D181E"/>
    <w:rsid w:val="001E0E49"/>
    <w:rsid w:val="001E7B96"/>
    <w:rsid w:val="001F2614"/>
    <w:rsid w:val="001F2E1A"/>
    <w:rsid w:val="001F724C"/>
    <w:rsid w:val="002007CA"/>
    <w:rsid w:val="00215746"/>
    <w:rsid w:val="00221774"/>
    <w:rsid w:val="00222F7B"/>
    <w:rsid w:val="002245CC"/>
    <w:rsid w:val="00225B01"/>
    <w:rsid w:val="0023437A"/>
    <w:rsid w:val="00250F94"/>
    <w:rsid w:val="00257133"/>
    <w:rsid w:val="00260D98"/>
    <w:rsid w:val="0026766F"/>
    <w:rsid w:val="00270D2F"/>
    <w:rsid w:val="00275EE0"/>
    <w:rsid w:val="00276C85"/>
    <w:rsid w:val="00277BC1"/>
    <w:rsid w:val="00277CF8"/>
    <w:rsid w:val="0028051D"/>
    <w:rsid w:val="00294331"/>
    <w:rsid w:val="002A02A3"/>
    <w:rsid w:val="002A094E"/>
    <w:rsid w:val="002A63B7"/>
    <w:rsid w:val="002A6FF4"/>
    <w:rsid w:val="002B169D"/>
    <w:rsid w:val="002B47FC"/>
    <w:rsid w:val="002B683F"/>
    <w:rsid w:val="002B7BB0"/>
    <w:rsid w:val="002D7395"/>
    <w:rsid w:val="002E0DCE"/>
    <w:rsid w:val="002F624E"/>
    <w:rsid w:val="00301409"/>
    <w:rsid w:val="003050FD"/>
    <w:rsid w:val="003071E0"/>
    <w:rsid w:val="00314E5E"/>
    <w:rsid w:val="00316BF0"/>
    <w:rsid w:val="00322C20"/>
    <w:rsid w:val="0032693F"/>
    <w:rsid w:val="00326A73"/>
    <w:rsid w:val="00326C68"/>
    <w:rsid w:val="0033013C"/>
    <w:rsid w:val="00346C62"/>
    <w:rsid w:val="00357A5F"/>
    <w:rsid w:val="00363C8B"/>
    <w:rsid w:val="00376590"/>
    <w:rsid w:val="00377E62"/>
    <w:rsid w:val="003813E6"/>
    <w:rsid w:val="003846DD"/>
    <w:rsid w:val="0039030E"/>
    <w:rsid w:val="00393716"/>
    <w:rsid w:val="00397194"/>
    <w:rsid w:val="003A3B88"/>
    <w:rsid w:val="003A57CC"/>
    <w:rsid w:val="003B1654"/>
    <w:rsid w:val="003B2270"/>
    <w:rsid w:val="003B3DE3"/>
    <w:rsid w:val="003C2268"/>
    <w:rsid w:val="003C4848"/>
    <w:rsid w:val="003C53D0"/>
    <w:rsid w:val="003D6A16"/>
    <w:rsid w:val="003E76E9"/>
    <w:rsid w:val="003F677E"/>
    <w:rsid w:val="003F73E2"/>
    <w:rsid w:val="004002F7"/>
    <w:rsid w:val="004009BD"/>
    <w:rsid w:val="00421CAC"/>
    <w:rsid w:val="00423C29"/>
    <w:rsid w:val="00430369"/>
    <w:rsid w:val="00431D12"/>
    <w:rsid w:val="00434710"/>
    <w:rsid w:val="004369DC"/>
    <w:rsid w:val="00443C40"/>
    <w:rsid w:val="004648A4"/>
    <w:rsid w:val="004662F9"/>
    <w:rsid w:val="004858B1"/>
    <w:rsid w:val="00486369"/>
    <w:rsid w:val="00493F86"/>
    <w:rsid w:val="004A0432"/>
    <w:rsid w:val="004A099D"/>
    <w:rsid w:val="004A47FF"/>
    <w:rsid w:val="004B23D3"/>
    <w:rsid w:val="004C6078"/>
    <w:rsid w:val="004C7F92"/>
    <w:rsid w:val="004E45DF"/>
    <w:rsid w:val="004F061E"/>
    <w:rsid w:val="004F2203"/>
    <w:rsid w:val="004F2824"/>
    <w:rsid w:val="004F2E89"/>
    <w:rsid w:val="00500553"/>
    <w:rsid w:val="005006F3"/>
    <w:rsid w:val="00510966"/>
    <w:rsid w:val="00514FC1"/>
    <w:rsid w:val="00523220"/>
    <w:rsid w:val="00525224"/>
    <w:rsid w:val="005269EA"/>
    <w:rsid w:val="0053015C"/>
    <w:rsid w:val="00533846"/>
    <w:rsid w:val="005348B2"/>
    <w:rsid w:val="005434C4"/>
    <w:rsid w:val="00554550"/>
    <w:rsid w:val="005549FF"/>
    <w:rsid w:val="00562E1E"/>
    <w:rsid w:val="0056449E"/>
    <w:rsid w:val="005723B3"/>
    <w:rsid w:val="005761BB"/>
    <w:rsid w:val="00585607"/>
    <w:rsid w:val="005D1128"/>
    <w:rsid w:val="005D73C8"/>
    <w:rsid w:val="005E2FFC"/>
    <w:rsid w:val="005E39B2"/>
    <w:rsid w:val="005F1C1F"/>
    <w:rsid w:val="005F1F09"/>
    <w:rsid w:val="005F58EF"/>
    <w:rsid w:val="006078DF"/>
    <w:rsid w:val="00616265"/>
    <w:rsid w:val="00617C57"/>
    <w:rsid w:val="00624A19"/>
    <w:rsid w:val="0063524D"/>
    <w:rsid w:val="006542C3"/>
    <w:rsid w:val="00654C06"/>
    <w:rsid w:val="0065588F"/>
    <w:rsid w:val="00664805"/>
    <w:rsid w:val="00667E14"/>
    <w:rsid w:val="00671707"/>
    <w:rsid w:val="00677187"/>
    <w:rsid w:val="006827D0"/>
    <w:rsid w:val="00684589"/>
    <w:rsid w:val="006845C9"/>
    <w:rsid w:val="006902F9"/>
    <w:rsid w:val="00690A9D"/>
    <w:rsid w:val="00690B4B"/>
    <w:rsid w:val="00691107"/>
    <w:rsid w:val="0069180A"/>
    <w:rsid w:val="00697E9B"/>
    <w:rsid w:val="006A0BAF"/>
    <w:rsid w:val="006A6A4A"/>
    <w:rsid w:val="006B0132"/>
    <w:rsid w:val="006B2227"/>
    <w:rsid w:val="006B5313"/>
    <w:rsid w:val="006B5D17"/>
    <w:rsid w:val="006C4BCC"/>
    <w:rsid w:val="006C7D8C"/>
    <w:rsid w:val="006D1EAC"/>
    <w:rsid w:val="006D3D6F"/>
    <w:rsid w:val="006E1FA9"/>
    <w:rsid w:val="006E316D"/>
    <w:rsid w:val="006F3CB3"/>
    <w:rsid w:val="006F5516"/>
    <w:rsid w:val="006F70A7"/>
    <w:rsid w:val="0070740D"/>
    <w:rsid w:val="0071309B"/>
    <w:rsid w:val="00715F52"/>
    <w:rsid w:val="0072124A"/>
    <w:rsid w:val="00751528"/>
    <w:rsid w:val="007538DB"/>
    <w:rsid w:val="0075560F"/>
    <w:rsid w:val="007601AD"/>
    <w:rsid w:val="00766990"/>
    <w:rsid w:val="0077184D"/>
    <w:rsid w:val="00782F34"/>
    <w:rsid w:val="007925CA"/>
    <w:rsid w:val="00793843"/>
    <w:rsid w:val="00793A25"/>
    <w:rsid w:val="007972EC"/>
    <w:rsid w:val="007A1831"/>
    <w:rsid w:val="007A3DB8"/>
    <w:rsid w:val="007A49AD"/>
    <w:rsid w:val="007A7345"/>
    <w:rsid w:val="007C415E"/>
    <w:rsid w:val="007C7EC6"/>
    <w:rsid w:val="007D5586"/>
    <w:rsid w:val="007D62B2"/>
    <w:rsid w:val="007E4E9A"/>
    <w:rsid w:val="007E5C61"/>
    <w:rsid w:val="007F0553"/>
    <w:rsid w:val="00802521"/>
    <w:rsid w:val="00807AA2"/>
    <w:rsid w:val="00807F54"/>
    <w:rsid w:val="008127E6"/>
    <w:rsid w:val="00820168"/>
    <w:rsid w:val="00826ED1"/>
    <w:rsid w:val="008330CF"/>
    <w:rsid w:val="00860D26"/>
    <w:rsid w:val="00865CCE"/>
    <w:rsid w:val="00884205"/>
    <w:rsid w:val="00890C4D"/>
    <w:rsid w:val="008A37BA"/>
    <w:rsid w:val="008C3FDF"/>
    <w:rsid w:val="008C47FE"/>
    <w:rsid w:val="008D2718"/>
    <w:rsid w:val="008D2BDA"/>
    <w:rsid w:val="008D4942"/>
    <w:rsid w:val="008D6E2E"/>
    <w:rsid w:val="008D74CD"/>
    <w:rsid w:val="008D763E"/>
    <w:rsid w:val="008E4001"/>
    <w:rsid w:val="008F33D5"/>
    <w:rsid w:val="008F5596"/>
    <w:rsid w:val="008F5ECB"/>
    <w:rsid w:val="008F677F"/>
    <w:rsid w:val="0090290F"/>
    <w:rsid w:val="0091665C"/>
    <w:rsid w:val="00916B79"/>
    <w:rsid w:val="0093342F"/>
    <w:rsid w:val="00941053"/>
    <w:rsid w:val="00956BAA"/>
    <w:rsid w:val="00971713"/>
    <w:rsid w:val="00976BDD"/>
    <w:rsid w:val="00977355"/>
    <w:rsid w:val="00980A99"/>
    <w:rsid w:val="00982D6E"/>
    <w:rsid w:val="00983D9C"/>
    <w:rsid w:val="009852E6"/>
    <w:rsid w:val="0098621D"/>
    <w:rsid w:val="00997A4D"/>
    <w:rsid w:val="009B383B"/>
    <w:rsid w:val="009B3CB6"/>
    <w:rsid w:val="009C2F3B"/>
    <w:rsid w:val="009C69F7"/>
    <w:rsid w:val="009D242F"/>
    <w:rsid w:val="009D3F21"/>
    <w:rsid w:val="009D489B"/>
    <w:rsid w:val="009D4B2F"/>
    <w:rsid w:val="009E2049"/>
    <w:rsid w:val="009E4A39"/>
    <w:rsid w:val="009F23E8"/>
    <w:rsid w:val="009F2575"/>
    <w:rsid w:val="00A024A8"/>
    <w:rsid w:val="00A027EE"/>
    <w:rsid w:val="00A07183"/>
    <w:rsid w:val="00A101D2"/>
    <w:rsid w:val="00A10967"/>
    <w:rsid w:val="00A16D03"/>
    <w:rsid w:val="00A16EA7"/>
    <w:rsid w:val="00A243E6"/>
    <w:rsid w:val="00A267CE"/>
    <w:rsid w:val="00A30225"/>
    <w:rsid w:val="00A3274B"/>
    <w:rsid w:val="00A32A30"/>
    <w:rsid w:val="00A44AE2"/>
    <w:rsid w:val="00A477F3"/>
    <w:rsid w:val="00A64930"/>
    <w:rsid w:val="00A77E89"/>
    <w:rsid w:val="00A82B1F"/>
    <w:rsid w:val="00A87C8C"/>
    <w:rsid w:val="00A92C02"/>
    <w:rsid w:val="00A95309"/>
    <w:rsid w:val="00AA26E7"/>
    <w:rsid w:val="00AA3CFD"/>
    <w:rsid w:val="00AA3D96"/>
    <w:rsid w:val="00AA3E9E"/>
    <w:rsid w:val="00AA59E8"/>
    <w:rsid w:val="00AC0304"/>
    <w:rsid w:val="00AC345D"/>
    <w:rsid w:val="00AD241F"/>
    <w:rsid w:val="00AD6C98"/>
    <w:rsid w:val="00AD704C"/>
    <w:rsid w:val="00AE4993"/>
    <w:rsid w:val="00AE7906"/>
    <w:rsid w:val="00AF52C4"/>
    <w:rsid w:val="00B0161E"/>
    <w:rsid w:val="00B05A15"/>
    <w:rsid w:val="00B07F82"/>
    <w:rsid w:val="00B10641"/>
    <w:rsid w:val="00B1073A"/>
    <w:rsid w:val="00B1660B"/>
    <w:rsid w:val="00B253F4"/>
    <w:rsid w:val="00B35D13"/>
    <w:rsid w:val="00B46F09"/>
    <w:rsid w:val="00B53A7B"/>
    <w:rsid w:val="00B55204"/>
    <w:rsid w:val="00B55292"/>
    <w:rsid w:val="00B600CB"/>
    <w:rsid w:val="00B608A5"/>
    <w:rsid w:val="00B6512A"/>
    <w:rsid w:val="00B70CD3"/>
    <w:rsid w:val="00B83ED4"/>
    <w:rsid w:val="00B90507"/>
    <w:rsid w:val="00B92E72"/>
    <w:rsid w:val="00BB0116"/>
    <w:rsid w:val="00BB27C5"/>
    <w:rsid w:val="00BC2918"/>
    <w:rsid w:val="00BC6FF5"/>
    <w:rsid w:val="00BD685D"/>
    <w:rsid w:val="00BE1D13"/>
    <w:rsid w:val="00BE4CC9"/>
    <w:rsid w:val="00BF2999"/>
    <w:rsid w:val="00BF323D"/>
    <w:rsid w:val="00BF5434"/>
    <w:rsid w:val="00C154C2"/>
    <w:rsid w:val="00C24300"/>
    <w:rsid w:val="00C309B1"/>
    <w:rsid w:val="00C30AFC"/>
    <w:rsid w:val="00C335F0"/>
    <w:rsid w:val="00C43796"/>
    <w:rsid w:val="00C47BE9"/>
    <w:rsid w:val="00C47E91"/>
    <w:rsid w:val="00C5418E"/>
    <w:rsid w:val="00C60D46"/>
    <w:rsid w:val="00C62218"/>
    <w:rsid w:val="00C6308A"/>
    <w:rsid w:val="00C6430C"/>
    <w:rsid w:val="00C7286B"/>
    <w:rsid w:val="00C740CF"/>
    <w:rsid w:val="00C74F88"/>
    <w:rsid w:val="00C75E0E"/>
    <w:rsid w:val="00C82BC5"/>
    <w:rsid w:val="00CA3E85"/>
    <w:rsid w:val="00CA4E74"/>
    <w:rsid w:val="00CB0BBB"/>
    <w:rsid w:val="00CC4E74"/>
    <w:rsid w:val="00CD2962"/>
    <w:rsid w:val="00CD4FA2"/>
    <w:rsid w:val="00CD51FD"/>
    <w:rsid w:val="00CE13A7"/>
    <w:rsid w:val="00CE20ED"/>
    <w:rsid w:val="00CE40EE"/>
    <w:rsid w:val="00CE6591"/>
    <w:rsid w:val="00CF076B"/>
    <w:rsid w:val="00CF4265"/>
    <w:rsid w:val="00CF4D15"/>
    <w:rsid w:val="00D004D0"/>
    <w:rsid w:val="00D00B4F"/>
    <w:rsid w:val="00D04E39"/>
    <w:rsid w:val="00D14191"/>
    <w:rsid w:val="00D149DA"/>
    <w:rsid w:val="00D151F6"/>
    <w:rsid w:val="00D34708"/>
    <w:rsid w:val="00D43633"/>
    <w:rsid w:val="00D50DE5"/>
    <w:rsid w:val="00D53B5D"/>
    <w:rsid w:val="00D54EF6"/>
    <w:rsid w:val="00D66735"/>
    <w:rsid w:val="00D671A5"/>
    <w:rsid w:val="00D765E7"/>
    <w:rsid w:val="00D95F74"/>
    <w:rsid w:val="00DA6007"/>
    <w:rsid w:val="00DA6F00"/>
    <w:rsid w:val="00DB5A0C"/>
    <w:rsid w:val="00DC4D99"/>
    <w:rsid w:val="00DD08BA"/>
    <w:rsid w:val="00DD1103"/>
    <w:rsid w:val="00DE2447"/>
    <w:rsid w:val="00DE5E01"/>
    <w:rsid w:val="00DF1FBB"/>
    <w:rsid w:val="00DF2A80"/>
    <w:rsid w:val="00E04AF2"/>
    <w:rsid w:val="00E054A3"/>
    <w:rsid w:val="00E232D3"/>
    <w:rsid w:val="00E2376B"/>
    <w:rsid w:val="00E2796D"/>
    <w:rsid w:val="00E27C6A"/>
    <w:rsid w:val="00E27FC3"/>
    <w:rsid w:val="00E32CFA"/>
    <w:rsid w:val="00E3543C"/>
    <w:rsid w:val="00E40873"/>
    <w:rsid w:val="00E43F97"/>
    <w:rsid w:val="00E5287C"/>
    <w:rsid w:val="00E561B8"/>
    <w:rsid w:val="00E577A4"/>
    <w:rsid w:val="00E57F73"/>
    <w:rsid w:val="00E7100C"/>
    <w:rsid w:val="00E71841"/>
    <w:rsid w:val="00E770E6"/>
    <w:rsid w:val="00E7762C"/>
    <w:rsid w:val="00E779E2"/>
    <w:rsid w:val="00E81434"/>
    <w:rsid w:val="00E87AEF"/>
    <w:rsid w:val="00E92AE8"/>
    <w:rsid w:val="00E93323"/>
    <w:rsid w:val="00E95CFE"/>
    <w:rsid w:val="00E95D2C"/>
    <w:rsid w:val="00E97863"/>
    <w:rsid w:val="00EC0104"/>
    <w:rsid w:val="00EC5041"/>
    <w:rsid w:val="00ED244B"/>
    <w:rsid w:val="00ED7AEC"/>
    <w:rsid w:val="00EE07DC"/>
    <w:rsid w:val="00EE4623"/>
    <w:rsid w:val="00EE4BEE"/>
    <w:rsid w:val="00EE6D93"/>
    <w:rsid w:val="00EF1568"/>
    <w:rsid w:val="00F02631"/>
    <w:rsid w:val="00F05B26"/>
    <w:rsid w:val="00F0785D"/>
    <w:rsid w:val="00F1392E"/>
    <w:rsid w:val="00F22950"/>
    <w:rsid w:val="00F278D5"/>
    <w:rsid w:val="00F311FB"/>
    <w:rsid w:val="00F3272D"/>
    <w:rsid w:val="00F37A73"/>
    <w:rsid w:val="00F43738"/>
    <w:rsid w:val="00F43BE8"/>
    <w:rsid w:val="00F53012"/>
    <w:rsid w:val="00F53771"/>
    <w:rsid w:val="00F5622A"/>
    <w:rsid w:val="00F96873"/>
    <w:rsid w:val="00FA15BA"/>
    <w:rsid w:val="00FA6EBF"/>
    <w:rsid w:val="00FA71B6"/>
    <w:rsid w:val="00FA7FC5"/>
    <w:rsid w:val="00FB2D96"/>
    <w:rsid w:val="00FB5BF8"/>
    <w:rsid w:val="00FD0B6D"/>
    <w:rsid w:val="00FD7E46"/>
    <w:rsid w:val="00FE1DCB"/>
    <w:rsid w:val="00FE61C8"/>
    <w:rsid w:val="00FF320E"/>
    <w:rsid w:val="00FF377F"/>
    <w:rsid w:val="00FF3DE6"/>
    <w:rsid w:val="00FF73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2631"/>
    <w:pPr>
      <w:spacing w:after="120"/>
      <w:jc w:val="both"/>
    </w:pPr>
    <w:rPr>
      <w:rFonts w:ascii="Arial" w:hAnsi="Arial"/>
      <w:sz w:val="22"/>
      <w:lang w:val="en-GB" w:eastAsia="de-DE"/>
    </w:rPr>
  </w:style>
  <w:style w:type="paragraph" w:styleId="Heading1">
    <w:name w:val="heading 1"/>
    <w:basedOn w:val="Normal"/>
    <w:next w:val="Normal"/>
    <w:qFormat/>
    <w:rsid w:val="00D004D0"/>
    <w:pPr>
      <w:numPr>
        <w:numId w:val="3"/>
      </w:numPr>
      <w:tabs>
        <w:tab w:val="clear" w:pos="432"/>
        <w:tab w:val="left" w:pos="851"/>
      </w:tabs>
      <w:spacing w:before="360"/>
      <w:ind w:left="851" w:hanging="851"/>
      <w:jc w:val="left"/>
      <w:outlineLvl w:val="0"/>
    </w:pPr>
    <w:rPr>
      <w:rFonts w:cs="Arial"/>
      <w:b/>
      <w:sz w:val="28"/>
      <w:szCs w:val="28"/>
    </w:rPr>
  </w:style>
  <w:style w:type="paragraph" w:styleId="Heading2">
    <w:name w:val="heading 2"/>
    <w:basedOn w:val="Heading1"/>
    <w:next w:val="Normal"/>
    <w:qFormat/>
    <w:rsid w:val="00D004D0"/>
    <w:pPr>
      <w:numPr>
        <w:ilvl w:val="1"/>
      </w:numPr>
      <w:tabs>
        <w:tab w:val="clear" w:pos="576"/>
      </w:tabs>
      <w:spacing w:before="120"/>
      <w:ind w:left="851" w:hanging="851"/>
      <w:outlineLvl w:val="1"/>
    </w:pPr>
    <w:rPr>
      <w:sz w:val="24"/>
    </w:rPr>
  </w:style>
  <w:style w:type="paragraph" w:styleId="Heading3">
    <w:name w:val="heading 3"/>
    <w:basedOn w:val="Heading2"/>
    <w:next w:val="Normal"/>
    <w:qFormat/>
    <w:rsid w:val="00D004D0"/>
    <w:pPr>
      <w:numPr>
        <w:ilvl w:val="2"/>
      </w:numPr>
      <w:tabs>
        <w:tab w:val="clear" w:pos="720"/>
      </w:tabs>
      <w:ind w:left="851" w:hanging="851"/>
      <w:outlineLvl w:val="2"/>
    </w:pPr>
    <w:rPr>
      <w:i/>
      <w:sz w:val="22"/>
    </w:rPr>
  </w:style>
  <w:style w:type="paragraph" w:styleId="Heading4">
    <w:name w:val="heading 4"/>
    <w:basedOn w:val="Normal"/>
    <w:next w:val="Normal"/>
    <w:qFormat/>
    <w:rsid w:val="00D004D0"/>
    <w:pPr>
      <w:numPr>
        <w:ilvl w:val="3"/>
        <w:numId w:val="3"/>
      </w:numPr>
      <w:outlineLvl w:val="3"/>
    </w:pPr>
    <w:rPr>
      <w:u w:val="single"/>
    </w:rPr>
  </w:style>
  <w:style w:type="paragraph" w:styleId="Heading5">
    <w:name w:val="heading 5"/>
    <w:basedOn w:val="Normal"/>
    <w:next w:val="Normal"/>
    <w:qFormat/>
    <w:rsid w:val="00D004D0"/>
    <w:pPr>
      <w:numPr>
        <w:ilvl w:val="4"/>
        <w:numId w:val="3"/>
      </w:numPr>
      <w:outlineLvl w:val="4"/>
    </w:pPr>
    <w:rPr>
      <w:b/>
      <w:sz w:val="20"/>
    </w:rPr>
  </w:style>
  <w:style w:type="paragraph" w:styleId="Heading6">
    <w:name w:val="heading 6"/>
    <w:basedOn w:val="Normal"/>
    <w:next w:val="Normal"/>
    <w:qFormat/>
    <w:rsid w:val="00D004D0"/>
    <w:pPr>
      <w:numPr>
        <w:ilvl w:val="5"/>
        <w:numId w:val="3"/>
      </w:numPr>
      <w:outlineLvl w:val="5"/>
    </w:pPr>
    <w:rPr>
      <w:sz w:val="20"/>
      <w:u w:val="single"/>
    </w:rPr>
  </w:style>
  <w:style w:type="paragraph" w:styleId="Heading7">
    <w:name w:val="heading 7"/>
    <w:basedOn w:val="Normal"/>
    <w:next w:val="Normal"/>
    <w:qFormat/>
    <w:rsid w:val="00D004D0"/>
    <w:pPr>
      <w:numPr>
        <w:ilvl w:val="6"/>
        <w:numId w:val="3"/>
      </w:numPr>
      <w:outlineLvl w:val="6"/>
    </w:pPr>
    <w:rPr>
      <w:i/>
      <w:sz w:val="20"/>
    </w:rPr>
  </w:style>
  <w:style w:type="paragraph" w:styleId="Heading8">
    <w:name w:val="heading 8"/>
    <w:basedOn w:val="Normal"/>
    <w:next w:val="Normal"/>
    <w:qFormat/>
    <w:rsid w:val="00D004D0"/>
    <w:pPr>
      <w:numPr>
        <w:ilvl w:val="7"/>
        <w:numId w:val="3"/>
      </w:numPr>
      <w:outlineLvl w:val="7"/>
    </w:pPr>
    <w:rPr>
      <w:i/>
      <w:sz w:val="20"/>
    </w:rPr>
  </w:style>
  <w:style w:type="paragraph" w:styleId="Heading9">
    <w:name w:val="heading 9"/>
    <w:basedOn w:val="Normal"/>
    <w:next w:val="Normal"/>
    <w:qFormat/>
    <w:rsid w:val="00D004D0"/>
    <w:pPr>
      <w:numPr>
        <w:ilvl w:val="8"/>
        <w:numId w:val="3"/>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621D"/>
    <w:pPr>
      <w:tabs>
        <w:tab w:val="center" w:pos="4536"/>
        <w:tab w:val="right" w:pos="9072"/>
      </w:tabs>
      <w:spacing w:after="0"/>
      <w:jc w:val="left"/>
    </w:pPr>
    <w:rPr>
      <w:b/>
    </w:rPr>
  </w:style>
  <w:style w:type="paragraph" w:styleId="List">
    <w:name w:val="List"/>
    <w:basedOn w:val="Normal"/>
    <w:rsid w:val="00135FE7"/>
    <w:pPr>
      <w:tabs>
        <w:tab w:val="left" w:pos="1418"/>
      </w:tabs>
      <w:ind w:left="1418" w:hanging="567"/>
    </w:pPr>
  </w:style>
  <w:style w:type="paragraph" w:customStyle="1" w:styleId="Kopfzeile1">
    <w:name w:val="Kopfzeile1"/>
    <w:basedOn w:val="Header"/>
    <w:rsid w:val="00215746"/>
  </w:style>
  <w:style w:type="character" w:styleId="FootnoteReference">
    <w:name w:val="footnote reference"/>
    <w:aliases w:val="Appel note de bas de p,Footnote Reference/,Footnote,Footnote symbol"/>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TableofFigures">
    <w:name w:val="table of figures"/>
    <w:basedOn w:val="Normal"/>
    <w:next w:val="Normal"/>
    <w:semiHidden/>
    <w:pPr>
      <w:ind w:left="400" w:hanging="400"/>
    </w:pPr>
    <w:rPr>
      <w:sz w:val="20"/>
      <w:lang w:val="de-DE"/>
    </w:rPr>
  </w:style>
  <w:style w:type="paragraph" w:styleId="Titl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rsid w:val="003C53D0"/>
    <w:rPr>
      <w:color w:val="0000FF"/>
      <w:u w:val="single"/>
    </w:rPr>
  </w:style>
  <w:style w:type="paragraph" w:customStyle="1" w:styleId="Note">
    <w:name w:val="Note"/>
    <w:basedOn w:val="Normal"/>
    <w:next w:val="Normal"/>
    <w:rsid w:val="00DE5E01"/>
    <w:pPr>
      <w:tabs>
        <w:tab w:val="left" w:pos="851"/>
      </w:tabs>
      <w:ind w:left="851" w:hanging="851"/>
    </w:pPr>
    <w:rPr>
      <w:b/>
    </w:rPr>
  </w:style>
  <w:style w:type="paragraph" w:customStyle="1" w:styleId="Header1">
    <w:name w:val="Header1"/>
    <w:basedOn w:val="Header"/>
    <w:link w:val="HeaderZchnZchn"/>
    <w:rsid w:val="00493F86"/>
    <w:pPr>
      <w:spacing w:before="60"/>
    </w:pPr>
    <w:rPr>
      <w:lang w:eastAsia="x-none"/>
    </w:rPr>
  </w:style>
  <w:style w:type="character" w:customStyle="1" w:styleId="HeaderZchnZchn">
    <w:name w:val="Header Zchn Zchn"/>
    <w:link w:val="Header1"/>
    <w:rsid w:val="00493F86"/>
    <w:rPr>
      <w:rFonts w:ascii="Arial" w:hAnsi="Arial"/>
      <w:b/>
      <w:sz w:val="22"/>
      <w:lang w:val="nb-NO"/>
    </w:rPr>
  </w:style>
  <w:style w:type="paragraph" w:customStyle="1" w:styleId="a">
    <w:name w:val="Абзац списка"/>
    <w:basedOn w:val="Normal"/>
    <w:uiPriority w:val="34"/>
    <w:qFormat/>
    <w:rsid w:val="00A101D2"/>
    <w:pPr>
      <w:spacing w:after="0"/>
      <w:ind w:left="720"/>
      <w:jc w:val="left"/>
    </w:pPr>
    <w:rPr>
      <w:rFonts w:ascii="Calibri" w:eastAsia="Calibri" w:hAnsi="Calibri"/>
      <w:szCs w:val="22"/>
      <w:lang w:val="da-DK" w:eastAsia="da-DK" w:bidi="he-IL"/>
    </w:rPr>
  </w:style>
  <w:style w:type="character" w:styleId="FollowedHyperlink">
    <w:name w:val="FollowedHyperlink"/>
    <w:rsid w:val="006827D0"/>
    <w:rPr>
      <w:color w:val="800080"/>
      <w:u w:val="single"/>
    </w:rPr>
  </w:style>
  <w:style w:type="table" w:styleId="TableGrid">
    <w:name w:val="Table Grid"/>
    <w:basedOn w:val="TableNormal"/>
    <w:rsid w:val="004A0432"/>
    <w:pPr>
      <w:spacing w:after="260" w:line="260" w:lineRule="exact"/>
    </w:pPr>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E2376B"/>
    <w:pPr>
      <w:spacing w:after="0"/>
    </w:pPr>
    <w:rPr>
      <w:rFonts w:ascii="Tahoma" w:hAnsi="Tahoma"/>
      <w:sz w:val="16"/>
      <w:szCs w:val="16"/>
    </w:rPr>
  </w:style>
  <w:style w:type="character" w:customStyle="1" w:styleId="BalloonTextChar">
    <w:name w:val="Balloon Text Char"/>
    <w:link w:val="BalloonText"/>
    <w:rsid w:val="00E2376B"/>
    <w:rPr>
      <w:rFonts w:ascii="Tahoma" w:hAnsi="Tahoma" w:cs="Tahoma"/>
      <w:sz w:val="16"/>
      <w:szCs w:val="16"/>
      <w:lang w:val="nb-NO" w:eastAsia="de-DE"/>
    </w:rPr>
  </w:style>
  <w:style w:type="character" w:styleId="CommentReference">
    <w:name w:val="annotation reference"/>
    <w:rsid w:val="00A44AE2"/>
    <w:rPr>
      <w:sz w:val="16"/>
      <w:szCs w:val="16"/>
    </w:rPr>
  </w:style>
  <w:style w:type="paragraph" w:styleId="CommentText">
    <w:name w:val="annotation text"/>
    <w:basedOn w:val="Normal"/>
    <w:link w:val="CommentTextChar"/>
    <w:rsid w:val="00A44AE2"/>
    <w:rPr>
      <w:sz w:val="20"/>
    </w:rPr>
  </w:style>
  <w:style w:type="character" w:customStyle="1" w:styleId="CommentTextChar">
    <w:name w:val="Comment Text Char"/>
    <w:link w:val="CommentText"/>
    <w:rsid w:val="00A44AE2"/>
    <w:rPr>
      <w:rFonts w:ascii="Arial" w:hAnsi="Arial"/>
      <w:lang w:val="nb-NO" w:eastAsia="de-DE"/>
    </w:rPr>
  </w:style>
  <w:style w:type="paragraph" w:styleId="CommentSubject">
    <w:name w:val="annotation subject"/>
    <w:basedOn w:val="CommentText"/>
    <w:next w:val="CommentText"/>
    <w:link w:val="CommentSubjectChar"/>
    <w:rsid w:val="00A44AE2"/>
    <w:rPr>
      <w:b/>
      <w:bCs/>
    </w:rPr>
  </w:style>
  <w:style w:type="character" w:customStyle="1" w:styleId="CommentSubjectChar">
    <w:name w:val="Comment Subject Char"/>
    <w:link w:val="CommentSubject"/>
    <w:rsid w:val="00A44AE2"/>
    <w:rPr>
      <w:rFonts w:ascii="Arial" w:hAnsi="Arial"/>
      <w:b/>
      <w:bCs/>
      <w:lang w:val="nb-NO" w:eastAsia="de-DE"/>
    </w:rPr>
  </w:style>
  <w:style w:type="paragraph" w:customStyle="1" w:styleId="Header2">
    <w:name w:val="Header2"/>
    <w:basedOn w:val="Header"/>
    <w:rsid w:val="00DC4D99"/>
  </w:style>
  <w:style w:type="paragraph" w:styleId="ListParagraph">
    <w:name w:val="List Paragraph"/>
    <w:basedOn w:val="Normal"/>
    <w:uiPriority w:val="34"/>
    <w:qFormat/>
    <w:rsid w:val="006B5D17"/>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2631"/>
    <w:pPr>
      <w:spacing w:after="120"/>
      <w:jc w:val="both"/>
    </w:pPr>
    <w:rPr>
      <w:rFonts w:ascii="Arial" w:hAnsi="Arial"/>
      <w:sz w:val="22"/>
      <w:lang w:val="en-GB" w:eastAsia="de-DE"/>
    </w:rPr>
  </w:style>
  <w:style w:type="paragraph" w:styleId="Heading1">
    <w:name w:val="heading 1"/>
    <w:basedOn w:val="Normal"/>
    <w:next w:val="Normal"/>
    <w:qFormat/>
    <w:rsid w:val="00D004D0"/>
    <w:pPr>
      <w:numPr>
        <w:numId w:val="3"/>
      </w:numPr>
      <w:tabs>
        <w:tab w:val="clear" w:pos="432"/>
        <w:tab w:val="left" w:pos="851"/>
      </w:tabs>
      <w:spacing w:before="360"/>
      <w:ind w:left="851" w:hanging="851"/>
      <w:jc w:val="left"/>
      <w:outlineLvl w:val="0"/>
    </w:pPr>
    <w:rPr>
      <w:rFonts w:cs="Arial"/>
      <w:b/>
      <w:sz w:val="28"/>
      <w:szCs w:val="28"/>
    </w:rPr>
  </w:style>
  <w:style w:type="paragraph" w:styleId="Heading2">
    <w:name w:val="heading 2"/>
    <w:basedOn w:val="Heading1"/>
    <w:next w:val="Normal"/>
    <w:qFormat/>
    <w:rsid w:val="00D004D0"/>
    <w:pPr>
      <w:numPr>
        <w:ilvl w:val="1"/>
      </w:numPr>
      <w:tabs>
        <w:tab w:val="clear" w:pos="576"/>
      </w:tabs>
      <w:spacing w:before="120"/>
      <w:ind w:left="851" w:hanging="851"/>
      <w:outlineLvl w:val="1"/>
    </w:pPr>
    <w:rPr>
      <w:sz w:val="24"/>
    </w:rPr>
  </w:style>
  <w:style w:type="paragraph" w:styleId="Heading3">
    <w:name w:val="heading 3"/>
    <w:basedOn w:val="Heading2"/>
    <w:next w:val="Normal"/>
    <w:qFormat/>
    <w:rsid w:val="00D004D0"/>
    <w:pPr>
      <w:numPr>
        <w:ilvl w:val="2"/>
      </w:numPr>
      <w:tabs>
        <w:tab w:val="clear" w:pos="720"/>
      </w:tabs>
      <w:ind w:left="851" w:hanging="851"/>
      <w:outlineLvl w:val="2"/>
    </w:pPr>
    <w:rPr>
      <w:i/>
      <w:sz w:val="22"/>
    </w:rPr>
  </w:style>
  <w:style w:type="paragraph" w:styleId="Heading4">
    <w:name w:val="heading 4"/>
    <w:basedOn w:val="Normal"/>
    <w:next w:val="Normal"/>
    <w:qFormat/>
    <w:rsid w:val="00D004D0"/>
    <w:pPr>
      <w:numPr>
        <w:ilvl w:val="3"/>
        <w:numId w:val="3"/>
      </w:numPr>
      <w:outlineLvl w:val="3"/>
    </w:pPr>
    <w:rPr>
      <w:u w:val="single"/>
    </w:rPr>
  </w:style>
  <w:style w:type="paragraph" w:styleId="Heading5">
    <w:name w:val="heading 5"/>
    <w:basedOn w:val="Normal"/>
    <w:next w:val="Normal"/>
    <w:qFormat/>
    <w:rsid w:val="00D004D0"/>
    <w:pPr>
      <w:numPr>
        <w:ilvl w:val="4"/>
        <w:numId w:val="3"/>
      </w:numPr>
      <w:outlineLvl w:val="4"/>
    </w:pPr>
    <w:rPr>
      <w:b/>
      <w:sz w:val="20"/>
    </w:rPr>
  </w:style>
  <w:style w:type="paragraph" w:styleId="Heading6">
    <w:name w:val="heading 6"/>
    <w:basedOn w:val="Normal"/>
    <w:next w:val="Normal"/>
    <w:qFormat/>
    <w:rsid w:val="00D004D0"/>
    <w:pPr>
      <w:numPr>
        <w:ilvl w:val="5"/>
        <w:numId w:val="3"/>
      </w:numPr>
      <w:outlineLvl w:val="5"/>
    </w:pPr>
    <w:rPr>
      <w:sz w:val="20"/>
      <w:u w:val="single"/>
    </w:rPr>
  </w:style>
  <w:style w:type="paragraph" w:styleId="Heading7">
    <w:name w:val="heading 7"/>
    <w:basedOn w:val="Normal"/>
    <w:next w:val="Normal"/>
    <w:qFormat/>
    <w:rsid w:val="00D004D0"/>
    <w:pPr>
      <w:numPr>
        <w:ilvl w:val="6"/>
        <w:numId w:val="3"/>
      </w:numPr>
      <w:outlineLvl w:val="6"/>
    </w:pPr>
    <w:rPr>
      <w:i/>
      <w:sz w:val="20"/>
    </w:rPr>
  </w:style>
  <w:style w:type="paragraph" w:styleId="Heading8">
    <w:name w:val="heading 8"/>
    <w:basedOn w:val="Normal"/>
    <w:next w:val="Normal"/>
    <w:qFormat/>
    <w:rsid w:val="00D004D0"/>
    <w:pPr>
      <w:numPr>
        <w:ilvl w:val="7"/>
        <w:numId w:val="3"/>
      </w:numPr>
      <w:outlineLvl w:val="7"/>
    </w:pPr>
    <w:rPr>
      <w:i/>
      <w:sz w:val="20"/>
    </w:rPr>
  </w:style>
  <w:style w:type="paragraph" w:styleId="Heading9">
    <w:name w:val="heading 9"/>
    <w:basedOn w:val="Normal"/>
    <w:next w:val="Normal"/>
    <w:qFormat/>
    <w:rsid w:val="00D004D0"/>
    <w:pPr>
      <w:numPr>
        <w:ilvl w:val="8"/>
        <w:numId w:val="3"/>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621D"/>
    <w:pPr>
      <w:tabs>
        <w:tab w:val="center" w:pos="4536"/>
        <w:tab w:val="right" w:pos="9072"/>
      </w:tabs>
      <w:spacing w:after="0"/>
      <w:jc w:val="left"/>
    </w:pPr>
    <w:rPr>
      <w:b/>
    </w:rPr>
  </w:style>
  <w:style w:type="paragraph" w:styleId="List">
    <w:name w:val="List"/>
    <w:basedOn w:val="Normal"/>
    <w:rsid w:val="00135FE7"/>
    <w:pPr>
      <w:tabs>
        <w:tab w:val="left" w:pos="1418"/>
      </w:tabs>
      <w:ind w:left="1418" w:hanging="567"/>
    </w:pPr>
  </w:style>
  <w:style w:type="paragraph" w:customStyle="1" w:styleId="Kopfzeile1">
    <w:name w:val="Kopfzeile1"/>
    <w:basedOn w:val="Header"/>
    <w:rsid w:val="00215746"/>
  </w:style>
  <w:style w:type="character" w:styleId="FootnoteReference">
    <w:name w:val="footnote reference"/>
    <w:aliases w:val="Appel note de bas de p,Footnote Reference/,Footnote,Footnote symbol"/>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TableofFigures">
    <w:name w:val="table of figures"/>
    <w:basedOn w:val="Normal"/>
    <w:next w:val="Normal"/>
    <w:semiHidden/>
    <w:pPr>
      <w:ind w:left="400" w:hanging="400"/>
    </w:pPr>
    <w:rPr>
      <w:sz w:val="20"/>
      <w:lang w:val="de-DE"/>
    </w:rPr>
  </w:style>
  <w:style w:type="paragraph" w:styleId="Titl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rsid w:val="003C53D0"/>
    <w:rPr>
      <w:color w:val="0000FF"/>
      <w:u w:val="single"/>
    </w:rPr>
  </w:style>
  <w:style w:type="paragraph" w:customStyle="1" w:styleId="Note">
    <w:name w:val="Note"/>
    <w:basedOn w:val="Normal"/>
    <w:next w:val="Normal"/>
    <w:rsid w:val="00DE5E01"/>
    <w:pPr>
      <w:tabs>
        <w:tab w:val="left" w:pos="851"/>
      </w:tabs>
      <w:ind w:left="851" w:hanging="851"/>
    </w:pPr>
    <w:rPr>
      <w:b/>
    </w:rPr>
  </w:style>
  <w:style w:type="paragraph" w:customStyle="1" w:styleId="Header1">
    <w:name w:val="Header1"/>
    <w:basedOn w:val="Header"/>
    <w:link w:val="HeaderZchnZchn"/>
    <w:rsid w:val="00493F86"/>
    <w:pPr>
      <w:spacing w:before="60"/>
    </w:pPr>
    <w:rPr>
      <w:lang w:eastAsia="x-none"/>
    </w:rPr>
  </w:style>
  <w:style w:type="character" w:customStyle="1" w:styleId="HeaderZchnZchn">
    <w:name w:val="Header Zchn Zchn"/>
    <w:link w:val="Header1"/>
    <w:rsid w:val="00493F86"/>
    <w:rPr>
      <w:rFonts w:ascii="Arial" w:hAnsi="Arial"/>
      <w:b/>
      <w:sz w:val="22"/>
      <w:lang w:val="nb-NO"/>
    </w:rPr>
  </w:style>
  <w:style w:type="paragraph" w:customStyle="1" w:styleId="a">
    <w:name w:val="Абзац списка"/>
    <w:basedOn w:val="Normal"/>
    <w:uiPriority w:val="34"/>
    <w:qFormat/>
    <w:rsid w:val="00A101D2"/>
    <w:pPr>
      <w:spacing w:after="0"/>
      <w:ind w:left="720"/>
      <w:jc w:val="left"/>
    </w:pPr>
    <w:rPr>
      <w:rFonts w:ascii="Calibri" w:eastAsia="Calibri" w:hAnsi="Calibri"/>
      <w:szCs w:val="22"/>
      <w:lang w:val="da-DK" w:eastAsia="da-DK" w:bidi="he-IL"/>
    </w:rPr>
  </w:style>
  <w:style w:type="character" w:styleId="FollowedHyperlink">
    <w:name w:val="FollowedHyperlink"/>
    <w:rsid w:val="006827D0"/>
    <w:rPr>
      <w:color w:val="800080"/>
      <w:u w:val="single"/>
    </w:rPr>
  </w:style>
  <w:style w:type="table" w:styleId="TableGrid">
    <w:name w:val="Table Grid"/>
    <w:basedOn w:val="TableNormal"/>
    <w:rsid w:val="004A0432"/>
    <w:pPr>
      <w:spacing w:after="260" w:line="260" w:lineRule="exact"/>
    </w:pPr>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E2376B"/>
    <w:pPr>
      <w:spacing w:after="0"/>
    </w:pPr>
    <w:rPr>
      <w:rFonts w:ascii="Tahoma" w:hAnsi="Tahoma"/>
      <w:sz w:val="16"/>
      <w:szCs w:val="16"/>
    </w:rPr>
  </w:style>
  <w:style w:type="character" w:customStyle="1" w:styleId="BalloonTextChar">
    <w:name w:val="Balloon Text Char"/>
    <w:link w:val="BalloonText"/>
    <w:rsid w:val="00E2376B"/>
    <w:rPr>
      <w:rFonts w:ascii="Tahoma" w:hAnsi="Tahoma" w:cs="Tahoma"/>
      <w:sz w:val="16"/>
      <w:szCs w:val="16"/>
      <w:lang w:val="nb-NO" w:eastAsia="de-DE"/>
    </w:rPr>
  </w:style>
  <w:style w:type="character" w:styleId="CommentReference">
    <w:name w:val="annotation reference"/>
    <w:rsid w:val="00A44AE2"/>
    <w:rPr>
      <w:sz w:val="16"/>
      <w:szCs w:val="16"/>
    </w:rPr>
  </w:style>
  <w:style w:type="paragraph" w:styleId="CommentText">
    <w:name w:val="annotation text"/>
    <w:basedOn w:val="Normal"/>
    <w:link w:val="CommentTextChar"/>
    <w:rsid w:val="00A44AE2"/>
    <w:rPr>
      <w:sz w:val="20"/>
    </w:rPr>
  </w:style>
  <w:style w:type="character" w:customStyle="1" w:styleId="CommentTextChar">
    <w:name w:val="Comment Text Char"/>
    <w:link w:val="CommentText"/>
    <w:rsid w:val="00A44AE2"/>
    <w:rPr>
      <w:rFonts w:ascii="Arial" w:hAnsi="Arial"/>
      <w:lang w:val="nb-NO" w:eastAsia="de-DE"/>
    </w:rPr>
  </w:style>
  <w:style w:type="paragraph" w:styleId="CommentSubject">
    <w:name w:val="annotation subject"/>
    <w:basedOn w:val="CommentText"/>
    <w:next w:val="CommentText"/>
    <w:link w:val="CommentSubjectChar"/>
    <w:rsid w:val="00A44AE2"/>
    <w:rPr>
      <w:b/>
      <w:bCs/>
    </w:rPr>
  </w:style>
  <w:style w:type="character" w:customStyle="1" w:styleId="CommentSubjectChar">
    <w:name w:val="Comment Subject Char"/>
    <w:link w:val="CommentSubject"/>
    <w:rsid w:val="00A44AE2"/>
    <w:rPr>
      <w:rFonts w:ascii="Arial" w:hAnsi="Arial"/>
      <w:b/>
      <w:bCs/>
      <w:lang w:val="nb-NO" w:eastAsia="de-DE"/>
    </w:rPr>
  </w:style>
  <w:style w:type="paragraph" w:customStyle="1" w:styleId="Header2">
    <w:name w:val="Header2"/>
    <w:basedOn w:val="Header"/>
    <w:rsid w:val="00DC4D99"/>
  </w:style>
  <w:style w:type="paragraph" w:styleId="ListParagraph">
    <w:name w:val="List Paragraph"/>
    <w:basedOn w:val="Normal"/>
    <w:uiPriority w:val="34"/>
    <w:qFormat/>
    <w:rsid w:val="006B5D1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69936">
      <w:bodyDiv w:val="1"/>
      <w:marLeft w:val="0"/>
      <w:marRight w:val="0"/>
      <w:marTop w:val="0"/>
      <w:marBottom w:val="0"/>
      <w:divBdr>
        <w:top w:val="none" w:sz="0" w:space="0" w:color="auto"/>
        <w:left w:val="none" w:sz="0" w:space="0" w:color="auto"/>
        <w:bottom w:val="none" w:sz="0" w:space="0" w:color="auto"/>
        <w:right w:val="none" w:sz="0" w:space="0" w:color="auto"/>
      </w:divBdr>
      <w:divsChild>
        <w:div w:id="1621498231">
          <w:marLeft w:val="0"/>
          <w:marRight w:val="0"/>
          <w:marTop w:val="0"/>
          <w:marBottom w:val="0"/>
          <w:divBdr>
            <w:top w:val="none" w:sz="0" w:space="0" w:color="auto"/>
            <w:left w:val="none" w:sz="0" w:space="0" w:color="auto"/>
            <w:bottom w:val="none" w:sz="0" w:space="0" w:color="auto"/>
            <w:right w:val="none" w:sz="0" w:space="0" w:color="auto"/>
          </w:divBdr>
          <w:divsChild>
            <w:div w:id="2101444583">
              <w:marLeft w:val="0"/>
              <w:marRight w:val="0"/>
              <w:marTop w:val="0"/>
              <w:marBottom w:val="0"/>
              <w:divBdr>
                <w:top w:val="none" w:sz="0" w:space="0" w:color="auto"/>
                <w:left w:val="none" w:sz="0" w:space="0" w:color="auto"/>
                <w:bottom w:val="none" w:sz="0" w:space="0" w:color="auto"/>
                <w:right w:val="none" w:sz="0" w:space="0" w:color="auto"/>
              </w:divBdr>
              <w:divsChild>
                <w:div w:id="1675570115">
                  <w:marLeft w:val="120"/>
                  <w:marRight w:val="120"/>
                  <w:marTop w:val="0"/>
                  <w:marBottom w:val="0"/>
                  <w:divBdr>
                    <w:top w:val="none" w:sz="0" w:space="0" w:color="auto"/>
                    <w:left w:val="none" w:sz="0" w:space="0" w:color="auto"/>
                    <w:bottom w:val="none" w:sz="0" w:space="0" w:color="auto"/>
                    <w:right w:val="none" w:sz="0" w:space="0" w:color="auto"/>
                  </w:divBdr>
                  <w:divsChild>
                    <w:div w:id="374963275">
                      <w:marLeft w:val="0"/>
                      <w:marRight w:val="0"/>
                      <w:marTop w:val="0"/>
                      <w:marBottom w:val="0"/>
                      <w:divBdr>
                        <w:top w:val="none" w:sz="0" w:space="0" w:color="auto"/>
                        <w:left w:val="none" w:sz="0" w:space="0" w:color="auto"/>
                        <w:bottom w:val="none" w:sz="0" w:space="0" w:color="auto"/>
                        <w:right w:val="none" w:sz="0" w:space="0" w:color="auto"/>
                      </w:divBdr>
                      <w:divsChild>
                        <w:div w:id="3228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4637">
      <w:bodyDiv w:val="1"/>
      <w:marLeft w:val="0"/>
      <w:marRight w:val="0"/>
      <w:marTop w:val="0"/>
      <w:marBottom w:val="0"/>
      <w:divBdr>
        <w:top w:val="none" w:sz="0" w:space="0" w:color="auto"/>
        <w:left w:val="none" w:sz="0" w:space="0" w:color="auto"/>
        <w:bottom w:val="none" w:sz="0" w:space="0" w:color="auto"/>
        <w:right w:val="none" w:sz="0" w:space="0" w:color="auto"/>
      </w:divBdr>
      <w:divsChild>
        <w:div w:id="753405426">
          <w:marLeft w:val="0"/>
          <w:marRight w:val="0"/>
          <w:marTop w:val="0"/>
          <w:marBottom w:val="0"/>
          <w:divBdr>
            <w:top w:val="none" w:sz="0" w:space="0" w:color="auto"/>
            <w:left w:val="none" w:sz="0" w:space="0" w:color="auto"/>
            <w:bottom w:val="none" w:sz="0" w:space="0" w:color="auto"/>
            <w:right w:val="none" w:sz="0" w:space="0" w:color="auto"/>
          </w:divBdr>
          <w:divsChild>
            <w:div w:id="1131827687">
              <w:marLeft w:val="0"/>
              <w:marRight w:val="0"/>
              <w:marTop w:val="0"/>
              <w:marBottom w:val="0"/>
              <w:divBdr>
                <w:top w:val="none" w:sz="0" w:space="0" w:color="auto"/>
                <w:left w:val="none" w:sz="0" w:space="0" w:color="auto"/>
                <w:bottom w:val="none" w:sz="0" w:space="0" w:color="auto"/>
                <w:right w:val="none" w:sz="0" w:space="0" w:color="auto"/>
              </w:divBdr>
              <w:divsChild>
                <w:div w:id="929779933">
                  <w:marLeft w:val="120"/>
                  <w:marRight w:val="120"/>
                  <w:marTop w:val="0"/>
                  <w:marBottom w:val="0"/>
                  <w:divBdr>
                    <w:top w:val="none" w:sz="0" w:space="0" w:color="auto"/>
                    <w:left w:val="none" w:sz="0" w:space="0" w:color="auto"/>
                    <w:bottom w:val="none" w:sz="0" w:space="0" w:color="auto"/>
                    <w:right w:val="none" w:sz="0" w:space="0" w:color="auto"/>
                  </w:divBdr>
                  <w:divsChild>
                    <w:div w:id="1121649989">
                      <w:marLeft w:val="0"/>
                      <w:marRight w:val="0"/>
                      <w:marTop w:val="0"/>
                      <w:marBottom w:val="0"/>
                      <w:divBdr>
                        <w:top w:val="none" w:sz="0" w:space="0" w:color="auto"/>
                        <w:left w:val="none" w:sz="0" w:space="0" w:color="auto"/>
                        <w:bottom w:val="none" w:sz="0" w:space="0" w:color="auto"/>
                        <w:right w:val="none" w:sz="0" w:space="0" w:color="auto"/>
                      </w:divBdr>
                      <w:divsChild>
                        <w:div w:id="1653756892">
                          <w:marLeft w:val="0"/>
                          <w:marRight w:val="0"/>
                          <w:marTop w:val="0"/>
                          <w:marBottom w:val="0"/>
                          <w:divBdr>
                            <w:top w:val="none" w:sz="0" w:space="0" w:color="auto"/>
                            <w:left w:val="none" w:sz="0" w:space="0" w:color="auto"/>
                            <w:bottom w:val="none" w:sz="0" w:space="0" w:color="auto"/>
                            <w:right w:val="none" w:sz="0" w:space="0" w:color="auto"/>
                          </w:divBdr>
                          <w:divsChild>
                            <w:div w:id="1346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43660">
      <w:bodyDiv w:val="1"/>
      <w:marLeft w:val="0"/>
      <w:marRight w:val="0"/>
      <w:marTop w:val="0"/>
      <w:marBottom w:val="0"/>
      <w:divBdr>
        <w:top w:val="none" w:sz="0" w:space="0" w:color="auto"/>
        <w:left w:val="none" w:sz="0" w:space="0" w:color="auto"/>
        <w:bottom w:val="none" w:sz="0" w:space="0" w:color="auto"/>
        <w:right w:val="none" w:sz="0" w:space="0" w:color="auto"/>
      </w:divBdr>
    </w:div>
    <w:div w:id="455686126">
      <w:bodyDiv w:val="1"/>
      <w:marLeft w:val="0"/>
      <w:marRight w:val="0"/>
      <w:marTop w:val="0"/>
      <w:marBottom w:val="0"/>
      <w:divBdr>
        <w:top w:val="none" w:sz="0" w:space="0" w:color="auto"/>
        <w:left w:val="none" w:sz="0" w:space="0" w:color="auto"/>
        <w:bottom w:val="none" w:sz="0" w:space="0" w:color="auto"/>
        <w:right w:val="none" w:sz="0" w:space="0" w:color="auto"/>
      </w:divBdr>
      <w:divsChild>
        <w:div w:id="1211923392">
          <w:marLeft w:val="0"/>
          <w:marRight w:val="0"/>
          <w:marTop w:val="0"/>
          <w:marBottom w:val="0"/>
          <w:divBdr>
            <w:top w:val="none" w:sz="0" w:space="0" w:color="auto"/>
            <w:left w:val="none" w:sz="0" w:space="0" w:color="auto"/>
            <w:bottom w:val="none" w:sz="0" w:space="0" w:color="auto"/>
            <w:right w:val="none" w:sz="0" w:space="0" w:color="auto"/>
          </w:divBdr>
          <w:divsChild>
            <w:div w:id="246430069">
              <w:marLeft w:val="0"/>
              <w:marRight w:val="0"/>
              <w:marTop w:val="0"/>
              <w:marBottom w:val="0"/>
              <w:divBdr>
                <w:top w:val="none" w:sz="0" w:space="0" w:color="auto"/>
                <w:left w:val="none" w:sz="0" w:space="0" w:color="auto"/>
                <w:bottom w:val="none" w:sz="0" w:space="0" w:color="auto"/>
                <w:right w:val="none" w:sz="0" w:space="0" w:color="auto"/>
              </w:divBdr>
              <w:divsChild>
                <w:div w:id="150024673">
                  <w:marLeft w:val="120"/>
                  <w:marRight w:val="120"/>
                  <w:marTop w:val="0"/>
                  <w:marBottom w:val="0"/>
                  <w:divBdr>
                    <w:top w:val="none" w:sz="0" w:space="0" w:color="auto"/>
                    <w:left w:val="none" w:sz="0" w:space="0" w:color="auto"/>
                    <w:bottom w:val="none" w:sz="0" w:space="0" w:color="auto"/>
                    <w:right w:val="none" w:sz="0" w:space="0" w:color="auto"/>
                  </w:divBdr>
                  <w:divsChild>
                    <w:div w:id="891190978">
                      <w:marLeft w:val="0"/>
                      <w:marRight w:val="0"/>
                      <w:marTop w:val="0"/>
                      <w:marBottom w:val="0"/>
                      <w:divBdr>
                        <w:top w:val="none" w:sz="0" w:space="0" w:color="auto"/>
                        <w:left w:val="none" w:sz="0" w:space="0" w:color="auto"/>
                        <w:bottom w:val="none" w:sz="0" w:space="0" w:color="auto"/>
                        <w:right w:val="none" w:sz="0" w:space="0" w:color="auto"/>
                      </w:divBdr>
                      <w:divsChild>
                        <w:div w:id="7412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947381">
      <w:bodyDiv w:val="1"/>
      <w:marLeft w:val="0"/>
      <w:marRight w:val="0"/>
      <w:marTop w:val="0"/>
      <w:marBottom w:val="0"/>
      <w:divBdr>
        <w:top w:val="none" w:sz="0" w:space="0" w:color="auto"/>
        <w:left w:val="none" w:sz="0" w:space="0" w:color="auto"/>
        <w:bottom w:val="none" w:sz="0" w:space="0" w:color="auto"/>
        <w:right w:val="none" w:sz="0" w:space="0" w:color="auto"/>
      </w:divBdr>
      <w:divsChild>
        <w:div w:id="572930243">
          <w:marLeft w:val="0"/>
          <w:marRight w:val="0"/>
          <w:marTop w:val="0"/>
          <w:marBottom w:val="0"/>
          <w:divBdr>
            <w:top w:val="none" w:sz="0" w:space="0" w:color="auto"/>
            <w:left w:val="none" w:sz="0" w:space="0" w:color="auto"/>
            <w:bottom w:val="none" w:sz="0" w:space="0" w:color="auto"/>
            <w:right w:val="none" w:sz="0" w:space="0" w:color="auto"/>
          </w:divBdr>
          <w:divsChild>
            <w:div w:id="1984314586">
              <w:marLeft w:val="0"/>
              <w:marRight w:val="0"/>
              <w:marTop w:val="0"/>
              <w:marBottom w:val="0"/>
              <w:divBdr>
                <w:top w:val="none" w:sz="0" w:space="0" w:color="auto"/>
                <w:left w:val="none" w:sz="0" w:space="0" w:color="auto"/>
                <w:bottom w:val="none" w:sz="0" w:space="0" w:color="auto"/>
                <w:right w:val="none" w:sz="0" w:space="0" w:color="auto"/>
              </w:divBdr>
              <w:divsChild>
                <w:div w:id="547575253">
                  <w:marLeft w:val="0"/>
                  <w:marRight w:val="0"/>
                  <w:marTop w:val="0"/>
                  <w:marBottom w:val="0"/>
                  <w:divBdr>
                    <w:top w:val="none" w:sz="0" w:space="0" w:color="auto"/>
                    <w:left w:val="none" w:sz="0" w:space="0" w:color="auto"/>
                    <w:bottom w:val="none" w:sz="0" w:space="0" w:color="auto"/>
                    <w:right w:val="none" w:sz="0" w:space="0" w:color="auto"/>
                  </w:divBdr>
                  <w:divsChild>
                    <w:div w:id="420951194">
                      <w:marLeft w:val="0"/>
                      <w:marRight w:val="0"/>
                      <w:marTop w:val="0"/>
                      <w:marBottom w:val="0"/>
                      <w:divBdr>
                        <w:top w:val="none" w:sz="0" w:space="0" w:color="auto"/>
                        <w:left w:val="none" w:sz="0" w:space="0" w:color="auto"/>
                        <w:bottom w:val="none" w:sz="0" w:space="0" w:color="auto"/>
                        <w:right w:val="none" w:sz="0" w:space="0" w:color="auto"/>
                      </w:divBdr>
                      <w:divsChild>
                        <w:div w:id="1439255568">
                          <w:marLeft w:val="0"/>
                          <w:marRight w:val="0"/>
                          <w:marTop w:val="0"/>
                          <w:marBottom w:val="0"/>
                          <w:divBdr>
                            <w:top w:val="none" w:sz="0" w:space="0" w:color="auto"/>
                            <w:left w:val="none" w:sz="0" w:space="0" w:color="auto"/>
                            <w:bottom w:val="none" w:sz="0" w:space="0" w:color="auto"/>
                            <w:right w:val="none" w:sz="0" w:space="0" w:color="auto"/>
                          </w:divBdr>
                          <w:divsChild>
                            <w:div w:id="2061175160">
                              <w:marLeft w:val="0"/>
                              <w:marRight w:val="0"/>
                              <w:marTop w:val="0"/>
                              <w:marBottom w:val="0"/>
                              <w:divBdr>
                                <w:top w:val="none" w:sz="0" w:space="0" w:color="auto"/>
                                <w:left w:val="none" w:sz="0" w:space="0" w:color="auto"/>
                                <w:bottom w:val="none" w:sz="0" w:space="0" w:color="auto"/>
                                <w:right w:val="none" w:sz="0" w:space="0" w:color="auto"/>
                              </w:divBdr>
                              <w:divsChild>
                                <w:div w:id="1121924433">
                                  <w:marLeft w:val="0"/>
                                  <w:marRight w:val="0"/>
                                  <w:marTop w:val="0"/>
                                  <w:marBottom w:val="0"/>
                                  <w:divBdr>
                                    <w:top w:val="none" w:sz="0" w:space="0" w:color="auto"/>
                                    <w:left w:val="none" w:sz="0" w:space="0" w:color="auto"/>
                                    <w:bottom w:val="none" w:sz="0" w:space="0" w:color="auto"/>
                                    <w:right w:val="none" w:sz="0" w:space="0" w:color="auto"/>
                                  </w:divBdr>
                                  <w:divsChild>
                                    <w:div w:id="2051687697">
                                      <w:marLeft w:val="0"/>
                                      <w:marRight w:val="0"/>
                                      <w:marTop w:val="0"/>
                                      <w:marBottom w:val="0"/>
                                      <w:divBdr>
                                        <w:top w:val="none" w:sz="0" w:space="0" w:color="auto"/>
                                        <w:left w:val="none" w:sz="0" w:space="0" w:color="auto"/>
                                        <w:bottom w:val="none" w:sz="0" w:space="0" w:color="auto"/>
                                        <w:right w:val="none" w:sz="0" w:space="0" w:color="auto"/>
                                      </w:divBdr>
                                      <w:divsChild>
                                        <w:div w:id="547569802">
                                          <w:marLeft w:val="0"/>
                                          <w:marRight w:val="0"/>
                                          <w:marTop w:val="0"/>
                                          <w:marBottom w:val="0"/>
                                          <w:divBdr>
                                            <w:top w:val="none" w:sz="0" w:space="0" w:color="auto"/>
                                            <w:left w:val="none" w:sz="0" w:space="0" w:color="auto"/>
                                            <w:bottom w:val="none" w:sz="0" w:space="0" w:color="auto"/>
                                            <w:right w:val="none" w:sz="0" w:space="0" w:color="auto"/>
                                          </w:divBdr>
                                          <w:divsChild>
                                            <w:div w:id="334260109">
                                              <w:marLeft w:val="0"/>
                                              <w:marRight w:val="0"/>
                                              <w:marTop w:val="0"/>
                                              <w:marBottom w:val="0"/>
                                              <w:divBdr>
                                                <w:top w:val="none" w:sz="0" w:space="0" w:color="auto"/>
                                                <w:left w:val="none" w:sz="0" w:space="0" w:color="auto"/>
                                                <w:bottom w:val="none" w:sz="0" w:space="0" w:color="auto"/>
                                                <w:right w:val="none" w:sz="0" w:space="0" w:color="auto"/>
                                              </w:divBdr>
                                              <w:divsChild>
                                                <w:div w:id="569313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135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637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70611010">
                                              <w:marLeft w:val="0"/>
                                              <w:marRight w:val="0"/>
                                              <w:marTop w:val="0"/>
                                              <w:marBottom w:val="0"/>
                                              <w:divBdr>
                                                <w:top w:val="none" w:sz="0" w:space="0" w:color="auto"/>
                                                <w:left w:val="none" w:sz="0" w:space="0" w:color="auto"/>
                                                <w:bottom w:val="none" w:sz="0" w:space="0" w:color="auto"/>
                                                <w:right w:val="none" w:sz="0" w:space="0" w:color="auto"/>
                                              </w:divBdr>
                                              <w:divsChild>
                                                <w:div w:id="550002502">
                                                  <w:marLeft w:val="0"/>
                                                  <w:marRight w:val="0"/>
                                                  <w:marTop w:val="0"/>
                                                  <w:marBottom w:val="0"/>
                                                  <w:divBdr>
                                                    <w:top w:val="none" w:sz="0" w:space="0" w:color="auto"/>
                                                    <w:left w:val="none" w:sz="0" w:space="0" w:color="auto"/>
                                                    <w:bottom w:val="none" w:sz="0" w:space="0" w:color="auto"/>
                                                    <w:right w:val="none" w:sz="0" w:space="0" w:color="auto"/>
                                                  </w:divBdr>
                                                </w:div>
                                              </w:divsChild>
                                            </w:div>
                                            <w:div w:id="19257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354656">
      <w:bodyDiv w:val="1"/>
      <w:marLeft w:val="0"/>
      <w:marRight w:val="0"/>
      <w:marTop w:val="0"/>
      <w:marBottom w:val="0"/>
      <w:divBdr>
        <w:top w:val="none" w:sz="0" w:space="0" w:color="auto"/>
        <w:left w:val="none" w:sz="0" w:space="0" w:color="auto"/>
        <w:bottom w:val="none" w:sz="0" w:space="0" w:color="auto"/>
        <w:right w:val="none" w:sz="0" w:space="0" w:color="auto"/>
      </w:divBdr>
    </w:div>
    <w:div w:id="1086222143">
      <w:bodyDiv w:val="1"/>
      <w:marLeft w:val="0"/>
      <w:marRight w:val="0"/>
      <w:marTop w:val="0"/>
      <w:marBottom w:val="0"/>
      <w:divBdr>
        <w:top w:val="none" w:sz="0" w:space="0" w:color="auto"/>
        <w:left w:val="none" w:sz="0" w:space="0" w:color="auto"/>
        <w:bottom w:val="none" w:sz="0" w:space="0" w:color="auto"/>
        <w:right w:val="none" w:sz="0" w:space="0" w:color="auto"/>
      </w:divBdr>
      <w:divsChild>
        <w:div w:id="382408320">
          <w:marLeft w:val="0"/>
          <w:marRight w:val="0"/>
          <w:marTop w:val="0"/>
          <w:marBottom w:val="0"/>
          <w:divBdr>
            <w:top w:val="none" w:sz="0" w:space="0" w:color="auto"/>
            <w:left w:val="none" w:sz="0" w:space="0" w:color="auto"/>
            <w:bottom w:val="none" w:sz="0" w:space="0" w:color="auto"/>
            <w:right w:val="none" w:sz="0" w:space="0" w:color="auto"/>
          </w:divBdr>
          <w:divsChild>
            <w:div w:id="589891421">
              <w:marLeft w:val="0"/>
              <w:marRight w:val="0"/>
              <w:marTop w:val="0"/>
              <w:marBottom w:val="0"/>
              <w:divBdr>
                <w:top w:val="none" w:sz="0" w:space="0" w:color="auto"/>
                <w:left w:val="none" w:sz="0" w:space="0" w:color="auto"/>
                <w:bottom w:val="none" w:sz="0" w:space="0" w:color="auto"/>
                <w:right w:val="none" w:sz="0" w:space="0" w:color="auto"/>
              </w:divBdr>
              <w:divsChild>
                <w:div w:id="1048795313">
                  <w:marLeft w:val="0"/>
                  <w:marRight w:val="0"/>
                  <w:marTop w:val="0"/>
                  <w:marBottom w:val="0"/>
                  <w:divBdr>
                    <w:top w:val="none" w:sz="0" w:space="0" w:color="auto"/>
                    <w:left w:val="none" w:sz="0" w:space="0" w:color="auto"/>
                    <w:bottom w:val="none" w:sz="0" w:space="0" w:color="auto"/>
                    <w:right w:val="none" w:sz="0" w:space="0" w:color="auto"/>
                  </w:divBdr>
                  <w:divsChild>
                    <w:div w:id="1593664317">
                      <w:marLeft w:val="0"/>
                      <w:marRight w:val="0"/>
                      <w:marTop w:val="0"/>
                      <w:marBottom w:val="0"/>
                      <w:divBdr>
                        <w:top w:val="none" w:sz="0" w:space="0" w:color="auto"/>
                        <w:left w:val="none" w:sz="0" w:space="0" w:color="auto"/>
                        <w:bottom w:val="none" w:sz="0" w:space="0" w:color="auto"/>
                        <w:right w:val="none" w:sz="0" w:space="0" w:color="auto"/>
                      </w:divBdr>
                      <w:divsChild>
                        <w:div w:id="1157573671">
                          <w:marLeft w:val="0"/>
                          <w:marRight w:val="0"/>
                          <w:marTop w:val="0"/>
                          <w:marBottom w:val="0"/>
                          <w:divBdr>
                            <w:top w:val="none" w:sz="0" w:space="0" w:color="auto"/>
                            <w:left w:val="none" w:sz="0" w:space="0" w:color="auto"/>
                            <w:bottom w:val="none" w:sz="0" w:space="0" w:color="auto"/>
                            <w:right w:val="none" w:sz="0" w:space="0" w:color="auto"/>
                          </w:divBdr>
                          <w:divsChild>
                            <w:div w:id="871572421">
                              <w:marLeft w:val="0"/>
                              <w:marRight w:val="0"/>
                              <w:marTop w:val="0"/>
                              <w:marBottom w:val="0"/>
                              <w:divBdr>
                                <w:top w:val="none" w:sz="0" w:space="0" w:color="auto"/>
                                <w:left w:val="none" w:sz="0" w:space="0" w:color="auto"/>
                                <w:bottom w:val="none" w:sz="0" w:space="0" w:color="auto"/>
                                <w:right w:val="none" w:sz="0" w:space="0" w:color="auto"/>
                              </w:divBdr>
                              <w:divsChild>
                                <w:div w:id="463500758">
                                  <w:marLeft w:val="0"/>
                                  <w:marRight w:val="0"/>
                                  <w:marTop w:val="0"/>
                                  <w:marBottom w:val="0"/>
                                  <w:divBdr>
                                    <w:top w:val="none" w:sz="0" w:space="0" w:color="auto"/>
                                    <w:left w:val="none" w:sz="0" w:space="0" w:color="auto"/>
                                    <w:bottom w:val="none" w:sz="0" w:space="0" w:color="auto"/>
                                    <w:right w:val="none" w:sz="0" w:space="0" w:color="auto"/>
                                  </w:divBdr>
                                  <w:divsChild>
                                    <w:div w:id="1372607518">
                                      <w:marLeft w:val="0"/>
                                      <w:marRight w:val="0"/>
                                      <w:marTop w:val="0"/>
                                      <w:marBottom w:val="0"/>
                                      <w:divBdr>
                                        <w:top w:val="none" w:sz="0" w:space="0" w:color="auto"/>
                                        <w:left w:val="none" w:sz="0" w:space="0" w:color="auto"/>
                                        <w:bottom w:val="none" w:sz="0" w:space="0" w:color="auto"/>
                                        <w:right w:val="none" w:sz="0" w:space="0" w:color="auto"/>
                                      </w:divBdr>
                                      <w:divsChild>
                                        <w:div w:id="305549907">
                                          <w:marLeft w:val="0"/>
                                          <w:marRight w:val="0"/>
                                          <w:marTop w:val="0"/>
                                          <w:marBottom w:val="0"/>
                                          <w:divBdr>
                                            <w:top w:val="none" w:sz="0" w:space="0" w:color="auto"/>
                                            <w:left w:val="none" w:sz="0" w:space="0" w:color="auto"/>
                                            <w:bottom w:val="none" w:sz="0" w:space="0" w:color="auto"/>
                                            <w:right w:val="none" w:sz="0" w:space="0" w:color="auto"/>
                                          </w:divBdr>
                                          <w:divsChild>
                                            <w:div w:id="14941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8718735">
      <w:bodyDiv w:val="1"/>
      <w:marLeft w:val="0"/>
      <w:marRight w:val="0"/>
      <w:marTop w:val="0"/>
      <w:marBottom w:val="0"/>
      <w:divBdr>
        <w:top w:val="none" w:sz="0" w:space="0" w:color="auto"/>
        <w:left w:val="none" w:sz="0" w:space="0" w:color="auto"/>
        <w:bottom w:val="none" w:sz="0" w:space="0" w:color="auto"/>
        <w:right w:val="none" w:sz="0" w:space="0" w:color="auto"/>
      </w:divBdr>
    </w:div>
    <w:div w:id="1336765517">
      <w:bodyDiv w:val="1"/>
      <w:marLeft w:val="0"/>
      <w:marRight w:val="0"/>
      <w:marTop w:val="0"/>
      <w:marBottom w:val="0"/>
      <w:divBdr>
        <w:top w:val="none" w:sz="0" w:space="0" w:color="auto"/>
        <w:left w:val="none" w:sz="0" w:space="0" w:color="auto"/>
        <w:bottom w:val="none" w:sz="0" w:space="0" w:color="auto"/>
        <w:right w:val="none" w:sz="0" w:space="0" w:color="auto"/>
      </w:divBdr>
    </w:div>
    <w:div w:id="1351957756">
      <w:bodyDiv w:val="1"/>
      <w:marLeft w:val="0"/>
      <w:marRight w:val="0"/>
      <w:marTop w:val="0"/>
      <w:marBottom w:val="0"/>
      <w:divBdr>
        <w:top w:val="none" w:sz="0" w:space="0" w:color="auto"/>
        <w:left w:val="none" w:sz="0" w:space="0" w:color="auto"/>
        <w:bottom w:val="none" w:sz="0" w:space="0" w:color="auto"/>
        <w:right w:val="none" w:sz="0" w:space="0" w:color="auto"/>
      </w:divBdr>
    </w:div>
    <w:div w:id="1428624120">
      <w:bodyDiv w:val="1"/>
      <w:marLeft w:val="0"/>
      <w:marRight w:val="0"/>
      <w:marTop w:val="0"/>
      <w:marBottom w:val="0"/>
      <w:divBdr>
        <w:top w:val="none" w:sz="0" w:space="0" w:color="auto"/>
        <w:left w:val="none" w:sz="0" w:space="0" w:color="auto"/>
        <w:bottom w:val="none" w:sz="0" w:space="0" w:color="auto"/>
        <w:right w:val="none" w:sz="0" w:space="0" w:color="auto"/>
      </w:divBdr>
    </w:div>
    <w:div w:id="1775706985">
      <w:bodyDiv w:val="1"/>
      <w:marLeft w:val="0"/>
      <w:marRight w:val="0"/>
      <w:marTop w:val="0"/>
      <w:marBottom w:val="0"/>
      <w:divBdr>
        <w:top w:val="none" w:sz="0" w:space="0" w:color="auto"/>
        <w:left w:val="none" w:sz="0" w:space="0" w:color="auto"/>
        <w:bottom w:val="none" w:sz="0" w:space="0" w:color="auto"/>
        <w:right w:val="none" w:sz="0" w:space="0" w:color="auto"/>
      </w:divBdr>
      <w:divsChild>
        <w:div w:id="1057434503">
          <w:marLeft w:val="0"/>
          <w:marRight w:val="0"/>
          <w:marTop w:val="0"/>
          <w:marBottom w:val="0"/>
          <w:divBdr>
            <w:top w:val="none" w:sz="0" w:space="0" w:color="auto"/>
            <w:left w:val="none" w:sz="0" w:space="0" w:color="auto"/>
            <w:bottom w:val="none" w:sz="0" w:space="0" w:color="auto"/>
            <w:right w:val="none" w:sz="0" w:space="0" w:color="auto"/>
          </w:divBdr>
          <w:divsChild>
            <w:div w:id="1044257348">
              <w:marLeft w:val="0"/>
              <w:marRight w:val="0"/>
              <w:marTop w:val="0"/>
              <w:marBottom w:val="0"/>
              <w:divBdr>
                <w:top w:val="none" w:sz="0" w:space="0" w:color="auto"/>
                <w:left w:val="none" w:sz="0" w:space="0" w:color="auto"/>
                <w:bottom w:val="none" w:sz="0" w:space="0" w:color="auto"/>
                <w:right w:val="none" w:sz="0" w:space="0" w:color="auto"/>
              </w:divBdr>
              <w:divsChild>
                <w:div w:id="1024403210">
                  <w:marLeft w:val="0"/>
                  <w:marRight w:val="0"/>
                  <w:marTop w:val="0"/>
                  <w:marBottom w:val="0"/>
                  <w:divBdr>
                    <w:top w:val="none" w:sz="0" w:space="0" w:color="auto"/>
                    <w:left w:val="none" w:sz="0" w:space="0" w:color="auto"/>
                    <w:bottom w:val="none" w:sz="0" w:space="0" w:color="auto"/>
                    <w:right w:val="none" w:sz="0" w:space="0" w:color="auto"/>
                  </w:divBdr>
                  <w:divsChild>
                    <w:div w:id="231621928">
                      <w:marLeft w:val="0"/>
                      <w:marRight w:val="0"/>
                      <w:marTop w:val="0"/>
                      <w:marBottom w:val="0"/>
                      <w:divBdr>
                        <w:top w:val="none" w:sz="0" w:space="0" w:color="auto"/>
                        <w:left w:val="none" w:sz="0" w:space="0" w:color="auto"/>
                        <w:bottom w:val="none" w:sz="0" w:space="0" w:color="auto"/>
                        <w:right w:val="none" w:sz="0" w:space="0" w:color="auto"/>
                      </w:divBdr>
                      <w:divsChild>
                        <w:div w:id="6687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995292">
      <w:bodyDiv w:val="1"/>
      <w:marLeft w:val="0"/>
      <w:marRight w:val="0"/>
      <w:marTop w:val="0"/>
      <w:marBottom w:val="0"/>
      <w:divBdr>
        <w:top w:val="none" w:sz="0" w:space="0" w:color="auto"/>
        <w:left w:val="none" w:sz="0" w:space="0" w:color="auto"/>
        <w:bottom w:val="none" w:sz="0" w:space="0" w:color="auto"/>
        <w:right w:val="none" w:sz="0" w:space="0" w:color="auto"/>
      </w:divBdr>
    </w:div>
    <w:div w:id="190467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bc.com/news/business-30011133" TargetMode="External"/><Relationship Id="rId18" Type="http://schemas.openxmlformats.org/officeDocument/2006/relationships/hyperlink" Target="http://www.policychargingcontrol.com/1341-air-china-pilot-in-flight-internet-services-using-zte-ground-air-solutions" TargetMode="External"/><Relationship Id="rId26" Type="http://schemas.openxmlformats.org/officeDocument/2006/relationships/hyperlink" Target="http://www.apt.int/sites/default/files/Upload-files/AWG/APT-AWG-REP-54-APT_Report_on_FWS.docx" TargetMode="External"/><Relationship Id="rId39"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www.ic.gc.ca/eic/site/smt-gst.nsf/eng/sf10841.html" TargetMode="External"/><Relationship Id="rId34" Type="http://schemas.openxmlformats.org/officeDocument/2006/relationships/hyperlink" Target="http://www.fcc.gov/document/fcc-proposes-modify-rules-unlicensed-use-tv-600-mhz-bands" TargetMode="External"/><Relationship Id="rId42" Type="http://schemas.openxmlformats.org/officeDocument/2006/relationships/hyperlink" Target="http://www.fcc.gov/document/700-mhz-narrowband-ro"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artskynetworks.com/" TargetMode="External"/><Relationship Id="rId17" Type="http://schemas.openxmlformats.org/officeDocument/2006/relationships/hyperlink" Target="http://apps.fcc.gov/ecfs/document/view?id=7520957401" TargetMode="External"/><Relationship Id="rId25" Type="http://schemas.openxmlformats.org/officeDocument/2006/relationships/hyperlink" Target="http://www.apt.int/sites/default/files/Upload-files/AWG/APT-AWG-REP-53-APT_Report_on_GSM_Migration.docx" TargetMode="External"/><Relationship Id="rId33" Type="http://schemas.openxmlformats.org/officeDocument/2006/relationships/hyperlink" Target="http://www.fcc.gov/blog/incentive-auction-progress-report" TargetMode="External"/><Relationship Id="rId38" Type="http://schemas.openxmlformats.org/officeDocument/2006/relationships/hyperlink" Target="https://mentor.ieee.org/802.11/documents?is_dcn=DCN%2C%20Title%2C%20Author%20or%20Affiliation&amp;is_group=0re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oleObject" Target="embeddings/oleObject1.bin"/><Relationship Id="rId29" Type="http://schemas.openxmlformats.org/officeDocument/2006/relationships/hyperlink" Target="http://www.apt.int/sites/default/files/Upload-files/AWG/APT-AWG-REP-57-APT_Report_on_Integrated_MSS__Hybrid_Satellite_Terrestrial_System_20140926_0-2_0.docx" TargetMode="External"/><Relationship Id="rId41" Type="http://schemas.openxmlformats.org/officeDocument/2006/relationships/hyperlink" Target="http://www.3gpp.org/specifications-groups/sa-plenary/sa6-mission-critical-applica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unwaygirlnetwork.com/2014/07/22/qualcomm-gogo-disagree-spectrum-auction-play/" TargetMode="External"/><Relationship Id="rId24" Type="http://schemas.openxmlformats.org/officeDocument/2006/relationships/hyperlink" Target="http://www.apt.int/sites/default/files/Upload-files/AWG/APT-AWG-REP-52-APT_Report_on_WAIC.docx" TargetMode="External"/><Relationship Id="rId32" Type="http://schemas.openxmlformats.org/officeDocument/2006/relationships/hyperlink" Target="http://www.aptafis.org/" TargetMode="External"/><Relationship Id="rId37" Type="http://schemas.openxmlformats.org/officeDocument/2006/relationships/package" Target="embeddings/Microsoft_Word_Document1.docx"/><Relationship Id="rId40" Type="http://schemas.openxmlformats.org/officeDocument/2006/relationships/oleObject" Target="embeddings/Microsoft_Word_97_-_2003_Document2.doc"/><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yperlink" Target="http://www.apt.int/sites/default/files/Upload-files/AWG/APT-AWG-REP-51-APT_Report_on_EESS.docx" TargetMode="External"/><Relationship Id="rId28" Type="http://schemas.openxmlformats.org/officeDocument/2006/relationships/hyperlink" Target="http://www.apt.int/sites/default/files/Upload-files/AWG/APT-AWG-REP-56-APT_Report_on_service_and_application_onboard_aricraft_and_vessel.docx" TargetMode="External"/><Relationship Id="rId36" Type="http://schemas.openxmlformats.org/officeDocument/2006/relationships/image" Target="media/image4.emf"/><Relationship Id="rId10" Type="http://schemas.openxmlformats.org/officeDocument/2006/relationships/hyperlink" Target="http://apps.fcc.gov/ecfs/document/view?id=7520957401" TargetMode="External"/><Relationship Id="rId19" Type="http://schemas.openxmlformats.org/officeDocument/2006/relationships/image" Target="media/image3.emf"/><Relationship Id="rId31" Type="http://schemas.openxmlformats.org/officeDocument/2006/relationships/hyperlink" Target="http://www.apt.int/sites/default/files/Upload-files/AWG/AWG-17-Circulars/AWG-17-OUT-14-R1-Q-SCCS.docx"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satellitetoday.com/telecom/2014/09/29/air-to-ground-essential-for-inmarsats-ifc-plans/" TargetMode="External"/><Relationship Id="rId22" Type="http://schemas.openxmlformats.org/officeDocument/2006/relationships/hyperlink" Target="http://www.apt.int/sites/default/files/Upload-files/AWG/APT-AWG-REP-50-APT_Report_on_AI_1.1.docx" TargetMode="External"/><Relationship Id="rId27" Type="http://schemas.openxmlformats.org/officeDocument/2006/relationships/hyperlink" Target="http://www.apt.int/sites/default/files/Upload-files/AWG/APT-AWG-REP-55-APT_Report_on_Embedded_Narrow_Band_M2M.docx" TargetMode="External"/><Relationship Id="rId30" Type="http://schemas.openxmlformats.org/officeDocument/2006/relationships/hyperlink" Target="http://www.apt.int/Publications" TargetMode="External"/><Relationship Id="rId35" Type="http://schemas.openxmlformats.org/officeDocument/2006/relationships/hyperlink" Target="http://apps.fcc.gov/ecfs/proceeding/view?name=14-144" TargetMode="External"/><Relationship Id="rId43" Type="http://schemas.openxmlformats.org/officeDocument/2006/relationships/hyperlink" Target="ftp://ftp.3gpp.org/tsg_ran/TSG_RAN/TSGR_65/Docs/RP-141664.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221-1c\Lokale%20Einstellungen\Temporary%20Internet%20Files\Content.IE5\39AY32B9\FORM01_Input_contribution%5b1%5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A72E9-6AAB-4DC5-BB95-3489828A9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FORM01_Input_contribution[1]</Template>
  <TotalTime>0</TotalTime>
  <Pages>9</Pages>
  <Words>3413</Words>
  <Characters>21661</Characters>
  <Application>Microsoft Office Word</Application>
  <DocSecurity>4</DocSecurity>
  <Lines>180</Lines>
  <Paragraphs>50</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Cover page</vt:lpstr>
      <vt:lpstr>Cover page</vt:lpstr>
      <vt:lpstr>Cover page</vt:lpstr>
      <vt:lpstr>Cover page</vt:lpstr>
    </vt:vector>
  </TitlesOfParts>
  <Company>BNetzA</Company>
  <LinksUpToDate>false</LinksUpToDate>
  <CharactersWithSpaces>25024</CharactersWithSpaces>
  <SharedDoc>false</SharedDoc>
  <HLinks>
    <vt:vector size="108" baseType="variant">
      <vt:variant>
        <vt:i4>852063</vt:i4>
      </vt:variant>
      <vt:variant>
        <vt:i4>60</vt:i4>
      </vt:variant>
      <vt:variant>
        <vt:i4>0</vt:i4>
      </vt:variant>
      <vt:variant>
        <vt:i4>5</vt:i4>
      </vt:variant>
      <vt:variant>
        <vt:lpwstr>http://194.182.137.30/exchweb/bin/redir.asp?URL=https://docs.google.com/a/google.com/viewer?a=v%26pid=sites%26srcid=ZGVmYXVsdGRvbWFpbnx0dndzYWZyaWNhMjAxM3xneDoxODBhOTY5N2ZlZTFlMGM5</vt:lpwstr>
      </vt:variant>
      <vt:variant>
        <vt:lpwstr/>
      </vt:variant>
      <vt:variant>
        <vt:i4>6946924</vt:i4>
      </vt:variant>
      <vt:variant>
        <vt:i4>57</vt:i4>
      </vt:variant>
      <vt:variant>
        <vt:i4>0</vt:i4>
      </vt:variant>
      <vt:variant>
        <vt:i4>5</vt:i4>
      </vt:variant>
      <vt:variant>
        <vt:lpwstr>http://194.182.137.30/exchweb/bin/redir.asp?URL=http://www.tenet.ac.za/about-us/the-cape-town-tv-white-spaces-trial</vt:lpwstr>
      </vt:variant>
      <vt:variant>
        <vt:lpwstr/>
      </vt:variant>
      <vt:variant>
        <vt:i4>196684</vt:i4>
      </vt:variant>
      <vt:variant>
        <vt:i4>54</vt:i4>
      </vt:variant>
      <vt:variant>
        <vt:i4>0</vt:i4>
      </vt:variant>
      <vt:variant>
        <vt:i4>5</vt:i4>
      </vt:variant>
      <vt:variant>
        <vt:lpwstr>http://194.182.137.30/exchweb/bin/redir.asp?URL=https://docs.google.com/a/google.com/viewer?a=v%26pid=sites%26srcid=ZGVmYXVsdGRvbWFpbnx0dndzYWZyaWNhMjAxM3xneDo2MWY1ZjM0NTg4NmZmYTg5</vt:lpwstr>
      </vt:variant>
      <vt:variant>
        <vt:lpwstr/>
      </vt:variant>
      <vt:variant>
        <vt:i4>8192098</vt:i4>
      </vt:variant>
      <vt:variant>
        <vt:i4>51</vt:i4>
      </vt:variant>
      <vt:variant>
        <vt:i4>0</vt:i4>
      </vt:variant>
      <vt:variant>
        <vt:i4>5</vt:i4>
      </vt:variant>
      <vt:variant>
        <vt:lpwstr>http://194.182.137.30/exchweb/bin/redir.asp?URL=http://www.fiercebroadbandwireless.com/story/microsoft-unveils-tv-white-space-pilot-tanzania/2013-05-08</vt:lpwstr>
      </vt:variant>
      <vt:variant>
        <vt:lpwstr/>
      </vt:variant>
      <vt:variant>
        <vt:i4>7733298</vt:i4>
      </vt:variant>
      <vt:variant>
        <vt:i4>48</vt:i4>
      </vt:variant>
      <vt:variant>
        <vt:i4>0</vt:i4>
      </vt:variant>
      <vt:variant>
        <vt:i4>5</vt:i4>
      </vt:variant>
      <vt:variant>
        <vt:lpwstr>http://194.182.137.30/exchweb/bin/redir.asp?URL=https://sites.google.com/site/tvwsafrica2013/presentations</vt:lpwstr>
      </vt:variant>
      <vt:variant>
        <vt:lpwstr/>
      </vt:variant>
      <vt:variant>
        <vt:i4>4194384</vt:i4>
      </vt:variant>
      <vt:variant>
        <vt:i4>42</vt:i4>
      </vt:variant>
      <vt:variant>
        <vt:i4>0</vt:i4>
      </vt:variant>
      <vt:variant>
        <vt:i4>5</vt:i4>
      </vt:variant>
      <vt:variant>
        <vt:lpwstr>http://www.fcc.gov/document/expanding-access-broadband-and-encouraging-innovation</vt:lpwstr>
      </vt:variant>
      <vt:variant>
        <vt:lpwstr/>
      </vt:variant>
      <vt:variant>
        <vt:i4>1638468</vt:i4>
      </vt:variant>
      <vt:variant>
        <vt:i4>39</vt:i4>
      </vt:variant>
      <vt:variant>
        <vt:i4>0</vt:i4>
      </vt:variant>
      <vt:variant>
        <vt:i4>5</vt:i4>
      </vt:variant>
      <vt:variant>
        <vt:lpwstr>http://www.tra.gov.ae/news_UAE_TRA_ANNOUNCES_700_MHZ_BAND_PLAN_FOR_MOBILE_BROADBAND-514-1.php</vt:lpwstr>
      </vt:variant>
      <vt:variant>
        <vt:lpwstr/>
      </vt:variant>
      <vt:variant>
        <vt:i4>2818089</vt:i4>
      </vt:variant>
      <vt:variant>
        <vt:i4>33</vt:i4>
      </vt:variant>
      <vt:variant>
        <vt:i4>0</vt:i4>
      </vt:variant>
      <vt:variant>
        <vt:i4>5</vt:i4>
      </vt:variant>
      <vt:variant>
        <vt:lpwstr>http://www.apt.int/AFIS</vt:lpwstr>
      </vt:variant>
      <vt:variant>
        <vt:lpwstr/>
      </vt:variant>
      <vt:variant>
        <vt:i4>458865</vt:i4>
      </vt:variant>
      <vt:variant>
        <vt:i4>30</vt:i4>
      </vt:variant>
      <vt:variant>
        <vt:i4>0</vt:i4>
      </vt:variant>
      <vt:variant>
        <vt:i4>5</vt:i4>
      </vt:variant>
      <vt:variant>
        <vt:lpwstr>http://www.apt.int/sites/default/files/Upload-files/AWG/APT-AWG-REP-33-APT_Report_on_Satellite_Broadband_Applications.docx</vt:lpwstr>
      </vt:variant>
      <vt:variant>
        <vt:lpwstr/>
      </vt:variant>
      <vt:variant>
        <vt:i4>1245256</vt:i4>
      </vt:variant>
      <vt:variant>
        <vt:i4>27</vt:i4>
      </vt:variant>
      <vt:variant>
        <vt:i4>0</vt:i4>
      </vt:variant>
      <vt:variant>
        <vt:i4>5</vt:i4>
      </vt:variant>
      <vt:variant>
        <vt:lpwstr>http://www.apt.int/sites/default/files/Upload-files/AWG/APT-AWG-REP-34-APT_Report_on_Disaster_Mitigation.docx</vt:lpwstr>
      </vt:variant>
      <vt:variant>
        <vt:lpwstr/>
      </vt:variant>
      <vt:variant>
        <vt:i4>7995408</vt:i4>
      </vt:variant>
      <vt:variant>
        <vt:i4>24</vt:i4>
      </vt:variant>
      <vt:variant>
        <vt:i4>0</vt:i4>
      </vt:variant>
      <vt:variant>
        <vt:i4>5</vt:i4>
      </vt:variant>
      <vt:variant>
        <vt:lpwstr>http://www.apt.int/sites/default/files/Upload-files/AWG/APT-AWG-REP-18-R1-APT_Report_on_Usage_of_ITS.docx</vt:lpwstr>
      </vt:variant>
      <vt:variant>
        <vt:lpwstr/>
      </vt:variant>
      <vt:variant>
        <vt:i4>196691</vt:i4>
      </vt:variant>
      <vt:variant>
        <vt:i4>21</vt:i4>
      </vt:variant>
      <vt:variant>
        <vt:i4>0</vt:i4>
      </vt:variant>
      <vt:variant>
        <vt:i4>5</vt:i4>
      </vt:variant>
      <vt:variant>
        <vt:lpwstr>http://www.apt.int/sites/default/files/Upload-files/AWG/APT-AWG-REP-25-R1-APT_Report_on_Radio_Interference.docx</vt:lpwstr>
      </vt:variant>
      <vt:variant>
        <vt:lpwstr/>
      </vt:variant>
      <vt:variant>
        <vt:i4>6619144</vt:i4>
      </vt:variant>
      <vt:variant>
        <vt:i4>18</vt:i4>
      </vt:variant>
      <vt:variant>
        <vt:i4>0</vt:i4>
      </vt:variant>
      <vt:variant>
        <vt:i4>5</vt:i4>
      </vt:variant>
      <vt:variant>
        <vt:lpwstr>http://www.apt.int/sites/default/files/Upload-files/AWG/APT-AWG-REP-35-APT_Report_on_Frequency_bands_for_harmonized_use_of_SRDs.docx</vt:lpwstr>
      </vt:variant>
      <vt:variant>
        <vt:lpwstr/>
      </vt:variant>
      <vt:variant>
        <vt:i4>262239</vt:i4>
      </vt:variant>
      <vt:variant>
        <vt:i4>15</vt:i4>
      </vt:variant>
      <vt:variant>
        <vt:i4>0</vt:i4>
      </vt:variant>
      <vt:variant>
        <vt:i4>5</vt:i4>
      </vt:variant>
      <vt:variant>
        <vt:lpwstr>http://www.apt.int/sites/default/files/Upload-files/AWG/APT-AWG-REP-15-R1-APT_Report_on_Mobile_Freq-Tech-License.docx</vt:lpwstr>
      </vt:variant>
      <vt:variant>
        <vt:lpwstr/>
      </vt:variant>
      <vt:variant>
        <vt:i4>5636213</vt:i4>
      </vt:variant>
      <vt:variant>
        <vt:i4>12</vt:i4>
      </vt:variant>
      <vt:variant>
        <vt:i4>0</vt:i4>
      </vt:variant>
      <vt:variant>
        <vt:i4>5</vt:i4>
      </vt:variant>
      <vt:variant>
        <vt:lpwstr>http://www.apt.int/sites/default/files/Upload-files/AWG/APT-AWG-REP-37-APT_Report_on_3400-3600MHz.docx</vt:lpwstr>
      </vt:variant>
      <vt:variant>
        <vt:lpwstr/>
      </vt:variant>
      <vt:variant>
        <vt:i4>327722</vt:i4>
      </vt:variant>
      <vt:variant>
        <vt:i4>9</vt:i4>
      </vt:variant>
      <vt:variant>
        <vt:i4>0</vt:i4>
      </vt:variant>
      <vt:variant>
        <vt:i4>5</vt:i4>
      </vt:variant>
      <vt:variant>
        <vt:lpwstr>http://www.apt.int/sites/default/files/Upload-files/AWG/APT-AWG-REP-36-APT_Report_on_800MHz_Frequency_Arrangement.docx</vt:lpwstr>
      </vt:variant>
      <vt:variant>
        <vt:lpwstr/>
      </vt:variant>
      <vt:variant>
        <vt:i4>1966189</vt:i4>
      </vt:variant>
      <vt:variant>
        <vt:i4>3</vt:i4>
      </vt:variant>
      <vt:variant>
        <vt:i4>0</vt:i4>
      </vt:variant>
      <vt:variant>
        <vt:i4>5</vt:i4>
      </vt:variant>
      <vt:variant>
        <vt:lpwstr>http://194.182.137.30/exchweb/bin/redir.asp?URL=http://apps.fcc.gov/ecfs/comment_search/input.action?z=574gv</vt:lpwstr>
      </vt:variant>
      <vt:variant>
        <vt:lpwstr/>
      </vt:variant>
      <vt:variant>
        <vt:i4>3407922</vt:i4>
      </vt:variant>
      <vt:variant>
        <vt:i4>0</vt:i4>
      </vt:variant>
      <vt:variant>
        <vt:i4>0</vt:i4>
      </vt:variant>
      <vt:variant>
        <vt:i4>5</vt:i4>
      </vt:variant>
      <vt:variant>
        <vt:lpwstr>http://www.fcc.gov/document/5-ghz-unlicensed-spectrum-unii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ECC Template</dc:subject>
  <dc:creator>221-1c</dc:creator>
  <cp:keywords>ECC, CEPT, Template</cp:keywords>
  <cp:lastModifiedBy>Mark Thomas</cp:lastModifiedBy>
  <cp:revision>2</cp:revision>
  <cp:lastPrinted>1999-09-27T13:20:00Z</cp:lastPrinted>
  <dcterms:created xsi:type="dcterms:W3CDTF">2014-11-19T12:22:00Z</dcterms:created>
  <dcterms:modified xsi:type="dcterms:W3CDTF">2014-11-19T12:22:00Z</dcterms:modified>
</cp:coreProperties>
</file>