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40" w:type="dxa"/>
        <w:tblInd w:w="-72" w:type="dxa"/>
        <w:tblLayout w:type="fixed"/>
        <w:tblCellMar>
          <w:left w:w="70" w:type="dxa"/>
          <w:right w:w="70" w:type="dxa"/>
        </w:tblCellMar>
        <w:tblLook w:val="0000" w:firstRow="0" w:lastRow="0" w:firstColumn="0" w:lastColumn="0" w:noHBand="0" w:noVBand="0"/>
      </w:tblPr>
      <w:tblGrid>
        <w:gridCol w:w="1836"/>
        <w:gridCol w:w="2487"/>
        <w:gridCol w:w="1724"/>
        <w:gridCol w:w="3555"/>
        <w:gridCol w:w="38"/>
      </w:tblGrid>
      <w:tr w:rsidR="00346C62" w:rsidRPr="0098621D">
        <w:trPr>
          <w:cantSplit/>
        </w:trPr>
        <w:tc>
          <w:tcPr>
            <w:tcW w:w="6071" w:type="dxa"/>
            <w:gridSpan w:val="3"/>
            <w:tcBorders>
              <w:top w:val="nil"/>
              <w:left w:val="nil"/>
              <w:bottom w:val="nil"/>
              <w:right w:val="nil"/>
            </w:tcBorders>
          </w:tcPr>
          <w:p w:rsidR="00346C62" w:rsidRPr="0098621D" w:rsidRDefault="005723B3" w:rsidP="00215746">
            <w:pPr>
              <w:pStyle w:val="Kopfzeile1"/>
            </w:pPr>
            <w:r>
              <w:rPr>
                <w:noProof/>
                <w:lang w:val="fr-FR" w:eastAsia="fr-FR"/>
              </w:rPr>
              <w:drawing>
                <wp:inline distT="0" distB="0" distL="0" distR="0" wp14:anchorId="5EAE7553" wp14:editId="65D7E391">
                  <wp:extent cx="1619250" cy="8286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828675"/>
                          </a:xfrm>
                          <a:prstGeom prst="rect">
                            <a:avLst/>
                          </a:prstGeom>
                          <a:noFill/>
                          <a:ln>
                            <a:noFill/>
                          </a:ln>
                        </pic:spPr>
                      </pic:pic>
                    </a:graphicData>
                  </a:graphic>
                </wp:inline>
              </w:drawing>
            </w:r>
            <w:r w:rsidR="00ED7AEC">
              <w:t>Plenary</w:t>
            </w:r>
          </w:p>
          <w:p w:rsidR="00346C62" w:rsidRPr="0098621D" w:rsidRDefault="00346C62" w:rsidP="00215746">
            <w:pPr>
              <w:pStyle w:val="Kopfzeile1"/>
              <w:rPr>
                <w:rFonts w:cs="Arial"/>
                <w:color w:val="000000"/>
              </w:rPr>
            </w:pPr>
          </w:p>
        </w:tc>
        <w:tc>
          <w:tcPr>
            <w:tcW w:w="3569" w:type="dxa"/>
            <w:gridSpan w:val="2"/>
            <w:tcBorders>
              <w:top w:val="nil"/>
              <w:left w:val="nil"/>
              <w:bottom w:val="nil"/>
              <w:right w:val="nil"/>
            </w:tcBorders>
          </w:tcPr>
          <w:p w:rsidR="00346C62" w:rsidRPr="00346C62" w:rsidRDefault="0098621D" w:rsidP="00DD12D0">
            <w:pPr>
              <w:pStyle w:val="Kopfzeile1"/>
              <w:tabs>
                <w:tab w:val="clear" w:pos="4536"/>
                <w:tab w:val="right" w:pos="3357"/>
              </w:tabs>
            </w:pPr>
            <w:r>
              <w:tab/>
            </w:r>
            <w:r w:rsidR="00533846">
              <w:t>Doc</w:t>
            </w:r>
            <w:r w:rsidR="00ED7AEC">
              <w:t>. ECC(1</w:t>
            </w:r>
            <w:r w:rsidR="00C77956">
              <w:t>5</w:t>
            </w:r>
            <w:r w:rsidR="00ED7AEC">
              <w:t>)</w:t>
            </w:r>
            <w:r w:rsidR="00E57F73">
              <w:t>0</w:t>
            </w:r>
            <w:r w:rsidR="00DD12D0">
              <w:t>13</w:t>
            </w:r>
            <w:bookmarkStart w:id="0" w:name="_GoBack"/>
            <w:bookmarkEnd w:id="0"/>
          </w:p>
        </w:tc>
      </w:tr>
      <w:tr w:rsidR="00346C62" w:rsidRPr="0098621D">
        <w:tblPrEx>
          <w:tblCellMar>
            <w:left w:w="108" w:type="dxa"/>
            <w:right w:w="108" w:type="dxa"/>
          </w:tblCellMar>
        </w:tblPrEx>
        <w:trPr>
          <w:gridAfter w:val="1"/>
          <w:wAfter w:w="38" w:type="dxa"/>
          <w:cantSplit/>
          <w:trHeight w:val="405"/>
        </w:trPr>
        <w:tc>
          <w:tcPr>
            <w:tcW w:w="4340" w:type="dxa"/>
            <w:gridSpan w:val="2"/>
            <w:tcBorders>
              <w:top w:val="nil"/>
              <w:left w:val="nil"/>
              <w:bottom w:val="nil"/>
              <w:right w:val="nil"/>
            </w:tcBorders>
            <w:vAlign w:val="center"/>
          </w:tcPr>
          <w:p w:rsidR="00346C62" w:rsidRPr="00D149DA" w:rsidRDefault="00D149DA" w:rsidP="00C77956">
            <w:pPr>
              <w:pStyle w:val="Kopfzeile1"/>
            </w:pPr>
            <w:r>
              <w:t>3</w:t>
            </w:r>
            <w:r w:rsidR="00C77956">
              <w:t>9</w:t>
            </w:r>
            <w:r w:rsidR="001F724C" w:rsidRPr="001F724C">
              <w:rPr>
                <w:vertAlign w:val="superscript"/>
              </w:rPr>
              <w:t>th</w:t>
            </w:r>
            <w:r w:rsidR="001F724C">
              <w:t xml:space="preserve"> </w:t>
            </w:r>
            <w:r w:rsidR="001E0E49" w:rsidRPr="00D149DA">
              <w:t>Meeting</w:t>
            </w:r>
          </w:p>
        </w:tc>
        <w:tc>
          <w:tcPr>
            <w:tcW w:w="5300" w:type="dxa"/>
            <w:gridSpan w:val="2"/>
            <w:tcBorders>
              <w:top w:val="nil"/>
              <w:left w:val="nil"/>
              <w:bottom w:val="nil"/>
              <w:right w:val="nil"/>
            </w:tcBorders>
            <w:vAlign w:val="center"/>
          </w:tcPr>
          <w:p w:rsidR="00346C62" w:rsidRPr="0098621D" w:rsidRDefault="00346C62" w:rsidP="00215746">
            <w:pPr>
              <w:pStyle w:val="Kopfzeile1"/>
            </w:pPr>
          </w:p>
        </w:tc>
      </w:tr>
      <w:tr w:rsidR="00346C62" w:rsidRPr="0098621D">
        <w:tblPrEx>
          <w:tblCellMar>
            <w:left w:w="108" w:type="dxa"/>
            <w:right w:w="108" w:type="dxa"/>
          </w:tblCellMar>
        </w:tblPrEx>
        <w:trPr>
          <w:gridAfter w:val="1"/>
          <w:wAfter w:w="38" w:type="dxa"/>
          <w:cantSplit/>
          <w:trHeight w:val="405"/>
        </w:trPr>
        <w:tc>
          <w:tcPr>
            <w:tcW w:w="4340" w:type="dxa"/>
            <w:gridSpan w:val="2"/>
            <w:tcBorders>
              <w:top w:val="nil"/>
              <w:left w:val="nil"/>
              <w:bottom w:val="nil"/>
              <w:right w:val="nil"/>
            </w:tcBorders>
            <w:vAlign w:val="center"/>
          </w:tcPr>
          <w:p w:rsidR="00346C62" w:rsidRPr="00D149DA" w:rsidRDefault="00C77956" w:rsidP="00C77956">
            <w:pPr>
              <w:pStyle w:val="Kopfzeile1"/>
            </w:pPr>
            <w:r w:rsidRPr="00C77956">
              <w:t>Budapest, 3</w:t>
            </w:r>
            <w:r w:rsidRPr="00C77956">
              <w:rPr>
                <w:vertAlign w:val="superscript"/>
              </w:rPr>
              <w:t>rd</w:t>
            </w:r>
            <w:r>
              <w:t xml:space="preserve"> –</w:t>
            </w:r>
            <w:r w:rsidRPr="00C77956">
              <w:t xml:space="preserve"> 6</w:t>
            </w:r>
            <w:r w:rsidRPr="00C77956">
              <w:rPr>
                <w:vertAlign w:val="superscript"/>
              </w:rPr>
              <w:t>th</w:t>
            </w:r>
            <w:r>
              <w:t xml:space="preserve"> </w:t>
            </w:r>
            <w:r w:rsidRPr="00C77956">
              <w:t>March 2015</w:t>
            </w:r>
          </w:p>
        </w:tc>
        <w:tc>
          <w:tcPr>
            <w:tcW w:w="5300" w:type="dxa"/>
            <w:gridSpan w:val="2"/>
            <w:tcBorders>
              <w:top w:val="nil"/>
              <w:left w:val="nil"/>
              <w:bottom w:val="nil"/>
              <w:right w:val="nil"/>
            </w:tcBorders>
            <w:vAlign w:val="center"/>
          </w:tcPr>
          <w:p w:rsidR="00346C62" w:rsidRPr="0098621D" w:rsidRDefault="00346C62" w:rsidP="00215746">
            <w:pPr>
              <w:pStyle w:val="Kopfzeile1"/>
            </w:pPr>
          </w:p>
        </w:tc>
      </w:tr>
      <w:tr w:rsidR="00F05B26" w:rsidRPr="0098621D">
        <w:tblPrEx>
          <w:tblCellMar>
            <w:left w:w="108" w:type="dxa"/>
            <w:right w:w="108" w:type="dxa"/>
          </w:tblCellMar>
        </w:tblPrEx>
        <w:trPr>
          <w:gridAfter w:val="1"/>
          <w:wAfter w:w="38" w:type="dxa"/>
          <w:cantSplit/>
          <w:trHeight w:val="80"/>
        </w:trPr>
        <w:tc>
          <w:tcPr>
            <w:tcW w:w="4340" w:type="dxa"/>
            <w:gridSpan w:val="2"/>
            <w:tcBorders>
              <w:top w:val="nil"/>
              <w:left w:val="nil"/>
              <w:bottom w:val="nil"/>
              <w:right w:val="nil"/>
            </w:tcBorders>
            <w:vAlign w:val="center"/>
          </w:tcPr>
          <w:p w:rsidR="00F05B26" w:rsidRPr="00D149DA" w:rsidRDefault="00F05B26" w:rsidP="00215746">
            <w:pPr>
              <w:pStyle w:val="Kopfzeile1"/>
              <w:rPr>
                <w:sz w:val="8"/>
              </w:rPr>
            </w:pPr>
          </w:p>
        </w:tc>
        <w:tc>
          <w:tcPr>
            <w:tcW w:w="5300" w:type="dxa"/>
            <w:gridSpan w:val="2"/>
            <w:tcBorders>
              <w:top w:val="nil"/>
              <w:left w:val="nil"/>
              <w:bottom w:val="nil"/>
              <w:right w:val="nil"/>
            </w:tcBorders>
            <w:vAlign w:val="center"/>
          </w:tcPr>
          <w:p w:rsidR="00F05B26" w:rsidRPr="0098621D" w:rsidRDefault="00F05B26" w:rsidP="00215746">
            <w:pPr>
              <w:pStyle w:val="Kopfzeile1"/>
              <w:rPr>
                <w:sz w:val="8"/>
              </w:rPr>
            </w:pPr>
          </w:p>
        </w:tc>
      </w:tr>
      <w:tr w:rsidR="00F05B26" w:rsidRPr="0098621D">
        <w:tblPrEx>
          <w:tblCellMar>
            <w:left w:w="108" w:type="dxa"/>
            <w:right w:w="108" w:type="dxa"/>
          </w:tblCellMar>
        </w:tblPrEx>
        <w:trPr>
          <w:gridAfter w:val="1"/>
          <w:wAfter w:w="38" w:type="dxa"/>
          <w:cantSplit/>
          <w:trHeight w:val="405"/>
        </w:trPr>
        <w:tc>
          <w:tcPr>
            <w:tcW w:w="1843" w:type="dxa"/>
            <w:tcBorders>
              <w:top w:val="nil"/>
              <w:left w:val="nil"/>
              <w:bottom w:val="nil"/>
              <w:right w:val="nil"/>
            </w:tcBorders>
            <w:vAlign w:val="center"/>
          </w:tcPr>
          <w:p w:rsidR="00F05B26" w:rsidRPr="00D149DA" w:rsidRDefault="00F05B26" w:rsidP="00215746">
            <w:pPr>
              <w:pStyle w:val="Kopfzeile1"/>
            </w:pPr>
            <w:r w:rsidRPr="00D149DA">
              <w:t>Date issued:</w:t>
            </w:r>
            <w:r w:rsidR="005269EA" w:rsidRPr="00D149DA">
              <w:t xml:space="preserve"> </w:t>
            </w:r>
          </w:p>
        </w:tc>
        <w:tc>
          <w:tcPr>
            <w:tcW w:w="7797" w:type="dxa"/>
            <w:gridSpan w:val="3"/>
            <w:tcBorders>
              <w:top w:val="nil"/>
              <w:left w:val="nil"/>
              <w:bottom w:val="nil"/>
              <w:right w:val="nil"/>
            </w:tcBorders>
            <w:vAlign w:val="center"/>
          </w:tcPr>
          <w:p w:rsidR="00F05B26" w:rsidRPr="0098621D" w:rsidRDefault="00C77956" w:rsidP="00C77956">
            <w:pPr>
              <w:pStyle w:val="Kopfzeile1"/>
            </w:pPr>
            <w:r>
              <w:t>25 February</w:t>
            </w:r>
            <w:r w:rsidR="00697E9B">
              <w:t xml:space="preserve"> </w:t>
            </w:r>
            <w:r w:rsidR="00A82B1F">
              <w:t>201</w:t>
            </w:r>
            <w:r>
              <w:t>5</w:t>
            </w:r>
          </w:p>
        </w:tc>
      </w:tr>
      <w:tr w:rsidR="00F05B26" w:rsidRPr="0098621D">
        <w:tblPrEx>
          <w:tblCellMar>
            <w:left w:w="108" w:type="dxa"/>
            <w:right w:w="108" w:type="dxa"/>
          </w:tblCellMar>
        </w:tblPrEx>
        <w:trPr>
          <w:gridAfter w:val="1"/>
          <w:wAfter w:w="38" w:type="dxa"/>
          <w:cantSplit/>
          <w:trHeight w:val="405"/>
        </w:trPr>
        <w:tc>
          <w:tcPr>
            <w:tcW w:w="1843" w:type="dxa"/>
            <w:tcBorders>
              <w:top w:val="nil"/>
              <w:left w:val="nil"/>
              <w:bottom w:val="nil"/>
              <w:right w:val="nil"/>
            </w:tcBorders>
            <w:vAlign w:val="center"/>
          </w:tcPr>
          <w:p w:rsidR="00F05B26" w:rsidRPr="00D149DA" w:rsidRDefault="00F05B26" w:rsidP="00215746">
            <w:pPr>
              <w:pStyle w:val="Kopfzeile1"/>
            </w:pPr>
            <w:r w:rsidRPr="00D149DA">
              <w:t>Source:</w:t>
            </w:r>
            <w:r w:rsidR="00ED7AEC" w:rsidRPr="00D149DA">
              <w:t xml:space="preserve"> </w:t>
            </w:r>
          </w:p>
        </w:tc>
        <w:tc>
          <w:tcPr>
            <w:tcW w:w="7797" w:type="dxa"/>
            <w:gridSpan w:val="3"/>
            <w:tcBorders>
              <w:top w:val="nil"/>
              <w:left w:val="nil"/>
              <w:bottom w:val="nil"/>
              <w:right w:val="nil"/>
            </w:tcBorders>
            <w:vAlign w:val="center"/>
          </w:tcPr>
          <w:p w:rsidR="00F05B26" w:rsidRPr="0098621D" w:rsidRDefault="00A82B1F" w:rsidP="00215746">
            <w:pPr>
              <w:pStyle w:val="Kopfzeile1"/>
            </w:pPr>
            <w:r>
              <w:t>ECO</w:t>
            </w:r>
          </w:p>
        </w:tc>
      </w:tr>
      <w:tr w:rsidR="00F05B26" w:rsidRPr="0098621D">
        <w:tblPrEx>
          <w:tblCellMar>
            <w:left w:w="108" w:type="dxa"/>
            <w:right w:w="108" w:type="dxa"/>
          </w:tblCellMar>
        </w:tblPrEx>
        <w:trPr>
          <w:gridAfter w:val="1"/>
          <w:wAfter w:w="38" w:type="dxa"/>
          <w:cantSplit/>
          <w:trHeight w:val="405"/>
        </w:trPr>
        <w:tc>
          <w:tcPr>
            <w:tcW w:w="1843" w:type="dxa"/>
            <w:tcBorders>
              <w:top w:val="nil"/>
              <w:left w:val="nil"/>
              <w:bottom w:val="nil"/>
              <w:right w:val="nil"/>
            </w:tcBorders>
            <w:vAlign w:val="center"/>
          </w:tcPr>
          <w:p w:rsidR="00F05B26" w:rsidRPr="00D149DA" w:rsidRDefault="00F05B26" w:rsidP="00215746">
            <w:pPr>
              <w:pStyle w:val="Kopfzeile1"/>
            </w:pPr>
            <w:r w:rsidRPr="00D149DA">
              <w:t>Subject:</w:t>
            </w:r>
            <w:r w:rsidR="005269EA" w:rsidRPr="00D149DA">
              <w:t xml:space="preserve"> </w:t>
            </w:r>
          </w:p>
        </w:tc>
        <w:tc>
          <w:tcPr>
            <w:tcW w:w="7797" w:type="dxa"/>
            <w:gridSpan w:val="3"/>
            <w:tcBorders>
              <w:top w:val="nil"/>
              <w:left w:val="nil"/>
              <w:bottom w:val="nil"/>
              <w:right w:val="nil"/>
            </w:tcBorders>
            <w:vAlign w:val="center"/>
          </w:tcPr>
          <w:p w:rsidR="00F05B26" w:rsidRPr="001E0E49" w:rsidRDefault="00A82B1F" w:rsidP="001E0E49">
            <w:pPr>
              <w:pStyle w:val="Kopfzeile1"/>
            </w:pPr>
            <w:r w:rsidRPr="00A82B1F">
              <w:t>ECO Bulletin on on</w:t>
            </w:r>
            <w:r>
              <w:t>-</w:t>
            </w:r>
            <w:r w:rsidRPr="00A82B1F">
              <w:t>going/new issues in other regions or organisations</w:t>
            </w:r>
          </w:p>
        </w:tc>
      </w:tr>
      <w:tr w:rsidR="00493F86" w:rsidRPr="0098621D" w:rsidTr="00FF320E">
        <w:tblPrEx>
          <w:tblCellMar>
            <w:left w:w="108" w:type="dxa"/>
            <w:right w:w="108" w:type="dxa"/>
          </w:tblCellMar>
        </w:tblPrEx>
        <w:trPr>
          <w:gridAfter w:val="1"/>
          <w:wAfter w:w="38" w:type="dxa"/>
          <w:cantSplit/>
          <w:trHeight w:val="1040"/>
        </w:trPr>
        <w:tc>
          <w:tcPr>
            <w:tcW w:w="9640" w:type="dxa"/>
            <w:gridSpan w:val="4"/>
            <w:tcBorders>
              <w:top w:val="nil"/>
              <w:left w:val="nil"/>
              <w:bottom w:val="nil"/>
              <w:right w:val="nil"/>
            </w:tcBorders>
            <w:vAlign w:val="center"/>
          </w:tcPr>
          <w:p w:rsidR="00493F86" w:rsidRPr="006D7413" w:rsidRDefault="005723B3" w:rsidP="00FF320E">
            <w:pPr>
              <w:rPr>
                <w:rFonts w:cs="Arial"/>
                <w:szCs w:val="24"/>
              </w:rPr>
            </w:pPr>
            <w:r>
              <w:rPr>
                <w:noProof/>
                <w:lang w:val="fr-FR" w:eastAsia="fr-FR"/>
              </w:rPr>
              <mc:AlternateContent>
                <mc:Choice Requires="wps">
                  <w:drawing>
                    <wp:anchor distT="0" distB="0" distL="114300" distR="114300" simplePos="0" relativeHeight="251657728" behindDoc="1" locked="0" layoutInCell="1" allowOverlap="1" wp14:anchorId="26421987" wp14:editId="50DA2071">
                      <wp:simplePos x="0" y="0"/>
                      <wp:positionH relativeFrom="column">
                        <wp:posOffset>3263900</wp:posOffset>
                      </wp:positionH>
                      <wp:positionV relativeFrom="paragraph">
                        <wp:posOffset>193675</wp:posOffset>
                      </wp:positionV>
                      <wp:extent cx="457200" cy="271145"/>
                      <wp:effectExtent l="0" t="0" r="19050" b="14605"/>
                      <wp:wrapTight wrapText="bothSides">
                        <wp:wrapPolygon edited="0">
                          <wp:start x="0" y="0"/>
                          <wp:lineTo x="0" y="21246"/>
                          <wp:lineTo x="21600" y="21246"/>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0605CA" w:rsidRPr="00254FD9" w:rsidRDefault="000605CA" w:rsidP="005348B2">
                                  <w:pPr>
                                    <w:spacing w:after="0"/>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7pt;margin-top:15.25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">
                      <v:textbox>
                        <w:txbxContent>
                          <w:p w:rsidR="000605CA" w:rsidRPr="00254FD9" w:rsidRDefault="000605CA" w:rsidP="005348B2">
                            <w:pPr>
                              <w:spacing w:after="0"/>
                              <w:jc w:val="center"/>
                              <w:rPr>
                                <w:rFonts w:cs="Arial"/>
                                <w:szCs w:val="24"/>
                                <w:lang w:val="de-DE"/>
                              </w:rPr>
                            </w:pPr>
                            <w:r>
                              <w:rPr>
                                <w:rFonts w:cs="Arial"/>
                                <w:szCs w:val="24"/>
                                <w:lang w:val="de-DE"/>
                              </w:rPr>
                              <w:t>N</w:t>
                            </w:r>
                          </w:p>
                        </w:txbxContent>
                      </v:textbox>
                      <w10:wrap type="tight"/>
                    </v:shape>
                  </w:pict>
                </mc:Fallback>
              </mc:AlternateContent>
            </w:r>
          </w:p>
          <w:p w:rsidR="00493F86" w:rsidRDefault="001D181E" w:rsidP="00FF320E">
            <w:r>
              <w:t>Group membership</w:t>
            </w:r>
            <w:r w:rsidR="00493F86" w:rsidRPr="0016435A">
              <w:t xml:space="preserve"> required</w:t>
            </w:r>
            <w:r>
              <w:t xml:space="preserve"> </w:t>
            </w:r>
            <w:proofErr w:type="gramStart"/>
            <w:r>
              <w:t>to read</w:t>
            </w:r>
            <w:proofErr w:type="gramEnd"/>
            <w:r>
              <w:t>? (Y/N)</w:t>
            </w:r>
          </w:p>
          <w:p w:rsidR="00493F86" w:rsidRPr="00DD103C" w:rsidRDefault="00493F86" w:rsidP="00FF320E">
            <w:pPr>
              <w:pStyle w:val="Header1"/>
              <w:rPr>
                <w:lang w:eastAsia="de-DE"/>
              </w:rPr>
            </w:pPr>
          </w:p>
        </w:tc>
      </w:tr>
      <w:tr w:rsidR="00493F86" w:rsidRPr="0098621D" w:rsidTr="00FF320E">
        <w:tblPrEx>
          <w:tblCellMar>
            <w:left w:w="108" w:type="dxa"/>
            <w:right w:w="108" w:type="dxa"/>
          </w:tblCellMar>
        </w:tblPrEx>
        <w:trPr>
          <w:gridAfter w:val="1"/>
          <w:wAfter w:w="38" w:type="dxa"/>
          <w:cantSplit/>
          <w:trHeight w:hRule="exact" w:val="74"/>
        </w:trPr>
        <w:tc>
          <w:tcPr>
            <w:tcW w:w="9640" w:type="dxa"/>
            <w:gridSpan w:val="4"/>
            <w:tcBorders>
              <w:top w:val="nil"/>
              <w:left w:val="nil"/>
              <w:bottom w:val="nil"/>
              <w:right w:val="nil"/>
            </w:tcBorders>
            <w:vAlign w:val="center"/>
          </w:tcPr>
          <w:p w:rsidR="00493F86" w:rsidRPr="003D778B" w:rsidRDefault="00493F86" w:rsidP="00FF320E">
            <w:pPr>
              <w:pStyle w:val="Header1"/>
              <w:rPr>
                <w:lang w:eastAsia="de-DE"/>
              </w:rPr>
            </w:pPr>
          </w:p>
          <w:p w:rsidR="00493F86" w:rsidRPr="0098621D" w:rsidRDefault="00493F86" w:rsidP="00FF320E">
            <w:pPr>
              <w:pStyle w:val="Header1"/>
              <w:rPr>
                <w:sz w:val="8"/>
                <w:lang w:eastAsia="de-DE"/>
              </w:rPr>
            </w:pPr>
          </w:p>
        </w:tc>
      </w:tr>
      <w:tr w:rsidR="001E0E49"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640" w:type="dxa"/>
            <w:gridSpan w:val="5"/>
            <w:tcBorders>
              <w:bottom w:val="nil"/>
            </w:tcBorders>
          </w:tcPr>
          <w:p w:rsidR="001E0E49" w:rsidRDefault="001E0E49" w:rsidP="001E0E49">
            <w:pPr>
              <w:pStyle w:val="Kopfzeile1"/>
              <w:rPr>
                <w:lang w:val="en-US"/>
              </w:rPr>
            </w:pPr>
            <w:r w:rsidRPr="001E0E49">
              <w:rPr>
                <w:lang w:val="en-US"/>
              </w:rPr>
              <w:t>Summary:</w:t>
            </w:r>
            <w:r>
              <w:rPr>
                <w:lang w:val="en-US"/>
              </w:rPr>
              <w:t xml:space="preserve"> </w:t>
            </w:r>
          </w:p>
        </w:tc>
      </w:tr>
      <w:tr w:rsidR="001E0E49" w:rsidRPr="00523220"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640" w:type="dxa"/>
            <w:gridSpan w:val="5"/>
            <w:tcBorders>
              <w:top w:val="nil"/>
              <w:bottom w:val="single" w:sz="4" w:space="0" w:color="auto"/>
            </w:tcBorders>
          </w:tcPr>
          <w:p w:rsidR="001E0E49" w:rsidRPr="00523220" w:rsidRDefault="00A82B1F" w:rsidP="008E4001">
            <w:r w:rsidRPr="00523220">
              <w:t xml:space="preserve">This </w:t>
            </w:r>
            <w:r w:rsidR="00977355" w:rsidRPr="00523220">
              <w:t xml:space="preserve">ECO Bulletin </w:t>
            </w:r>
            <w:r w:rsidRPr="00523220">
              <w:t xml:space="preserve">provides a summary update on aspects of </w:t>
            </w:r>
            <w:r w:rsidR="008E4001" w:rsidRPr="00523220">
              <w:t xml:space="preserve">progress </w:t>
            </w:r>
            <w:r w:rsidR="00061978" w:rsidRPr="00523220">
              <w:t xml:space="preserve">in spectrum management </w:t>
            </w:r>
            <w:r w:rsidR="00D765E7" w:rsidRPr="00523220">
              <w:t>outside the CEPT</w:t>
            </w:r>
            <w:r w:rsidRPr="00523220">
              <w:t>. The</w:t>
            </w:r>
            <w:r w:rsidR="008E4001" w:rsidRPr="00523220">
              <w:t xml:space="preserve"> items </w:t>
            </w:r>
            <w:r w:rsidR="00421CAC" w:rsidRPr="00523220">
              <w:t xml:space="preserve">in this bulletin </w:t>
            </w:r>
            <w:r w:rsidR="008E4001" w:rsidRPr="00523220">
              <w:t>include:</w:t>
            </w:r>
          </w:p>
          <w:p w:rsidR="00C77956" w:rsidRDefault="00C77956" w:rsidP="00897AB6">
            <w:pPr>
              <w:pStyle w:val="Paragraphedeliste"/>
              <w:numPr>
                <w:ilvl w:val="0"/>
                <w:numId w:val="2"/>
              </w:numPr>
            </w:pPr>
            <w:r w:rsidRPr="00C77956">
              <w:t>FCC redefines broadband</w:t>
            </w:r>
          </w:p>
          <w:p w:rsidR="00C77956" w:rsidRPr="00C77956" w:rsidRDefault="00C77956" w:rsidP="00897AB6">
            <w:pPr>
              <w:pStyle w:val="Paragraphedeliste"/>
              <w:numPr>
                <w:ilvl w:val="0"/>
                <w:numId w:val="2"/>
              </w:numPr>
            </w:pPr>
            <w:r w:rsidRPr="00C77956">
              <w:t xml:space="preserve">Industry Canada's Radio Standards Specifications RSS-222 on White Space Devices (WSDs) </w:t>
            </w:r>
            <w:r>
              <w:t>published on 5 February 2015</w:t>
            </w:r>
          </w:p>
          <w:p w:rsidR="002B6C82" w:rsidRPr="002B6C82" w:rsidRDefault="002B6C82" w:rsidP="00897AB6">
            <w:pPr>
              <w:pStyle w:val="Paragraphedeliste"/>
              <w:numPr>
                <w:ilvl w:val="0"/>
                <w:numId w:val="2"/>
              </w:numPr>
            </w:pPr>
            <w:r w:rsidRPr="002B6C82">
              <w:t>Activities in 3GPP RAN (RAN4) with regard to 2 GHz MSS CGC (1980-2010 MHz and 2170-2200 MHz)</w:t>
            </w:r>
          </w:p>
          <w:p w:rsidR="00C77956" w:rsidRDefault="002B6C82" w:rsidP="00897AB6">
            <w:pPr>
              <w:pStyle w:val="Paragraphedeliste"/>
              <w:numPr>
                <w:ilvl w:val="0"/>
                <w:numId w:val="2"/>
              </w:numPr>
            </w:pPr>
            <w:r w:rsidRPr="002B6C82">
              <w:t>FCC: DA2GC Draft Order Taken Off Circulation</w:t>
            </w:r>
            <w:r>
              <w:t xml:space="preserve"> (14-14.5 GHz)</w:t>
            </w:r>
          </w:p>
          <w:p w:rsidR="002B6C82" w:rsidRPr="002B6C82" w:rsidRDefault="002B6C82" w:rsidP="00897AB6">
            <w:pPr>
              <w:pStyle w:val="Paragraphedeliste"/>
              <w:numPr>
                <w:ilvl w:val="0"/>
                <w:numId w:val="2"/>
              </w:numPr>
            </w:pPr>
            <w:r w:rsidRPr="002B6C82">
              <w:t>FCC Auction on Advanced Wireless Services (AWS-3)</w:t>
            </w:r>
          </w:p>
          <w:p w:rsidR="006463B2" w:rsidRPr="006463B2" w:rsidRDefault="006463B2" w:rsidP="00897AB6">
            <w:pPr>
              <w:pStyle w:val="Paragraphedeliste"/>
              <w:numPr>
                <w:ilvl w:val="0"/>
                <w:numId w:val="2"/>
              </w:numPr>
            </w:pPr>
            <w:r w:rsidRPr="006463B2">
              <w:t>Argentina auctioned spectrum for 3G and 4G</w:t>
            </w:r>
            <w:r>
              <w:t xml:space="preserve"> (including 700 MHz)</w:t>
            </w:r>
          </w:p>
          <w:p w:rsidR="00111A80" w:rsidRPr="00111A80" w:rsidRDefault="00111A80" w:rsidP="00897AB6">
            <w:pPr>
              <w:pStyle w:val="Paragraphedeliste"/>
              <w:numPr>
                <w:ilvl w:val="0"/>
                <w:numId w:val="2"/>
              </w:numPr>
            </w:pPr>
            <w:r w:rsidRPr="00111A80">
              <w:t>FCC Order on a Petition from Hotel Industry</w:t>
            </w:r>
          </w:p>
          <w:p w:rsidR="00111A80" w:rsidRPr="00111A80" w:rsidRDefault="00111A80" w:rsidP="00897AB6">
            <w:pPr>
              <w:pStyle w:val="Paragraphedeliste"/>
              <w:numPr>
                <w:ilvl w:val="0"/>
                <w:numId w:val="2"/>
              </w:numPr>
            </w:pPr>
            <w:r w:rsidRPr="00111A80">
              <w:t>FCC and FDA to hold a Joint Workshop on Wireless Medical Device Test Beds</w:t>
            </w:r>
          </w:p>
          <w:p w:rsidR="0056057A" w:rsidRPr="0056057A" w:rsidRDefault="0056057A" w:rsidP="00897AB6">
            <w:pPr>
              <w:pStyle w:val="Paragraphedeliste"/>
              <w:numPr>
                <w:ilvl w:val="0"/>
                <w:numId w:val="2"/>
              </w:numPr>
            </w:pPr>
            <w:r w:rsidRPr="0056057A">
              <w:t>LTE in ‘unlicensed’ spectrum in 5 GHz</w:t>
            </w:r>
          </w:p>
          <w:p w:rsidR="0056057A" w:rsidRPr="0056057A" w:rsidRDefault="0056057A" w:rsidP="00897AB6">
            <w:pPr>
              <w:pStyle w:val="Paragraphedeliste"/>
              <w:numPr>
                <w:ilvl w:val="0"/>
                <w:numId w:val="2"/>
              </w:numPr>
            </w:pPr>
            <w:r w:rsidRPr="0056057A">
              <w:t>Unmanned Aircraft Systems (Drones)</w:t>
            </w:r>
          </w:p>
          <w:p w:rsidR="007E4E9A" w:rsidRPr="00523220" w:rsidRDefault="0056057A" w:rsidP="00C44015">
            <w:pPr>
              <w:pStyle w:val="Paragraphedeliste"/>
              <w:numPr>
                <w:ilvl w:val="0"/>
                <w:numId w:val="2"/>
              </w:numPr>
            </w:pPr>
            <w:r w:rsidRPr="00DD12D0">
              <w:rPr>
                <w:lang w:val="en-US"/>
              </w:rPr>
              <w:t xml:space="preserve">FCC: Spectrum Frontiers - Notice of Inquiry - Spectrum Bands above 24 GHz for Mobile Radio Services (for 5G </w:t>
            </w:r>
            <w:r w:rsidR="00C44015" w:rsidRPr="00DD12D0">
              <w:rPr>
                <w:lang w:val="en-US"/>
              </w:rPr>
              <w:t>a</w:t>
            </w:r>
            <w:r w:rsidRPr="00DD12D0">
              <w:rPr>
                <w:lang w:val="en-US"/>
              </w:rPr>
              <w:t xml:space="preserve">nd </w:t>
            </w:r>
            <w:r w:rsidR="00C44015" w:rsidRPr="00DD12D0">
              <w:rPr>
                <w:lang w:val="en-US"/>
              </w:rPr>
              <w:t>m</w:t>
            </w:r>
            <w:r w:rsidRPr="00DD12D0">
              <w:rPr>
                <w:lang w:val="en-US"/>
              </w:rPr>
              <w:t>ore)</w:t>
            </w:r>
          </w:p>
        </w:tc>
      </w:tr>
    </w:tbl>
    <w:p w:rsidR="00421CAC" w:rsidRPr="00523220" w:rsidRDefault="00421CAC">
      <w:r w:rsidRPr="00523220">
        <w:rPr>
          <w:b/>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1E0E49" w:rsidRPr="00523220" w:rsidTr="004002F7">
        <w:trPr>
          <w:cantSplit/>
          <w:trHeight w:val="443"/>
        </w:trPr>
        <w:tc>
          <w:tcPr>
            <w:tcW w:w="9640" w:type="dxa"/>
            <w:tcBorders>
              <w:bottom w:val="nil"/>
            </w:tcBorders>
          </w:tcPr>
          <w:p w:rsidR="001E0E49" w:rsidRPr="00523220" w:rsidRDefault="001E0E49" w:rsidP="001E0E49">
            <w:pPr>
              <w:pStyle w:val="Kopfzeile1"/>
            </w:pPr>
            <w:r w:rsidRPr="00523220">
              <w:lastRenderedPageBreak/>
              <w:t xml:space="preserve">Proposal: </w:t>
            </w:r>
          </w:p>
        </w:tc>
      </w:tr>
      <w:tr w:rsidR="001E0E49" w:rsidRPr="00523220" w:rsidTr="004002F7">
        <w:trPr>
          <w:cantSplit/>
          <w:trHeight w:val="945"/>
        </w:trPr>
        <w:tc>
          <w:tcPr>
            <w:tcW w:w="9640" w:type="dxa"/>
            <w:tcBorders>
              <w:top w:val="nil"/>
              <w:bottom w:val="single" w:sz="4" w:space="0" w:color="auto"/>
            </w:tcBorders>
          </w:tcPr>
          <w:p w:rsidR="00977355" w:rsidRDefault="00A82B1F" w:rsidP="001E0E49">
            <w:r w:rsidRPr="00523220">
              <w:t>Thi</w:t>
            </w:r>
            <w:r w:rsidR="00154CD8">
              <w:t>s bulletin is to note by the ECC Plenary</w:t>
            </w:r>
            <w:r w:rsidRPr="00523220">
              <w:t>. More detailed input on some of the subjects covered is being input to the groups dealing with the respective subject</w:t>
            </w:r>
            <w:r w:rsidR="00E2376B" w:rsidRPr="00523220">
              <w:t>s</w:t>
            </w:r>
            <w:r w:rsidRPr="00523220">
              <w:t>.</w:t>
            </w:r>
          </w:p>
          <w:p w:rsidR="0056057A" w:rsidRDefault="0056057A" w:rsidP="001E0E49">
            <w:r>
              <w:t xml:space="preserve">The FCC re-definition of broadband may </w:t>
            </w:r>
            <w:r w:rsidR="002B2C04">
              <w:t xml:space="preserve">be of interest in WG </w:t>
            </w:r>
            <w:proofErr w:type="spellStart"/>
            <w:r w:rsidR="002B2C04">
              <w:t>NaN</w:t>
            </w:r>
            <w:proofErr w:type="spellEnd"/>
            <w:r w:rsidR="002B2C04">
              <w:t xml:space="preserve"> for </w:t>
            </w:r>
            <w:r w:rsidRPr="0056057A">
              <w:t>two work streams within PT TRIS on migration from PSTN/ISDN to Next Generation Networks and provision of comparable information on the quality of retail internet access services)</w:t>
            </w:r>
          </w:p>
          <w:p w:rsidR="002B2C04" w:rsidRDefault="002B2C04" w:rsidP="001E0E49">
            <w:r>
              <w:t>Several items could potentially be considered for the draft agenda of the next ECC-FCC-IC meeting</w:t>
            </w:r>
            <w:r w:rsidR="00C44015">
              <w:t>.</w:t>
            </w:r>
            <w:r>
              <w:t xml:space="preserve"> </w:t>
            </w:r>
            <w:r w:rsidRPr="002B2C04">
              <w:t>Activities in 3GPP RAN (RAN4) with regard to 2 GHz MSS CGC</w:t>
            </w:r>
            <w:r>
              <w:t xml:space="preserve"> may need to be clarified further.</w:t>
            </w:r>
          </w:p>
          <w:p w:rsidR="00E2376B" w:rsidRPr="00523220" w:rsidRDefault="00690A9D" w:rsidP="00804D30">
            <w:r w:rsidRPr="00523220">
              <w:t xml:space="preserve">Several </w:t>
            </w:r>
            <w:r w:rsidR="00980A99" w:rsidRPr="00523220">
              <w:t xml:space="preserve">of the </w:t>
            </w:r>
            <w:r w:rsidRPr="00523220">
              <w:t xml:space="preserve">issues </w:t>
            </w:r>
            <w:r w:rsidR="00154CD8">
              <w:t xml:space="preserve">covered in this bulletin </w:t>
            </w:r>
            <w:r w:rsidR="00980A99" w:rsidRPr="00523220">
              <w:t>should be noted or discussed at the respective WG/ PT level</w:t>
            </w:r>
            <w:r w:rsidR="00154CD8">
              <w:t xml:space="preserve">. This includes </w:t>
            </w:r>
            <w:r w:rsidR="00980A99" w:rsidRPr="00523220">
              <w:t xml:space="preserve">information related to </w:t>
            </w:r>
            <w:r w:rsidR="002B2C04">
              <w:t xml:space="preserve">TVWS, </w:t>
            </w:r>
            <w:r w:rsidR="00677187">
              <w:t xml:space="preserve">DA2GC, </w:t>
            </w:r>
            <w:r w:rsidR="002B2C04">
              <w:t>unlicensed applications, UAS/drones, and 5GHz related</w:t>
            </w:r>
            <w:r w:rsidR="00F3272D">
              <w:t>.</w:t>
            </w:r>
            <w:r w:rsidR="00980A99" w:rsidRPr="00523220">
              <w:t xml:space="preserve"> </w:t>
            </w:r>
          </w:p>
        </w:tc>
      </w:tr>
      <w:tr w:rsidR="001E0E49" w:rsidRPr="00523220" w:rsidTr="004002F7">
        <w:trPr>
          <w:cantSplit/>
          <w:trHeight w:val="431"/>
        </w:trPr>
        <w:tc>
          <w:tcPr>
            <w:tcW w:w="9640" w:type="dxa"/>
            <w:tcBorders>
              <w:bottom w:val="nil"/>
            </w:tcBorders>
          </w:tcPr>
          <w:p w:rsidR="001E0E49" w:rsidRPr="00523220" w:rsidRDefault="001E0E49" w:rsidP="001E0E49">
            <w:pPr>
              <w:pStyle w:val="Kopfzeile1"/>
            </w:pPr>
            <w:r w:rsidRPr="00523220">
              <w:t>Background:</w:t>
            </w:r>
            <w:r w:rsidR="00ED7AEC" w:rsidRPr="00523220">
              <w:t xml:space="preserve"> </w:t>
            </w:r>
          </w:p>
        </w:tc>
      </w:tr>
      <w:tr w:rsidR="001E0E49" w:rsidRPr="00523220" w:rsidTr="004002F7">
        <w:trPr>
          <w:cantSplit/>
          <w:trHeight w:val="784"/>
        </w:trPr>
        <w:tc>
          <w:tcPr>
            <w:tcW w:w="9640" w:type="dxa"/>
            <w:tcBorders>
              <w:top w:val="nil"/>
              <w:bottom w:val="single" w:sz="4" w:space="0" w:color="auto"/>
            </w:tcBorders>
          </w:tcPr>
          <w:p w:rsidR="000B27FA" w:rsidRPr="00523220" w:rsidRDefault="00A82B1F" w:rsidP="004002F7">
            <w:pPr>
              <w:rPr>
                <w:bCs/>
                <w:szCs w:val="24"/>
              </w:rPr>
            </w:pPr>
            <w:r w:rsidRPr="00523220">
              <w:rPr>
                <w:bCs/>
                <w:szCs w:val="24"/>
              </w:rPr>
              <w:t xml:space="preserve">The Office brings to each ECC meeting a bulletin on activities in radio communications in other world regions, where a regulatory dimension is raised (e.g. by innovative services or technology). </w:t>
            </w:r>
          </w:p>
          <w:p w:rsidR="001E0E49" w:rsidRPr="00523220" w:rsidRDefault="00A82B1F" w:rsidP="004002F7">
            <w:pPr>
              <w:rPr>
                <w:bCs/>
                <w:szCs w:val="24"/>
              </w:rPr>
            </w:pPr>
            <w:r w:rsidRPr="00523220">
              <w:rPr>
                <w:bCs/>
                <w:szCs w:val="24"/>
              </w:rPr>
              <w:t>The primary objective is to identify whether the ECC needs to investigate further or consider possible new actions. A secondary but more frequently addressed objective is to enable comparison to be made with the regulatory approach in other regions to subjects already treated by the ECC (including, where relevant, to the work of the CPG).</w:t>
            </w:r>
          </w:p>
        </w:tc>
      </w:tr>
    </w:tbl>
    <w:p w:rsidR="00E43F97" w:rsidRPr="00523220" w:rsidRDefault="00E43F97" w:rsidP="00E71841">
      <w:pPr>
        <w:ind w:left="360"/>
        <w:rPr>
          <w:b/>
          <w:sz w:val="28"/>
          <w:szCs w:val="28"/>
        </w:rPr>
      </w:pPr>
    </w:p>
    <w:p w:rsidR="00E71841" w:rsidRPr="00523220" w:rsidRDefault="00E43F97" w:rsidP="00E71841">
      <w:pPr>
        <w:ind w:left="360"/>
        <w:rPr>
          <w:b/>
          <w:sz w:val="28"/>
          <w:szCs w:val="28"/>
        </w:rPr>
      </w:pPr>
      <w:r w:rsidRPr="00523220">
        <w:rPr>
          <w:b/>
          <w:sz w:val="28"/>
          <w:szCs w:val="28"/>
        </w:rPr>
        <w:br w:type="page"/>
      </w:r>
    </w:p>
    <w:p w:rsidR="00697E9B" w:rsidRDefault="00C77956" w:rsidP="00897AB6">
      <w:pPr>
        <w:pStyle w:val="Paragraphedeliste"/>
        <w:numPr>
          <w:ilvl w:val="0"/>
          <w:numId w:val="3"/>
        </w:numPr>
        <w:spacing w:after="0"/>
      </w:pPr>
      <w:r w:rsidRPr="00C77956">
        <w:rPr>
          <w:b/>
          <w:sz w:val="28"/>
          <w:szCs w:val="28"/>
        </w:rPr>
        <w:lastRenderedPageBreak/>
        <w:t>FCC redefines broadband</w:t>
      </w:r>
    </w:p>
    <w:p w:rsidR="00C77956" w:rsidRDefault="00C77956" w:rsidP="00C77956"/>
    <w:p w:rsidR="00C77956" w:rsidRDefault="00C77956" w:rsidP="00C77956">
      <w:r>
        <w:t>In recent months the FCC has been signalling its intent to revise its benchmark broadband speeds. It moved in that direction at the end of January by dramatically increasing its existing benchmarks from 4 Mbps downlink/1 Mbps uplink to 25 Mbps downlink/3 Mbps uplink.</w:t>
      </w:r>
    </w:p>
    <w:p w:rsidR="00C77956" w:rsidRDefault="00C77956" w:rsidP="00C77956">
      <w:r>
        <w:t xml:space="preserve">This move by the FCC determines what </w:t>
      </w:r>
      <w:r w:rsidR="0055373D">
        <w:t>it</w:t>
      </w:r>
      <w:r>
        <w:t xml:space="preserve"> say</w:t>
      </w:r>
      <w:r w:rsidR="00C44015">
        <w:t>s</w:t>
      </w:r>
      <w:r>
        <w:t xml:space="preserve"> and do</w:t>
      </w:r>
      <w:r w:rsidR="00C44015">
        <w:t>es</w:t>
      </w:r>
      <w:r>
        <w:t xml:space="preserve"> about the status of the country’s broadband in its periodical Broadband Progress reports. Section 706 of the Telecommunications Act of 1996 requires the FCC to report annually on whether broadband “is being deployed to all Americans in a reasonable and timely fashion and to take “immediate action” if it is not. Congress defined broadband as “high quality” capability that allow users to “originate and receive high quality voice, data, graphics and video” services. </w:t>
      </w:r>
    </w:p>
    <w:p w:rsidR="0055373D" w:rsidRDefault="00C77956" w:rsidP="00C77956">
      <w:r>
        <w:t xml:space="preserve">If the FCC decides that the country is not deploying broadband in a “reasonable and timely fashion”, it could take action and that could include measures on the industry to increase broadband quality, coverage and speed. The announcement places the spotlight firmly on some of the problems relating to availability. Under the old definition large parts of the country had </w:t>
      </w:r>
      <w:r w:rsidR="0055373D">
        <w:t xml:space="preserve">what commentators considered </w:t>
      </w:r>
      <w:r>
        <w:t>poor coverage</w:t>
      </w:r>
      <w:r w:rsidR="00804D30">
        <w:t xml:space="preserve"> </w:t>
      </w:r>
      <w:r w:rsidR="0055373D">
        <w:t xml:space="preserve">with a choice </w:t>
      </w:r>
      <w:r>
        <w:t xml:space="preserve">between very expensive or very slow services. </w:t>
      </w:r>
    </w:p>
    <w:p w:rsidR="00C77956" w:rsidRDefault="0055373D" w:rsidP="00C77956">
      <w:r>
        <w:t>U</w:t>
      </w:r>
      <w:r w:rsidR="00C77956">
        <w:t>nder the old definition, just over 6 percent of households could not get access to "broadband</w:t>
      </w:r>
      <w:r>
        <w:t>” which satisfied these criteria</w:t>
      </w:r>
      <w:r w:rsidR="00C77956">
        <w:t xml:space="preserve">. That figure jumps to nearly 20% under the new definition. In terms of incentivising further investment in the supply-side the FCC emphasised that subsidies are only available to network deployments offering at least 10Mbps. </w:t>
      </w:r>
    </w:p>
    <w:p w:rsidR="00C77956" w:rsidRDefault="00C77956" w:rsidP="00C77956">
      <w:r>
        <w:t xml:space="preserve">Reaction to the announcement was mixed with consumer groups predictably responding positively to the announcement while the industry criticised the move. The NCTA, the cable industry's chief lobbying organisation, issued a press release calling the 25 Mbps metric "arbitrary" and unrealistic. </w:t>
      </w:r>
      <w:r w:rsidR="0055373D">
        <w:t xml:space="preserve">NCTA noted that </w:t>
      </w:r>
      <w:r>
        <w:t xml:space="preserve">cable network Internet speeds already meet and exceed the FCC’s new broadband description, </w:t>
      </w:r>
      <w:r w:rsidR="0055373D">
        <w:t xml:space="preserve">but considered </w:t>
      </w:r>
      <w:r>
        <w:t xml:space="preserve"> the Commission</w:t>
      </w:r>
      <w:r w:rsidR="0055373D">
        <w:t xml:space="preserve">’s </w:t>
      </w:r>
      <w:r>
        <w:t xml:space="preserve">definition of broadband in its Section 706 report </w:t>
      </w:r>
      <w:r w:rsidR="0055373D">
        <w:t xml:space="preserve">was arbitrary and not related to </w:t>
      </w:r>
      <w:r>
        <w:t>how millions of consumers currently access the Internet.</w:t>
      </w:r>
    </w:p>
    <w:p w:rsidR="00C77956" w:rsidRDefault="0055373D" w:rsidP="00C77956">
      <w:r>
        <w:t>T</w:t>
      </w:r>
      <w:r w:rsidR="00C77956">
        <w:t>hose service providers offering slower speeds will no longer be able to refer to their products as “Broadband” It is hoped that this move will shake up competition in the market and encourage further investment in network deployments right across the country.</w:t>
      </w:r>
    </w:p>
    <w:p w:rsidR="002157DF" w:rsidRDefault="00C77956" w:rsidP="00C77956">
      <w:r>
        <w:t xml:space="preserve">The full FCC statement is available at: </w:t>
      </w:r>
      <w:hyperlink r:id="rId10" w:history="1">
        <w:r w:rsidRPr="00231023">
          <w:rPr>
            <w:rStyle w:val="Lienhypertexte"/>
          </w:rPr>
          <w:t>http://www.fcc.gov/document/fcc-finds-us-broadband-deployment-not-keeping-pace</w:t>
        </w:r>
      </w:hyperlink>
      <w:r w:rsidR="00804D30">
        <w:t>.</w:t>
      </w:r>
    </w:p>
    <w:p w:rsidR="00C77956" w:rsidRDefault="001C5CD3" w:rsidP="00322C20">
      <w:r w:rsidRPr="001C5CD3">
        <w:t>(Relates</w:t>
      </w:r>
      <w:r w:rsidR="002157DF" w:rsidRPr="001C5CD3">
        <w:t xml:space="preserve"> to WG </w:t>
      </w:r>
      <w:proofErr w:type="spellStart"/>
      <w:proofErr w:type="gramStart"/>
      <w:r w:rsidR="002157DF" w:rsidRPr="001C5CD3">
        <w:t>NaN</w:t>
      </w:r>
      <w:proofErr w:type="spellEnd"/>
      <w:proofErr w:type="gramEnd"/>
      <w:r w:rsidR="00576387" w:rsidRPr="001C5CD3">
        <w:t>; to two work streams within PT TRIS</w:t>
      </w:r>
      <w:r w:rsidRPr="001C5CD3">
        <w:t xml:space="preserve"> on m</w:t>
      </w:r>
      <w:r w:rsidR="00576387" w:rsidRPr="001C5CD3">
        <w:t>igration from PSTN/ISDN to Next Generation Networks</w:t>
      </w:r>
      <w:r w:rsidRPr="001C5CD3">
        <w:t xml:space="preserve"> and p</w:t>
      </w:r>
      <w:r w:rsidR="00576387" w:rsidRPr="001C5CD3">
        <w:t>rovision of comparable information on the quality of retail internet access services</w:t>
      </w:r>
      <w:r w:rsidRPr="001C5CD3">
        <w:t>)</w:t>
      </w:r>
    </w:p>
    <w:p w:rsidR="001C5CD3" w:rsidRDefault="001C5CD3" w:rsidP="00322C20"/>
    <w:p w:rsidR="00C77956" w:rsidRDefault="00C77956" w:rsidP="00897AB6">
      <w:pPr>
        <w:pStyle w:val="Paragraphedeliste"/>
        <w:numPr>
          <w:ilvl w:val="0"/>
          <w:numId w:val="3"/>
        </w:numPr>
        <w:spacing w:after="0"/>
        <w:rPr>
          <w:b/>
          <w:sz w:val="28"/>
          <w:szCs w:val="28"/>
        </w:rPr>
      </w:pPr>
      <w:r w:rsidRPr="00C77956">
        <w:rPr>
          <w:b/>
          <w:sz w:val="28"/>
          <w:szCs w:val="28"/>
        </w:rPr>
        <w:t>Industry Canada's Radio Standards Specifications RSS-222</w:t>
      </w:r>
      <w:r>
        <w:rPr>
          <w:b/>
          <w:sz w:val="28"/>
          <w:szCs w:val="28"/>
        </w:rPr>
        <w:t xml:space="preserve"> </w:t>
      </w:r>
      <w:r w:rsidRPr="00C77956">
        <w:rPr>
          <w:b/>
          <w:sz w:val="28"/>
          <w:szCs w:val="28"/>
        </w:rPr>
        <w:t xml:space="preserve">on White Space Devices (WSDs) </w:t>
      </w:r>
    </w:p>
    <w:p w:rsidR="00C77956" w:rsidRPr="00C77956" w:rsidRDefault="00C77956" w:rsidP="00C77956">
      <w:pPr>
        <w:spacing w:after="0"/>
        <w:rPr>
          <w:b/>
          <w:sz w:val="28"/>
          <w:szCs w:val="28"/>
        </w:rPr>
      </w:pPr>
      <w:r w:rsidRPr="00C77956">
        <w:rPr>
          <w:b/>
          <w:sz w:val="28"/>
          <w:szCs w:val="28"/>
        </w:rPr>
        <w:t xml:space="preserve"> </w:t>
      </w:r>
    </w:p>
    <w:p w:rsidR="00C77956" w:rsidRPr="00C77956" w:rsidRDefault="00C77956" w:rsidP="00C77956">
      <w:pPr>
        <w:jc w:val="left"/>
        <w:rPr>
          <w:rFonts w:eastAsia="Calibri" w:cs="Arial"/>
          <w:szCs w:val="22"/>
          <w:lang w:eastAsia="en-US"/>
        </w:rPr>
      </w:pPr>
      <w:r w:rsidRPr="00C77956">
        <w:rPr>
          <w:rFonts w:eastAsia="Calibri" w:cs="Arial"/>
          <w:szCs w:val="22"/>
          <w:lang w:eastAsia="en-US"/>
        </w:rPr>
        <w:t xml:space="preserve">Industry Canada published on 5 February 2015 the new RSS-222 on White Space Devices (WSDs) </w:t>
      </w:r>
      <w:hyperlink r:id="rId11" w:history="1">
        <w:r w:rsidRPr="00C77956">
          <w:rPr>
            <w:rFonts w:eastAsia="Calibri" w:cs="Arial"/>
            <w:color w:val="0000FF"/>
            <w:szCs w:val="22"/>
            <w:u w:val="single"/>
            <w:lang w:eastAsia="en-US"/>
          </w:rPr>
          <w:t>Link</w:t>
        </w:r>
      </w:hyperlink>
      <w:r w:rsidRPr="00C77956">
        <w:rPr>
          <w:rFonts w:eastAsia="Calibri" w:cs="Arial"/>
          <w:szCs w:val="22"/>
          <w:lang w:eastAsia="en-US"/>
        </w:rPr>
        <w:t>. Industry Canada's Radio Standards Specifications RSS-222 describes the various technical and operational requirements and processes to be followed when demonstrating compliance of the white space radio apparatus.</w:t>
      </w:r>
    </w:p>
    <w:p w:rsidR="00C77956" w:rsidRDefault="00C77956" w:rsidP="00C77956">
      <w:pPr>
        <w:rPr>
          <w:rFonts w:eastAsia="Calibri" w:cs="Arial"/>
          <w:szCs w:val="22"/>
          <w:lang w:eastAsia="en-US"/>
        </w:rPr>
      </w:pPr>
      <w:r w:rsidRPr="00C77956">
        <w:rPr>
          <w:rFonts w:eastAsia="Calibri" w:cs="Arial"/>
          <w:szCs w:val="22"/>
          <w:lang w:eastAsia="en-US"/>
        </w:rPr>
        <w:t xml:space="preserve">Industry Canada emphasises that the TVWS technology uses available television </w:t>
      </w:r>
      <w:r w:rsidR="0055373D">
        <w:rPr>
          <w:rFonts w:eastAsia="Calibri" w:cs="Arial"/>
          <w:szCs w:val="22"/>
          <w:lang w:eastAsia="en-US"/>
        </w:rPr>
        <w:t>frequencies</w:t>
      </w:r>
      <w:r w:rsidR="0055373D" w:rsidRPr="00C77956">
        <w:rPr>
          <w:rFonts w:eastAsia="Calibri" w:cs="Arial"/>
          <w:szCs w:val="22"/>
          <w:lang w:eastAsia="en-US"/>
        </w:rPr>
        <w:t xml:space="preserve"> </w:t>
      </w:r>
      <w:r w:rsidRPr="00C77956">
        <w:rPr>
          <w:rFonts w:eastAsia="Calibri" w:cs="Arial"/>
          <w:szCs w:val="22"/>
          <w:lang w:eastAsia="en-US"/>
        </w:rPr>
        <w:t xml:space="preserve">to deliver improved, Wi-Fi–like services in rural regions. TVWS devices will initially provide broadband Internet, similar to Wi-Fi, but with </w:t>
      </w:r>
      <w:r w:rsidR="0055373D">
        <w:rPr>
          <w:rFonts w:eastAsia="Calibri" w:cs="Arial"/>
          <w:szCs w:val="22"/>
          <w:lang w:eastAsia="en-US"/>
        </w:rPr>
        <w:t xml:space="preserve">relatively </w:t>
      </w:r>
      <w:r w:rsidRPr="00C77956">
        <w:rPr>
          <w:rFonts w:eastAsia="Calibri" w:cs="Arial"/>
          <w:szCs w:val="22"/>
          <w:lang w:eastAsia="en-US"/>
        </w:rPr>
        <w:t xml:space="preserve">expanded coverage. This move will allow these devices to be used in Canada without interfering with existing TV broadcasts. Industry Canada follows with this step the policy permitting the use of TVWS devices in 2012 with a similar approach to </w:t>
      </w:r>
      <w:r w:rsidR="0055373D">
        <w:rPr>
          <w:rFonts w:eastAsia="Calibri" w:cs="Arial"/>
          <w:szCs w:val="22"/>
          <w:lang w:eastAsia="en-US"/>
        </w:rPr>
        <w:t xml:space="preserve">that which </w:t>
      </w:r>
      <w:r w:rsidRPr="00C77956">
        <w:rPr>
          <w:rFonts w:eastAsia="Calibri" w:cs="Arial"/>
          <w:szCs w:val="22"/>
          <w:lang w:eastAsia="en-US"/>
        </w:rPr>
        <w:t>The United States has taken.</w:t>
      </w:r>
    </w:p>
    <w:p w:rsidR="00C77956" w:rsidRDefault="00C77956" w:rsidP="00C77956">
      <w:pPr>
        <w:rPr>
          <w:rFonts w:eastAsia="Calibri" w:cs="Arial"/>
          <w:szCs w:val="22"/>
          <w:lang w:eastAsia="en-US"/>
        </w:rPr>
      </w:pPr>
      <w:r>
        <w:rPr>
          <w:rFonts w:eastAsia="Calibri" w:cs="Arial"/>
          <w:szCs w:val="22"/>
          <w:lang w:eastAsia="en-US"/>
        </w:rPr>
        <w:lastRenderedPageBreak/>
        <w:t>The policy approach for TVWS includes:</w:t>
      </w:r>
    </w:p>
    <w:p w:rsidR="00C77956" w:rsidRPr="00C77956" w:rsidRDefault="00C77956" w:rsidP="00C77956">
      <w:pPr>
        <w:spacing w:after="200" w:line="276" w:lineRule="auto"/>
        <w:ind w:left="720"/>
        <w:contextualSpacing/>
        <w:jc w:val="left"/>
        <w:rPr>
          <w:rFonts w:eastAsia="Calibri" w:cs="Arial"/>
          <w:b/>
          <w:szCs w:val="22"/>
          <w:lang w:eastAsia="en-US"/>
        </w:rPr>
      </w:pPr>
    </w:p>
    <w:p w:rsidR="00C77956" w:rsidRPr="00C77956" w:rsidRDefault="00C77956" w:rsidP="00897AB6">
      <w:pPr>
        <w:numPr>
          <w:ilvl w:val="0"/>
          <w:numId w:val="4"/>
        </w:numPr>
        <w:spacing w:after="200" w:line="276" w:lineRule="auto"/>
        <w:contextualSpacing/>
        <w:jc w:val="left"/>
        <w:rPr>
          <w:rFonts w:eastAsia="Calibri" w:cs="Arial"/>
          <w:szCs w:val="22"/>
          <w:lang w:val="en-US" w:eastAsia="en-US"/>
        </w:rPr>
      </w:pPr>
      <w:r w:rsidRPr="00C77956">
        <w:rPr>
          <w:rFonts w:eastAsia="Calibri" w:cs="Arial"/>
          <w:szCs w:val="22"/>
          <w:lang w:val="en-US" w:eastAsia="en-US"/>
        </w:rPr>
        <w:t>Initial focus on geo-location database concept;</w:t>
      </w:r>
    </w:p>
    <w:p w:rsidR="00C77956" w:rsidRPr="00C77956" w:rsidRDefault="00C77956" w:rsidP="00897AB6">
      <w:pPr>
        <w:numPr>
          <w:ilvl w:val="0"/>
          <w:numId w:val="4"/>
        </w:numPr>
        <w:spacing w:after="200" w:line="276" w:lineRule="auto"/>
        <w:contextualSpacing/>
        <w:jc w:val="left"/>
        <w:rPr>
          <w:rFonts w:eastAsia="Calibri" w:cs="Arial"/>
          <w:szCs w:val="22"/>
          <w:lang w:val="en-US" w:eastAsia="en-US"/>
        </w:rPr>
      </w:pPr>
      <w:r w:rsidRPr="00C77956">
        <w:rPr>
          <w:rFonts w:eastAsia="Calibri" w:cs="Arial"/>
          <w:szCs w:val="22"/>
          <w:lang w:val="en-US" w:eastAsia="en-US"/>
        </w:rPr>
        <w:t>TVWS devices permitted on a no-protection, no interference basis to licensed users in the band;</w:t>
      </w:r>
    </w:p>
    <w:p w:rsidR="00C77956" w:rsidRPr="00C77956" w:rsidRDefault="00C77956" w:rsidP="00897AB6">
      <w:pPr>
        <w:numPr>
          <w:ilvl w:val="0"/>
          <w:numId w:val="4"/>
        </w:numPr>
        <w:spacing w:after="200" w:line="276" w:lineRule="auto"/>
        <w:contextualSpacing/>
        <w:jc w:val="left"/>
        <w:rPr>
          <w:rFonts w:eastAsia="Calibri" w:cs="Arial"/>
          <w:szCs w:val="22"/>
          <w:lang w:val="en-US" w:eastAsia="en-US"/>
        </w:rPr>
      </w:pPr>
      <w:r>
        <w:rPr>
          <w:rFonts w:eastAsia="Calibri" w:cs="Arial"/>
          <w:szCs w:val="22"/>
          <w:lang w:val="en-US" w:eastAsia="en-US"/>
        </w:rPr>
        <w:t>O</w:t>
      </w:r>
      <w:r w:rsidR="00313CE7">
        <w:rPr>
          <w:rFonts w:eastAsia="Calibri" w:cs="Arial"/>
          <w:szCs w:val="22"/>
          <w:lang w:val="en-US" w:eastAsia="en-US"/>
        </w:rPr>
        <w:t xml:space="preserve">nly </w:t>
      </w:r>
      <w:r w:rsidRPr="00C77956">
        <w:rPr>
          <w:rFonts w:eastAsia="Calibri" w:cs="Arial"/>
          <w:szCs w:val="22"/>
          <w:lang w:val="en-US" w:eastAsia="en-US"/>
        </w:rPr>
        <w:t xml:space="preserve"> license</w:t>
      </w:r>
      <w:r w:rsidR="00313CE7">
        <w:rPr>
          <w:rFonts w:eastAsia="Calibri" w:cs="Arial"/>
          <w:szCs w:val="22"/>
          <w:lang w:val="en-US" w:eastAsia="en-US"/>
        </w:rPr>
        <w:t>d users</w:t>
      </w:r>
      <w:r w:rsidRPr="00C77956">
        <w:rPr>
          <w:rFonts w:eastAsia="Calibri" w:cs="Arial"/>
          <w:szCs w:val="22"/>
          <w:lang w:val="en-US" w:eastAsia="en-US"/>
        </w:rPr>
        <w:t xml:space="preserve"> </w:t>
      </w:r>
      <w:r w:rsidR="00313CE7">
        <w:rPr>
          <w:rFonts w:eastAsia="Calibri" w:cs="Arial"/>
          <w:szCs w:val="22"/>
          <w:lang w:val="en-US" w:eastAsia="en-US"/>
        </w:rPr>
        <w:t xml:space="preserve">will </w:t>
      </w:r>
      <w:r w:rsidRPr="00C77956">
        <w:rPr>
          <w:rFonts w:eastAsia="Calibri" w:cs="Arial"/>
          <w:szCs w:val="22"/>
          <w:lang w:val="en-US" w:eastAsia="en-US"/>
        </w:rPr>
        <w:t>receive protection from TVWS devices;</w:t>
      </w:r>
    </w:p>
    <w:p w:rsidR="00C77956" w:rsidRPr="00C77956" w:rsidRDefault="00C77956" w:rsidP="00897AB6">
      <w:pPr>
        <w:numPr>
          <w:ilvl w:val="0"/>
          <w:numId w:val="4"/>
        </w:numPr>
        <w:spacing w:after="200" w:line="276" w:lineRule="auto"/>
        <w:contextualSpacing/>
        <w:jc w:val="left"/>
        <w:rPr>
          <w:rFonts w:eastAsia="Calibri" w:cs="Arial"/>
          <w:szCs w:val="22"/>
          <w:lang w:val="en-US" w:eastAsia="en-US"/>
        </w:rPr>
      </w:pPr>
      <w:r w:rsidRPr="00C77956">
        <w:rPr>
          <w:rFonts w:eastAsia="Calibri" w:cs="Arial"/>
          <w:szCs w:val="22"/>
          <w:lang w:val="en-US" w:eastAsia="en-US"/>
        </w:rPr>
        <w:t>No limits on number of database administrators;</w:t>
      </w:r>
    </w:p>
    <w:p w:rsidR="00C77956" w:rsidRPr="00C77956" w:rsidRDefault="00C77956" w:rsidP="00897AB6">
      <w:pPr>
        <w:numPr>
          <w:ilvl w:val="0"/>
          <w:numId w:val="4"/>
        </w:numPr>
        <w:spacing w:after="200" w:line="276" w:lineRule="auto"/>
        <w:contextualSpacing/>
        <w:jc w:val="left"/>
        <w:rPr>
          <w:rFonts w:eastAsia="Calibri" w:cs="Arial"/>
          <w:szCs w:val="22"/>
          <w:lang w:val="en-US" w:eastAsia="en-US"/>
        </w:rPr>
      </w:pPr>
      <w:r w:rsidRPr="00C77956">
        <w:rPr>
          <w:rFonts w:eastAsia="Calibri" w:cs="Arial"/>
          <w:szCs w:val="22"/>
          <w:lang w:val="en-US" w:eastAsia="en-US"/>
        </w:rPr>
        <w:t>Spectrum sensing is permitted by policy but initial implementation of rules will focus on a geo-location database;</w:t>
      </w:r>
    </w:p>
    <w:p w:rsidR="00C77956" w:rsidRPr="00C77956" w:rsidRDefault="00C77956" w:rsidP="00897AB6">
      <w:pPr>
        <w:numPr>
          <w:ilvl w:val="0"/>
          <w:numId w:val="4"/>
        </w:numPr>
        <w:spacing w:after="200" w:line="276" w:lineRule="auto"/>
        <w:contextualSpacing/>
        <w:jc w:val="left"/>
        <w:rPr>
          <w:rFonts w:eastAsia="Calibri" w:cs="Arial"/>
          <w:szCs w:val="22"/>
          <w:lang w:val="en-US" w:eastAsia="en-US"/>
        </w:rPr>
      </w:pPr>
      <w:proofErr w:type="spellStart"/>
      <w:r w:rsidRPr="00C77956">
        <w:rPr>
          <w:rFonts w:eastAsia="Calibri" w:cs="Arial"/>
          <w:szCs w:val="22"/>
          <w:lang w:val="en-US" w:eastAsia="en-US"/>
        </w:rPr>
        <w:t>Licen</w:t>
      </w:r>
      <w:r w:rsidR="00313CE7">
        <w:rPr>
          <w:rFonts w:eastAsia="Calibri" w:cs="Arial"/>
          <w:szCs w:val="22"/>
          <w:lang w:val="en-US" w:eastAsia="en-US"/>
        </w:rPr>
        <w:t>c</w:t>
      </w:r>
      <w:r w:rsidRPr="00C77956">
        <w:rPr>
          <w:rFonts w:eastAsia="Calibri" w:cs="Arial"/>
          <w:szCs w:val="22"/>
          <w:lang w:val="en-US" w:eastAsia="en-US"/>
        </w:rPr>
        <w:t>e</w:t>
      </w:r>
      <w:proofErr w:type="spellEnd"/>
      <w:r w:rsidRPr="00C77956">
        <w:rPr>
          <w:rFonts w:eastAsia="Calibri" w:cs="Arial"/>
          <w:szCs w:val="22"/>
          <w:lang w:val="en-US" w:eastAsia="en-US"/>
        </w:rPr>
        <w:t>-exempt TVWS devices will require</w:t>
      </w:r>
      <w:r w:rsidR="00C44015">
        <w:rPr>
          <w:rFonts w:eastAsia="Calibri" w:cs="Arial"/>
          <w:szCs w:val="22"/>
          <w:lang w:val="en-US" w:eastAsia="en-US"/>
        </w:rPr>
        <w:t xml:space="preserve"> type approval </w:t>
      </w:r>
      <w:r w:rsidRPr="00C77956">
        <w:rPr>
          <w:rFonts w:eastAsia="Calibri" w:cs="Arial"/>
          <w:szCs w:val="22"/>
          <w:lang w:val="en-US" w:eastAsia="en-US"/>
        </w:rPr>
        <w:t>certification.</w:t>
      </w:r>
    </w:p>
    <w:p w:rsidR="00C77956" w:rsidRPr="00C77956" w:rsidRDefault="00C77956" w:rsidP="00C77956">
      <w:pPr>
        <w:rPr>
          <w:lang w:val="en-US"/>
        </w:rPr>
      </w:pPr>
    </w:p>
    <w:p w:rsidR="00C77956" w:rsidRDefault="00C268AC" w:rsidP="00322C20">
      <w:r>
        <w:t>(</w:t>
      </w:r>
      <w:proofErr w:type="gramStart"/>
      <w:r>
        <w:t>to</w:t>
      </w:r>
      <w:proofErr w:type="gramEnd"/>
      <w:r>
        <w:t xml:space="preserve"> be taken into account by PT FM53, also section 4.5 (possible update) of Draft ECC Report 236 in public consultation – information of TVWS approaches outside of Europe)</w:t>
      </w:r>
    </w:p>
    <w:p w:rsidR="00C268AC" w:rsidRDefault="00C268AC" w:rsidP="00322C20"/>
    <w:p w:rsidR="00F62F8F" w:rsidRPr="00F62F8F" w:rsidRDefault="00F62F8F" w:rsidP="00897AB6">
      <w:pPr>
        <w:pStyle w:val="Paragraphedeliste"/>
        <w:numPr>
          <w:ilvl w:val="0"/>
          <w:numId w:val="3"/>
        </w:numPr>
        <w:spacing w:after="0"/>
        <w:rPr>
          <w:b/>
          <w:sz w:val="28"/>
          <w:szCs w:val="28"/>
        </w:rPr>
      </w:pPr>
      <w:r w:rsidRPr="00F62F8F">
        <w:rPr>
          <w:b/>
          <w:sz w:val="28"/>
          <w:szCs w:val="28"/>
        </w:rPr>
        <w:t>Activities in 3GPP RAN (RAN4) with regard to 2 GHz MSS CGC (1980-2010 MHz and 2170-2200 MHz)</w:t>
      </w:r>
    </w:p>
    <w:p w:rsidR="00F62F8F" w:rsidRDefault="00F62F8F" w:rsidP="00F62F8F"/>
    <w:p w:rsidR="00F62F8F" w:rsidRPr="00F62F8F" w:rsidRDefault="00F62F8F" w:rsidP="00F62F8F">
      <w:pPr>
        <w:rPr>
          <w:rFonts w:eastAsia="Calibri" w:cs="Arial"/>
          <w:szCs w:val="22"/>
          <w:lang w:val="en-US" w:eastAsia="da-DK"/>
        </w:rPr>
      </w:pPr>
      <w:r>
        <w:t>At the 3GPP TSG-RAN WG4 Meeting #72bis</w:t>
      </w:r>
      <w:r>
        <w:tab/>
        <w:t xml:space="preserve">in Singapore, 6 – 10 Oct, 2014, a contribution was made; </w:t>
      </w:r>
      <w:r>
        <w:rPr>
          <w:rFonts w:eastAsia="Calibri" w:cs="Arial"/>
          <w:szCs w:val="22"/>
          <w:lang w:eastAsia="da-DK"/>
        </w:rPr>
        <w:t>c</w:t>
      </w:r>
      <w:r w:rsidRPr="00F62F8F">
        <w:rPr>
          <w:rFonts w:eastAsia="Calibri" w:cs="Arial"/>
          <w:szCs w:val="22"/>
          <w:lang w:eastAsia="da-DK"/>
        </w:rPr>
        <w:t>urrently in 3GPP/RAN4 there is a study item to have a new band considering B1 (2.1 GHz cellular band) + MSS band.</w:t>
      </w:r>
    </w:p>
    <w:p w:rsidR="00F62F8F" w:rsidRPr="00F62F8F" w:rsidRDefault="00F62F8F" w:rsidP="00F62F8F">
      <w:pPr>
        <w:spacing w:after="0"/>
        <w:jc w:val="left"/>
        <w:rPr>
          <w:lang w:val="en-US"/>
        </w:rPr>
      </w:pPr>
      <w:r w:rsidRPr="00F62F8F">
        <w:rPr>
          <w:rFonts w:eastAsia="Calibri" w:cs="Arial"/>
          <w:szCs w:val="22"/>
          <w:lang w:eastAsia="da-DK"/>
        </w:rPr>
        <w:t xml:space="preserve">See e.g.: </w:t>
      </w:r>
      <w:hyperlink r:id="rId12" w:history="1">
        <w:r w:rsidRPr="00F62F8F">
          <w:rPr>
            <w:rFonts w:eastAsia="Calibri" w:cs="Arial"/>
            <w:color w:val="0083BE"/>
            <w:szCs w:val="22"/>
            <w:u w:val="single"/>
            <w:lang w:eastAsia="da-DK"/>
          </w:rPr>
          <w:t>RP-141710</w:t>
        </w:r>
      </w:hyperlink>
      <w:r w:rsidRPr="00F62F8F">
        <w:rPr>
          <w:rFonts w:eastAsia="Calibri" w:cs="Arial"/>
          <w:szCs w:val="22"/>
          <w:lang w:eastAsia="da-DK"/>
        </w:rPr>
        <w:t xml:space="preserve"> (</w:t>
      </w:r>
      <w:hyperlink r:id="rId13" w:history="1">
        <w:r w:rsidRPr="00F62F8F">
          <w:rPr>
            <w:rFonts w:eastAsia="Calibri" w:cs="Arial"/>
            <w:color w:val="0083BE"/>
            <w:szCs w:val="22"/>
            <w:u w:val="single"/>
            <w:lang w:eastAsia="da-DK"/>
          </w:rPr>
          <w:t>http://www.3gpp.org/ftp/tsg_ran/tsg_ran/TSGR_65/Docs/</w:t>
        </w:r>
      </w:hyperlink>
      <w:r w:rsidRPr="00F62F8F">
        <w:rPr>
          <w:rFonts w:eastAsia="Calibri" w:cs="Arial"/>
          <w:szCs w:val="22"/>
          <w:lang w:eastAsia="da-DK"/>
        </w:rPr>
        <w:t>)</w:t>
      </w:r>
    </w:p>
    <w:p w:rsidR="00167D46" w:rsidRDefault="00F62F8F" w:rsidP="00322C20">
      <w:r>
        <w:t xml:space="preserve"> </w:t>
      </w:r>
    </w:p>
    <w:p w:rsidR="00167D46" w:rsidRDefault="00167D46" w:rsidP="00322C20">
      <w:r>
        <w:t>The following extract from 3GPP work database shows the relation to 3GPP specifications:</w:t>
      </w:r>
    </w:p>
    <w:p w:rsidR="00167D46" w:rsidRDefault="00167D46" w:rsidP="00322C20">
      <w:r>
        <w:rPr>
          <w:noProof/>
          <w:lang w:val="fr-FR" w:eastAsia="fr-FR"/>
        </w:rPr>
        <w:drawing>
          <wp:inline distT="0" distB="0" distL="0" distR="0" wp14:anchorId="6056C133" wp14:editId="7B3E985E">
            <wp:extent cx="5941060" cy="290261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1060" cy="2902612"/>
                    </a:xfrm>
                    <a:prstGeom prst="rect">
                      <a:avLst/>
                    </a:prstGeom>
                  </pic:spPr>
                </pic:pic>
              </a:graphicData>
            </a:graphic>
          </wp:inline>
        </w:drawing>
      </w:r>
    </w:p>
    <w:p w:rsidR="00167D46" w:rsidRDefault="00167D46" w:rsidP="00322C20"/>
    <w:p w:rsidR="00167D46" w:rsidRDefault="00167D46" w:rsidP="00322C20">
      <w:r>
        <w:rPr>
          <w:noProof/>
          <w:lang w:val="fr-FR" w:eastAsia="fr-FR"/>
        </w:rPr>
        <w:drawing>
          <wp:inline distT="0" distB="0" distL="0" distR="0" wp14:anchorId="2B683BFF" wp14:editId="58D2640D">
            <wp:extent cx="5941060" cy="34435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1060" cy="344357"/>
                    </a:xfrm>
                    <a:prstGeom prst="rect">
                      <a:avLst/>
                    </a:prstGeom>
                  </pic:spPr>
                </pic:pic>
              </a:graphicData>
            </a:graphic>
          </wp:inline>
        </w:drawing>
      </w:r>
    </w:p>
    <w:p w:rsidR="00F62F8F" w:rsidRDefault="00F62F8F" w:rsidP="00C268AC">
      <w:pPr>
        <w:spacing w:after="0"/>
        <w:jc w:val="left"/>
        <w:rPr>
          <w:rFonts w:eastAsia="Calibri" w:cs="Arial"/>
          <w:color w:val="652D86"/>
          <w:szCs w:val="22"/>
          <w:lang w:val="en-US" w:eastAsia="da-DK"/>
        </w:rPr>
      </w:pPr>
    </w:p>
    <w:p w:rsidR="002157DF" w:rsidRDefault="002157DF" w:rsidP="00C268AC">
      <w:pPr>
        <w:spacing w:after="0"/>
        <w:jc w:val="left"/>
        <w:rPr>
          <w:rFonts w:eastAsia="Calibri" w:cs="Arial"/>
          <w:szCs w:val="22"/>
          <w:lang w:val="en-US" w:eastAsia="da-DK"/>
        </w:rPr>
      </w:pPr>
      <w:r w:rsidRPr="002157DF">
        <w:rPr>
          <w:rFonts w:eastAsia="Calibri" w:cs="Arial"/>
          <w:szCs w:val="22"/>
          <w:lang w:val="en-US" w:eastAsia="da-DK"/>
        </w:rPr>
        <w:t xml:space="preserve">The MSS band for Complementary Ground Components (CGCs) deployment in Region 1 was studied in </w:t>
      </w:r>
      <w:r>
        <w:rPr>
          <w:rFonts w:eastAsia="Calibri" w:cs="Arial"/>
          <w:szCs w:val="22"/>
          <w:lang w:val="en-US" w:eastAsia="da-DK"/>
        </w:rPr>
        <w:t xml:space="preserve">3GPP </w:t>
      </w:r>
      <w:r w:rsidRPr="002157DF">
        <w:rPr>
          <w:rFonts w:eastAsia="Calibri" w:cs="Arial"/>
          <w:szCs w:val="22"/>
          <w:lang w:val="en-US" w:eastAsia="da-DK"/>
        </w:rPr>
        <w:t xml:space="preserve">TR 37.846. A new WID was started in RAN #65 for MSS + B1 with 2 x 90 MHz introduction in Europe. </w:t>
      </w:r>
      <w:r>
        <w:rPr>
          <w:rFonts w:eastAsia="Calibri" w:cs="Arial"/>
          <w:szCs w:val="22"/>
          <w:lang w:val="en-US" w:eastAsia="da-DK"/>
        </w:rPr>
        <w:t xml:space="preserve">The input at the </w:t>
      </w:r>
      <w:r w:rsidRPr="002157DF">
        <w:rPr>
          <w:rFonts w:eastAsia="Calibri" w:cs="Arial"/>
          <w:szCs w:val="22"/>
          <w:lang w:val="en-US" w:eastAsia="da-DK"/>
        </w:rPr>
        <w:t xml:space="preserve">3GPP TSG-RAN WG4 Meeting #72bis </w:t>
      </w:r>
      <w:r>
        <w:rPr>
          <w:rFonts w:eastAsia="Calibri" w:cs="Arial"/>
          <w:szCs w:val="22"/>
          <w:lang w:val="en-US" w:eastAsia="da-DK"/>
        </w:rPr>
        <w:t xml:space="preserve">raised a question </w:t>
      </w:r>
      <w:r>
        <w:rPr>
          <w:rFonts w:eastAsia="Calibri" w:cs="Arial"/>
          <w:szCs w:val="22"/>
          <w:lang w:val="en-US" w:eastAsia="da-DK"/>
        </w:rPr>
        <w:lastRenderedPageBreak/>
        <w:t xml:space="preserve">on the </w:t>
      </w:r>
      <w:r w:rsidRPr="002157DF">
        <w:rPr>
          <w:rFonts w:eastAsia="Calibri" w:cs="Arial"/>
          <w:szCs w:val="22"/>
          <w:lang w:val="en-US" w:eastAsia="da-DK"/>
        </w:rPr>
        <w:t xml:space="preserve">MSS complementary ground </w:t>
      </w:r>
      <w:r w:rsidR="00C44015">
        <w:rPr>
          <w:rFonts w:eastAsia="Calibri" w:cs="Arial"/>
          <w:szCs w:val="22"/>
          <w:lang w:val="en-US" w:eastAsia="da-DK"/>
        </w:rPr>
        <w:t>component</w:t>
      </w:r>
      <w:r w:rsidRPr="002157DF">
        <w:rPr>
          <w:rFonts w:eastAsia="Calibri" w:cs="Arial"/>
          <w:szCs w:val="22"/>
          <w:lang w:val="en-US" w:eastAsia="da-DK"/>
        </w:rPr>
        <w:t xml:space="preserve"> </w:t>
      </w:r>
      <w:proofErr w:type="gramStart"/>
      <w:r w:rsidRPr="002157DF">
        <w:rPr>
          <w:rFonts w:eastAsia="Calibri" w:cs="Arial"/>
          <w:szCs w:val="22"/>
          <w:lang w:val="en-US" w:eastAsia="da-DK"/>
        </w:rPr>
        <w:t>usage</w:t>
      </w:r>
      <w:r>
        <w:rPr>
          <w:rFonts w:eastAsia="Calibri" w:cs="Arial"/>
          <w:szCs w:val="22"/>
          <w:lang w:val="en-US" w:eastAsia="da-DK"/>
        </w:rPr>
        <w:t>,</w:t>
      </w:r>
      <w:proofErr w:type="gramEnd"/>
      <w:r w:rsidRPr="002157DF">
        <w:rPr>
          <w:rFonts w:eastAsia="Calibri" w:cs="Arial"/>
          <w:szCs w:val="22"/>
          <w:lang w:val="en-US" w:eastAsia="da-DK"/>
        </w:rPr>
        <w:t xml:space="preserve"> the 2 x 90 MHz MSS + B1 seems no</w:t>
      </w:r>
      <w:r>
        <w:rPr>
          <w:rFonts w:eastAsia="Calibri" w:cs="Arial"/>
          <w:szCs w:val="22"/>
          <w:lang w:val="en-US" w:eastAsia="da-DK"/>
        </w:rPr>
        <w:t xml:space="preserve">t to follow current regulations, i.e. </w:t>
      </w:r>
      <w:r w:rsidRPr="002157DF">
        <w:rPr>
          <w:rFonts w:eastAsia="Calibri" w:cs="Arial"/>
          <w:szCs w:val="22"/>
          <w:lang w:val="en-US" w:eastAsia="da-DK"/>
        </w:rPr>
        <w:t>MSS band operation independent of satellite operation</w:t>
      </w:r>
      <w:r>
        <w:rPr>
          <w:rFonts w:eastAsia="Calibri" w:cs="Arial"/>
          <w:szCs w:val="22"/>
          <w:lang w:val="en-US" w:eastAsia="da-DK"/>
        </w:rPr>
        <w:t>.</w:t>
      </w:r>
    </w:p>
    <w:p w:rsidR="00C44015" w:rsidRDefault="00C44015" w:rsidP="00C268AC">
      <w:pPr>
        <w:spacing w:after="0"/>
        <w:jc w:val="left"/>
        <w:rPr>
          <w:rFonts w:eastAsia="Calibri" w:cs="Arial"/>
          <w:szCs w:val="22"/>
          <w:lang w:val="en-US" w:eastAsia="da-DK"/>
        </w:rPr>
      </w:pPr>
    </w:p>
    <w:p w:rsidR="00F62F8F" w:rsidRDefault="00F62F8F" w:rsidP="00C268AC">
      <w:pPr>
        <w:spacing w:after="0"/>
        <w:jc w:val="left"/>
        <w:rPr>
          <w:rFonts w:eastAsia="Calibri" w:cs="Arial"/>
          <w:szCs w:val="22"/>
          <w:lang w:val="en-US" w:eastAsia="da-DK"/>
        </w:rPr>
      </w:pPr>
      <w:r w:rsidRPr="00F62F8F">
        <w:rPr>
          <w:rFonts w:eastAsia="Calibri" w:cs="Arial"/>
          <w:szCs w:val="22"/>
          <w:lang w:val="en-US" w:eastAsia="da-DK"/>
        </w:rPr>
        <w:t>Related activities: The draft ECC Report 233 on “Adjacent band compatibility studies for aeronautical CGC systems operating in the bands 1980-2010 MHz and 2170-2200 MHz” was brought to my attention (WGSE / PT SE40</w:t>
      </w:r>
      <w:r w:rsidR="002157DF">
        <w:rPr>
          <w:rFonts w:eastAsia="Calibri" w:cs="Arial"/>
          <w:szCs w:val="22"/>
          <w:lang w:val="en-US" w:eastAsia="da-DK"/>
        </w:rPr>
        <w:t>, also PT FM44 monitoring 2GHz MSS activities</w:t>
      </w:r>
      <w:r w:rsidRPr="00F62F8F">
        <w:rPr>
          <w:rFonts w:eastAsia="Calibri" w:cs="Arial"/>
          <w:szCs w:val="22"/>
          <w:lang w:val="en-US" w:eastAsia="da-DK"/>
        </w:rPr>
        <w:t>).</w:t>
      </w:r>
    </w:p>
    <w:p w:rsidR="002157DF" w:rsidRDefault="002157DF" w:rsidP="00C268AC">
      <w:pPr>
        <w:spacing w:after="0"/>
        <w:jc w:val="left"/>
        <w:rPr>
          <w:rFonts w:eastAsia="Calibri" w:cs="Arial"/>
          <w:szCs w:val="22"/>
          <w:lang w:val="en-US" w:eastAsia="da-DK"/>
        </w:rPr>
      </w:pPr>
    </w:p>
    <w:p w:rsidR="006463B2" w:rsidRDefault="002157DF" w:rsidP="00C268AC">
      <w:pPr>
        <w:spacing w:after="0"/>
        <w:jc w:val="left"/>
        <w:rPr>
          <w:rFonts w:eastAsia="Calibri" w:cs="Arial"/>
          <w:szCs w:val="22"/>
          <w:lang w:val="en-US" w:eastAsia="da-DK"/>
        </w:rPr>
      </w:pPr>
      <w:r>
        <w:rPr>
          <w:rFonts w:eastAsia="Calibri" w:cs="Arial"/>
          <w:szCs w:val="22"/>
          <w:lang w:val="en-US" w:eastAsia="da-DK"/>
        </w:rPr>
        <w:t>There may be a need to clarify this issue.</w:t>
      </w:r>
    </w:p>
    <w:p w:rsidR="00C77956" w:rsidRDefault="00C77956" w:rsidP="00322C20"/>
    <w:p w:rsidR="00314235" w:rsidRPr="00314235" w:rsidRDefault="00314235" w:rsidP="00897AB6">
      <w:pPr>
        <w:pStyle w:val="Paragraphedeliste"/>
        <w:numPr>
          <w:ilvl w:val="0"/>
          <w:numId w:val="3"/>
        </w:numPr>
        <w:spacing w:after="0"/>
        <w:rPr>
          <w:b/>
          <w:sz w:val="28"/>
          <w:szCs w:val="28"/>
        </w:rPr>
      </w:pPr>
      <w:r w:rsidRPr="00314235">
        <w:rPr>
          <w:b/>
          <w:sz w:val="28"/>
          <w:szCs w:val="28"/>
        </w:rPr>
        <w:t>FCC: DA2GC Draft Order Taken Off Circulation</w:t>
      </w:r>
    </w:p>
    <w:p w:rsidR="00C44015" w:rsidRDefault="002F2A97" w:rsidP="002B6C82">
      <w:pPr>
        <w:spacing w:before="100" w:beforeAutospacing="1" w:after="100" w:afterAutospacing="1"/>
        <w:jc w:val="left"/>
        <w:textAlignment w:val="top"/>
        <w:rPr>
          <w:rFonts w:eastAsia="Calibri" w:cs="Arial"/>
          <w:szCs w:val="22"/>
          <w:lang w:val="en-US" w:eastAsia="da-DK"/>
        </w:rPr>
      </w:pPr>
      <w:r>
        <w:rPr>
          <w:rFonts w:eastAsia="Calibri" w:cs="Arial"/>
          <w:szCs w:val="22"/>
          <w:lang w:val="en-US" w:eastAsia="da-DK"/>
        </w:rPr>
        <w:t>In the last bulletin, we already informed about the new proposed rulemaking process in the USA to establish DA2GC in the 14-14.5 GHz range as a secondary application to the FSS (i.e. DA2GC networks should not interfere</w:t>
      </w:r>
      <w:r w:rsidR="008A6CFD">
        <w:rPr>
          <w:rFonts w:eastAsia="Calibri" w:cs="Arial"/>
          <w:szCs w:val="22"/>
          <w:lang w:val="en-US" w:eastAsia="da-DK"/>
        </w:rPr>
        <w:t xml:space="preserve"> with</w:t>
      </w:r>
      <w:r>
        <w:rPr>
          <w:rFonts w:eastAsia="Calibri" w:cs="Arial"/>
          <w:szCs w:val="22"/>
          <w:lang w:val="en-US" w:eastAsia="da-DK"/>
        </w:rPr>
        <w:t xml:space="preserve"> satellite </w:t>
      </w:r>
      <w:r w:rsidR="00804D30">
        <w:rPr>
          <w:rFonts w:eastAsia="Calibri" w:cs="Arial"/>
          <w:szCs w:val="22"/>
          <w:lang w:val="en-US" w:eastAsia="da-DK"/>
        </w:rPr>
        <w:t xml:space="preserve">receiver </w:t>
      </w:r>
      <w:r>
        <w:rPr>
          <w:rFonts w:eastAsia="Calibri" w:cs="Arial"/>
          <w:szCs w:val="22"/>
          <w:lang w:val="en-US" w:eastAsia="da-DK"/>
        </w:rPr>
        <w:t xml:space="preserve">front-ends </w:t>
      </w:r>
      <w:r w:rsidR="00804D30">
        <w:rPr>
          <w:rFonts w:eastAsia="Calibri" w:cs="Arial"/>
          <w:szCs w:val="22"/>
          <w:lang w:val="en-US" w:eastAsia="da-DK"/>
        </w:rPr>
        <w:t>(uplinks) in the geostationary orbit in this case).</w:t>
      </w:r>
    </w:p>
    <w:p w:rsidR="00314235" w:rsidRPr="00314235" w:rsidRDefault="00314235" w:rsidP="002B6C82">
      <w:pPr>
        <w:spacing w:before="100" w:beforeAutospacing="1" w:after="100" w:afterAutospacing="1"/>
        <w:jc w:val="left"/>
        <w:textAlignment w:val="top"/>
        <w:rPr>
          <w:rFonts w:eastAsia="Calibri" w:cs="Arial"/>
          <w:szCs w:val="22"/>
          <w:lang w:val="en-US" w:eastAsia="da-DK"/>
        </w:rPr>
      </w:pPr>
      <w:r w:rsidRPr="00314235">
        <w:rPr>
          <w:rFonts w:eastAsia="Calibri" w:cs="Arial"/>
          <w:szCs w:val="22"/>
          <w:lang w:val="en-US" w:eastAsia="da-DK"/>
        </w:rPr>
        <w:t>A draft order on establishing air-ground (ATG) (‘DA2GC’) mobile broadband service for aircraft passengers in the 14.0 to 14.5 GHz band was removed from circulation on 6 February 2015 amid national security concerns. It was circulated on 23 January 2015, according to the agency's public</w:t>
      </w:r>
      <w:r w:rsidRPr="00314235">
        <w:rPr>
          <w:rFonts w:ascii="pt_sansregular" w:hAnsi="pt_sansregular"/>
          <w:color w:val="0C2142"/>
          <w:sz w:val="27"/>
          <w:szCs w:val="27"/>
          <w:lang w:val="en" w:eastAsia="da-DK"/>
        </w:rPr>
        <w:t xml:space="preserve"> </w:t>
      </w:r>
      <w:hyperlink r:id="rId16" w:history="1">
        <w:r w:rsidRPr="00314235">
          <w:rPr>
            <w:rFonts w:ascii="pt_sansregular" w:hAnsi="pt_sansregular"/>
            <w:color w:val="4979B1"/>
            <w:szCs w:val="22"/>
            <w:lang w:val="en" w:eastAsia="da-DK"/>
          </w:rPr>
          <w:t>list</w:t>
        </w:r>
      </w:hyperlink>
      <w:r w:rsidRPr="00314235">
        <w:rPr>
          <w:rFonts w:ascii="pt_sansregular" w:hAnsi="pt_sansregular"/>
          <w:color w:val="0C2142"/>
          <w:sz w:val="27"/>
          <w:szCs w:val="27"/>
          <w:lang w:val="en" w:eastAsia="da-DK"/>
        </w:rPr>
        <w:t xml:space="preserve"> </w:t>
      </w:r>
      <w:r w:rsidRPr="00314235">
        <w:rPr>
          <w:rFonts w:eastAsia="Calibri" w:cs="Arial"/>
          <w:szCs w:val="22"/>
          <w:lang w:val="en-US" w:eastAsia="da-DK"/>
        </w:rPr>
        <w:t>of circulated items. The Association of Flight Attendants raised concerns in docket</w:t>
      </w:r>
      <w:r w:rsidRPr="00314235">
        <w:rPr>
          <w:rFonts w:ascii="pt_sansregular" w:hAnsi="pt_sansregular"/>
          <w:color w:val="0C2142"/>
          <w:sz w:val="27"/>
          <w:szCs w:val="27"/>
          <w:lang w:val="en" w:eastAsia="da-DK"/>
        </w:rPr>
        <w:t xml:space="preserve"> </w:t>
      </w:r>
      <w:hyperlink r:id="rId17" w:history="1">
        <w:r w:rsidRPr="00314235">
          <w:rPr>
            <w:rFonts w:ascii="pt_sansregular" w:hAnsi="pt_sansregular"/>
            <w:color w:val="4979B1"/>
            <w:szCs w:val="22"/>
            <w:lang w:val="en" w:eastAsia="da-DK"/>
          </w:rPr>
          <w:t>13-114</w:t>
        </w:r>
      </w:hyperlink>
      <w:r w:rsidRPr="00314235">
        <w:rPr>
          <w:rFonts w:ascii="pt_sansregular" w:hAnsi="pt_sansregular"/>
          <w:color w:val="0C2142"/>
          <w:sz w:val="27"/>
          <w:szCs w:val="27"/>
          <w:lang w:val="en" w:eastAsia="da-DK"/>
        </w:rPr>
        <w:t xml:space="preserve"> </w:t>
      </w:r>
      <w:r w:rsidRPr="00314235">
        <w:rPr>
          <w:rFonts w:eastAsia="Calibri" w:cs="Arial"/>
          <w:szCs w:val="22"/>
          <w:lang w:val="en-US" w:eastAsia="da-DK"/>
        </w:rPr>
        <w:t>that the system could increase the risk of terrorism and cyber</w:t>
      </w:r>
      <w:r w:rsidR="00804D30">
        <w:rPr>
          <w:rFonts w:eastAsia="Calibri" w:cs="Arial"/>
          <w:szCs w:val="22"/>
          <w:lang w:val="en-US" w:eastAsia="da-DK"/>
        </w:rPr>
        <w:t>-</w:t>
      </w:r>
      <w:r w:rsidRPr="00314235">
        <w:rPr>
          <w:rFonts w:eastAsia="Calibri" w:cs="Arial"/>
          <w:szCs w:val="22"/>
          <w:lang w:val="en-US" w:eastAsia="da-DK"/>
        </w:rPr>
        <w:t>warfare</w:t>
      </w:r>
      <w:r w:rsidR="002B6C82" w:rsidRPr="002B6C82">
        <w:rPr>
          <w:rFonts w:eastAsia="Calibri" w:cs="Arial"/>
          <w:szCs w:val="22"/>
          <w:lang w:val="en-US" w:eastAsia="da-DK"/>
        </w:rPr>
        <w:t>. L</w:t>
      </w:r>
      <w:r w:rsidRPr="00314235">
        <w:rPr>
          <w:rFonts w:eastAsia="Calibri" w:cs="Arial"/>
          <w:szCs w:val="22"/>
          <w:lang w:val="en-US" w:eastAsia="da-DK"/>
        </w:rPr>
        <w:t>aw enforcement also raised concerns.</w:t>
      </w:r>
    </w:p>
    <w:p w:rsidR="00314235" w:rsidRPr="00314235" w:rsidRDefault="00314235" w:rsidP="002B6C82">
      <w:pPr>
        <w:spacing w:before="100" w:beforeAutospacing="1" w:after="100" w:afterAutospacing="1"/>
        <w:jc w:val="left"/>
        <w:textAlignment w:val="top"/>
        <w:rPr>
          <w:rFonts w:eastAsia="Calibri" w:cs="Arial"/>
          <w:szCs w:val="22"/>
          <w:lang w:val="en-US" w:eastAsia="da-DK"/>
        </w:rPr>
      </w:pPr>
      <w:r w:rsidRPr="00314235">
        <w:rPr>
          <w:rFonts w:eastAsia="Calibri" w:cs="Arial"/>
          <w:szCs w:val="22"/>
          <w:lang w:val="en-US" w:eastAsia="da-DK"/>
        </w:rPr>
        <w:t xml:space="preserve">The order was pulled from circulation “to facilitate further discussions with ourselves, other federal agencies and interested parties,” said an FCC official. </w:t>
      </w:r>
      <w:r w:rsidR="00313CE7">
        <w:rPr>
          <w:rFonts w:eastAsia="Calibri" w:cs="Arial"/>
          <w:szCs w:val="22"/>
          <w:lang w:val="en-US" w:eastAsia="da-DK"/>
        </w:rPr>
        <w:t>Interestingly</w:t>
      </w:r>
      <w:r w:rsidR="002F2A97">
        <w:rPr>
          <w:rFonts w:eastAsia="Calibri" w:cs="Arial"/>
          <w:szCs w:val="22"/>
          <w:lang w:val="en-US" w:eastAsia="da-DK"/>
        </w:rPr>
        <w:t>,</w:t>
      </w:r>
      <w:r w:rsidR="00313CE7">
        <w:rPr>
          <w:rFonts w:eastAsia="Calibri" w:cs="Arial"/>
          <w:szCs w:val="22"/>
          <w:lang w:val="en-US" w:eastAsia="da-DK"/>
        </w:rPr>
        <w:t xml:space="preserve"> this is a technology and frequency</w:t>
      </w:r>
      <w:r w:rsidR="002F2A97">
        <w:rPr>
          <w:rFonts w:eastAsia="Calibri" w:cs="Arial"/>
          <w:szCs w:val="22"/>
          <w:lang w:val="en-US" w:eastAsia="da-DK"/>
        </w:rPr>
        <w:t>-</w:t>
      </w:r>
      <w:r w:rsidR="00313CE7">
        <w:rPr>
          <w:rFonts w:eastAsia="Calibri" w:cs="Arial"/>
          <w:szCs w:val="22"/>
          <w:lang w:val="en-US" w:eastAsia="da-DK"/>
        </w:rPr>
        <w:t>neutral problem.</w:t>
      </w:r>
    </w:p>
    <w:p w:rsidR="00314235" w:rsidRPr="00314235" w:rsidRDefault="00314235" w:rsidP="002B6C82">
      <w:pPr>
        <w:spacing w:before="100" w:beforeAutospacing="1" w:after="100" w:afterAutospacing="1"/>
        <w:jc w:val="left"/>
        <w:textAlignment w:val="top"/>
        <w:rPr>
          <w:rFonts w:eastAsia="Calibri" w:cs="Arial"/>
          <w:szCs w:val="22"/>
          <w:lang w:val="en-US" w:eastAsia="da-DK"/>
        </w:rPr>
      </w:pPr>
      <w:r w:rsidRPr="00314235">
        <w:rPr>
          <w:rFonts w:eastAsia="Calibri" w:cs="Arial"/>
          <w:szCs w:val="22"/>
          <w:lang w:val="en-US" w:eastAsia="da-DK"/>
        </w:rPr>
        <w:t xml:space="preserve">The agencies include the Department of Transportation, the Federal Aviation Administration, the Department of Justice, the FBI, the Department of Homeland Security, the Transportation Security Administration and the FCC. </w:t>
      </w:r>
    </w:p>
    <w:p w:rsidR="00314235" w:rsidRPr="00314235" w:rsidRDefault="00314235" w:rsidP="002B6C82">
      <w:pPr>
        <w:spacing w:before="100" w:beforeAutospacing="1" w:after="100" w:afterAutospacing="1"/>
        <w:jc w:val="left"/>
        <w:textAlignment w:val="top"/>
        <w:rPr>
          <w:rFonts w:eastAsia="Calibri" w:cs="Arial"/>
          <w:szCs w:val="22"/>
          <w:lang w:val="en-US" w:eastAsia="da-DK"/>
        </w:rPr>
      </w:pPr>
      <w:proofErr w:type="spellStart"/>
      <w:r w:rsidRPr="00314235">
        <w:rPr>
          <w:rFonts w:eastAsia="Calibri" w:cs="Arial"/>
          <w:szCs w:val="22"/>
          <w:lang w:val="en-US" w:eastAsia="da-DK"/>
        </w:rPr>
        <w:t>Gogo</w:t>
      </w:r>
      <w:proofErr w:type="spellEnd"/>
      <w:r w:rsidRPr="00314235">
        <w:rPr>
          <w:rFonts w:eastAsia="Calibri" w:cs="Arial"/>
          <w:szCs w:val="22"/>
          <w:lang w:val="en-US" w:eastAsia="da-DK"/>
        </w:rPr>
        <w:t xml:space="preserve"> will comply with the regulations, it said in a</w:t>
      </w:r>
      <w:r w:rsidR="002B6C82" w:rsidRPr="002B6C82">
        <w:rPr>
          <w:rFonts w:eastAsia="Calibri" w:cs="Arial"/>
          <w:szCs w:val="22"/>
          <w:lang w:val="en-US" w:eastAsia="da-DK"/>
        </w:rPr>
        <w:t>n</w:t>
      </w:r>
      <w:hyperlink r:id="rId18" w:history="1">
        <w:r w:rsidRPr="00314235">
          <w:rPr>
            <w:rFonts w:ascii="pt_sansregular" w:hAnsi="pt_sansregular"/>
            <w:color w:val="4979B1"/>
            <w:sz w:val="27"/>
            <w:szCs w:val="27"/>
            <w:lang w:val="en" w:eastAsia="da-DK"/>
          </w:rPr>
          <w:t xml:space="preserve"> </w:t>
        </w:r>
        <w:r w:rsidRPr="00314235">
          <w:rPr>
            <w:rFonts w:ascii="pt_sansregular" w:hAnsi="pt_sansregular"/>
            <w:color w:val="4979B1"/>
            <w:szCs w:val="22"/>
            <w:lang w:val="en" w:eastAsia="da-DK"/>
          </w:rPr>
          <w:t>ex parte notice</w:t>
        </w:r>
      </w:hyperlink>
      <w:r w:rsidRPr="00314235">
        <w:rPr>
          <w:rFonts w:ascii="pt_sansregular" w:hAnsi="pt_sansregular"/>
          <w:color w:val="0C2142"/>
          <w:sz w:val="27"/>
          <w:szCs w:val="27"/>
          <w:lang w:val="en" w:eastAsia="da-DK"/>
        </w:rPr>
        <w:t xml:space="preserve"> </w:t>
      </w:r>
      <w:r w:rsidRPr="00314235">
        <w:rPr>
          <w:rFonts w:eastAsia="Calibri" w:cs="Arial"/>
          <w:szCs w:val="22"/>
          <w:lang w:val="en-US" w:eastAsia="da-DK"/>
        </w:rPr>
        <w:t xml:space="preserve">(i.e. seems interested in this new regulation). Another proponent seems to be </w:t>
      </w:r>
      <w:proofErr w:type="spellStart"/>
      <w:r w:rsidRPr="00314235">
        <w:rPr>
          <w:rFonts w:eastAsia="Calibri" w:cs="Arial"/>
          <w:szCs w:val="22"/>
          <w:lang w:val="en-US" w:eastAsia="da-DK"/>
        </w:rPr>
        <w:t>SmartSky</w:t>
      </w:r>
      <w:proofErr w:type="spellEnd"/>
      <w:r w:rsidRPr="00314235">
        <w:rPr>
          <w:rFonts w:eastAsia="Calibri" w:cs="Arial"/>
          <w:szCs w:val="22"/>
          <w:lang w:val="en-US" w:eastAsia="da-DK"/>
        </w:rPr>
        <w:t xml:space="preserve"> Networks, which is working to form ATG services for private aircraft, and is working together with Harris to design its radios.  </w:t>
      </w:r>
    </w:p>
    <w:p w:rsidR="00314235" w:rsidRPr="00314235" w:rsidRDefault="00314235" w:rsidP="002B6C82">
      <w:pPr>
        <w:spacing w:before="100" w:beforeAutospacing="1" w:after="100" w:afterAutospacing="1"/>
        <w:jc w:val="left"/>
        <w:textAlignment w:val="top"/>
        <w:rPr>
          <w:rFonts w:eastAsia="Calibri" w:cs="Arial"/>
          <w:szCs w:val="22"/>
          <w:lang w:val="en-US" w:eastAsia="da-DK"/>
        </w:rPr>
      </w:pPr>
      <w:r w:rsidRPr="00314235">
        <w:rPr>
          <w:rFonts w:eastAsia="Calibri" w:cs="Arial"/>
          <w:szCs w:val="22"/>
          <w:lang w:val="en-US" w:eastAsia="da-DK"/>
        </w:rPr>
        <w:t xml:space="preserve">Singling out ATG from other networks that connect to the internet, including Ku- and </w:t>
      </w:r>
      <w:proofErr w:type="spellStart"/>
      <w:r w:rsidRPr="00314235">
        <w:rPr>
          <w:rFonts w:eastAsia="Calibri" w:cs="Arial"/>
          <w:szCs w:val="22"/>
          <w:lang w:val="en-US" w:eastAsia="da-DK"/>
        </w:rPr>
        <w:t>Ka</w:t>
      </w:r>
      <w:proofErr w:type="spellEnd"/>
      <w:r w:rsidRPr="00314235">
        <w:rPr>
          <w:rFonts w:eastAsia="Calibri" w:cs="Arial"/>
          <w:szCs w:val="22"/>
          <w:lang w:val="en-US" w:eastAsia="da-DK"/>
        </w:rPr>
        <w:t xml:space="preserve">-band satellites, “doesn’t seem logical,” a </w:t>
      </w:r>
      <w:proofErr w:type="spellStart"/>
      <w:proofErr w:type="gramStart"/>
      <w:r w:rsidRPr="00314235">
        <w:rPr>
          <w:rFonts w:eastAsia="Calibri" w:cs="Arial"/>
          <w:szCs w:val="22"/>
          <w:lang w:val="en-US" w:eastAsia="da-DK"/>
        </w:rPr>
        <w:t>Gogo</w:t>
      </w:r>
      <w:proofErr w:type="spellEnd"/>
      <w:proofErr w:type="gramEnd"/>
      <w:r w:rsidRPr="00314235">
        <w:rPr>
          <w:rFonts w:eastAsia="Calibri" w:cs="Arial"/>
          <w:szCs w:val="22"/>
          <w:lang w:val="en-US" w:eastAsia="da-DK"/>
        </w:rPr>
        <w:t xml:space="preserve"> spokesman said. </w:t>
      </w:r>
    </w:p>
    <w:p w:rsidR="00576387" w:rsidRDefault="002B6C82" w:rsidP="00322C20">
      <w:r>
        <w:rPr>
          <w:lang w:val="en"/>
        </w:rPr>
        <w:t xml:space="preserve">The ‘incumbent’ provider </w:t>
      </w:r>
      <w:proofErr w:type="spellStart"/>
      <w:r>
        <w:rPr>
          <w:lang w:val="en"/>
        </w:rPr>
        <w:t>Gogo</w:t>
      </w:r>
      <w:proofErr w:type="spellEnd"/>
      <w:r>
        <w:rPr>
          <w:lang w:val="en"/>
        </w:rPr>
        <w:t xml:space="preserve"> </w:t>
      </w:r>
      <w:r w:rsidR="006463B2">
        <w:rPr>
          <w:lang w:val="en"/>
        </w:rPr>
        <w:t xml:space="preserve">in North America </w:t>
      </w:r>
      <w:r>
        <w:rPr>
          <w:lang w:val="en"/>
        </w:rPr>
        <w:t>meanwhile has provided recently two press releases informing about:</w:t>
      </w:r>
    </w:p>
    <w:p w:rsidR="00576387" w:rsidRPr="006463B2" w:rsidRDefault="00BD2577" w:rsidP="00897AB6">
      <w:pPr>
        <w:pStyle w:val="Paragraphedeliste"/>
        <w:numPr>
          <w:ilvl w:val="0"/>
          <w:numId w:val="5"/>
        </w:numPr>
        <w:rPr>
          <w:rFonts w:cs="Arial"/>
          <w:bCs/>
          <w:szCs w:val="22"/>
        </w:rPr>
      </w:pPr>
      <w:hyperlink r:id="rId19" w:history="1">
        <w:proofErr w:type="spellStart"/>
        <w:r w:rsidR="00576387" w:rsidRPr="006463B2">
          <w:rPr>
            <w:rStyle w:val="Lienhypertexte"/>
            <w:rFonts w:cs="Arial"/>
            <w:bCs/>
            <w:szCs w:val="22"/>
          </w:rPr>
          <w:t>Gogo</w:t>
        </w:r>
        <w:proofErr w:type="spellEnd"/>
        <w:r w:rsidR="00576387" w:rsidRPr="006463B2">
          <w:rPr>
            <w:rStyle w:val="Lienhypertexte"/>
            <w:rFonts w:cs="Arial"/>
            <w:bCs/>
            <w:szCs w:val="22"/>
          </w:rPr>
          <w:t xml:space="preserve"> has now Installed on more than 1700 Commercial Aircraft</w:t>
        </w:r>
      </w:hyperlink>
      <w:r w:rsidR="00576387" w:rsidRPr="006463B2">
        <w:rPr>
          <w:rFonts w:cs="Arial"/>
          <w:bCs/>
          <w:szCs w:val="22"/>
        </w:rPr>
        <w:t xml:space="preserve"> (February 2015)</w:t>
      </w:r>
    </w:p>
    <w:p w:rsidR="00576387" w:rsidRDefault="00BD2577" w:rsidP="00897AB6">
      <w:pPr>
        <w:pStyle w:val="Paragraphedeliste"/>
        <w:numPr>
          <w:ilvl w:val="0"/>
          <w:numId w:val="5"/>
        </w:numPr>
        <w:rPr>
          <w:rFonts w:cs="Arial"/>
          <w:bCs/>
          <w:szCs w:val="22"/>
        </w:rPr>
      </w:pPr>
      <w:hyperlink r:id="rId20" w:history="1">
        <w:proofErr w:type="spellStart"/>
        <w:r w:rsidR="00576387" w:rsidRPr="006463B2">
          <w:rPr>
            <w:rStyle w:val="Lienhypertexte"/>
            <w:rFonts w:cs="Arial"/>
            <w:bCs/>
            <w:szCs w:val="22"/>
          </w:rPr>
          <w:t>Gogo</w:t>
        </w:r>
        <w:proofErr w:type="spellEnd"/>
        <w:r w:rsidR="00576387" w:rsidRPr="006463B2">
          <w:rPr>
            <w:rStyle w:val="Lienhypertexte"/>
            <w:rFonts w:cs="Arial"/>
            <w:bCs/>
            <w:szCs w:val="22"/>
          </w:rPr>
          <w:t xml:space="preserve"> Receives Blanket License from the FCC to Operate up to 1 000 Ku-band Satellite Aircraft</w:t>
        </w:r>
      </w:hyperlink>
      <w:r w:rsidR="00576387" w:rsidRPr="006463B2">
        <w:rPr>
          <w:rFonts w:cs="Arial"/>
          <w:bCs/>
          <w:szCs w:val="22"/>
        </w:rPr>
        <w:t xml:space="preserve"> (January 2015)</w:t>
      </w:r>
    </w:p>
    <w:p w:rsidR="00804D30" w:rsidRDefault="006463B2" w:rsidP="00322C20">
      <w:pPr>
        <w:rPr>
          <w:rFonts w:cs="Arial"/>
          <w:bCs/>
          <w:szCs w:val="22"/>
        </w:rPr>
      </w:pPr>
      <w:r w:rsidRPr="006463B2">
        <w:rPr>
          <w:rFonts w:cs="Arial"/>
          <w:bCs/>
          <w:szCs w:val="22"/>
        </w:rPr>
        <w:t>(Of interest for WGFM and PT FM48</w:t>
      </w:r>
      <w:r>
        <w:rPr>
          <w:rFonts w:cs="Arial"/>
          <w:bCs/>
          <w:szCs w:val="22"/>
        </w:rPr>
        <w:t>; further proceedings under FCC 13-114 could be a subject for information exchange about DA2GC at the next ECC-IC-FCC meeting</w:t>
      </w:r>
      <w:r w:rsidRPr="006463B2">
        <w:rPr>
          <w:rFonts w:cs="Arial"/>
          <w:bCs/>
          <w:szCs w:val="22"/>
        </w:rPr>
        <w:t>)</w:t>
      </w:r>
    </w:p>
    <w:p w:rsidR="00804D30" w:rsidRDefault="00804D30" w:rsidP="00322C20">
      <w:pPr>
        <w:rPr>
          <w:rFonts w:cs="Arial"/>
          <w:b/>
          <w:bCs/>
          <w:sz w:val="24"/>
          <w:szCs w:val="24"/>
        </w:rPr>
      </w:pPr>
    </w:p>
    <w:p w:rsidR="00623DA2" w:rsidRPr="003D5C91" w:rsidRDefault="00576387" w:rsidP="00897AB6">
      <w:pPr>
        <w:pStyle w:val="Paragraphedeliste"/>
        <w:numPr>
          <w:ilvl w:val="0"/>
          <w:numId w:val="3"/>
        </w:numPr>
        <w:spacing w:after="0"/>
        <w:rPr>
          <w:b/>
          <w:sz w:val="28"/>
          <w:szCs w:val="28"/>
        </w:rPr>
      </w:pPr>
      <w:r w:rsidRPr="00623DA2">
        <w:rPr>
          <w:rFonts w:cs="Arial"/>
          <w:b/>
          <w:bCs/>
          <w:sz w:val="24"/>
          <w:szCs w:val="24"/>
        </w:rPr>
        <w:t xml:space="preserve"> </w:t>
      </w:r>
      <w:r w:rsidR="00623DA2" w:rsidRPr="003D5C91">
        <w:rPr>
          <w:b/>
          <w:sz w:val="28"/>
          <w:szCs w:val="28"/>
        </w:rPr>
        <w:t xml:space="preserve">FCC </w:t>
      </w:r>
      <w:r w:rsidR="002B6C82">
        <w:rPr>
          <w:b/>
          <w:sz w:val="28"/>
          <w:szCs w:val="28"/>
        </w:rPr>
        <w:t>A</w:t>
      </w:r>
      <w:r w:rsidR="00623DA2" w:rsidRPr="003D5C91">
        <w:rPr>
          <w:b/>
          <w:sz w:val="28"/>
          <w:szCs w:val="28"/>
        </w:rPr>
        <w:t>uction on Advanced Wireless Services (AWS-3)</w:t>
      </w:r>
    </w:p>
    <w:p w:rsidR="00E36C9A" w:rsidRDefault="00E36C9A" w:rsidP="00171D86"/>
    <w:p w:rsidR="00171D86" w:rsidRDefault="00171D86" w:rsidP="00171D86">
      <w:r>
        <w:t xml:space="preserve">Auction 97 (AWS-3 frequencies) offered 1 614 licenses on a geographic area basis; 880 are Economic Area ("EA") licenses, and 734 are Cellular Market Area (“CMA”) licenses. The AWS-3 frequencies </w:t>
      </w:r>
      <w:r w:rsidR="003D5C91">
        <w:t>were</w:t>
      </w:r>
      <w:r>
        <w:t xml:space="preserve"> licensed in </w:t>
      </w:r>
      <w:r w:rsidR="003D5C91">
        <w:t>5 MHz and 10 MHz</w:t>
      </w:r>
      <w:r>
        <w:t xml:space="preserve"> blocks, with each license having a total bandwidth of </w:t>
      </w:r>
      <w:r w:rsidR="003D5C91">
        <w:t xml:space="preserve">5, 10, or 20 </w:t>
      </w:r>
      <w:proofErr w:type="spellStart"/>
      <w:r w:rsidR="003D5C91">
        <w:t>MHz</w:t>
      </w:r>
      <w:r>
        <w:t>.</w:t>
      </w:r>
      <w:proofErr w:type="spellEnd"/>
    </w:p>
    <w:p w:rsidR="00171D86" w:rsidRDefault="00171D86" w:rsidP="00171D86">
      <w:r>
        <w:lastRenderedPageBreak/>
        <w:t xml:space="preserve">The 1695-1710 MHz band </w:t>
      </w:r>
      <w:r w:rsidR="003D5C91">
        <w:t>has been l</w:t>
      </w:r>
      <w:r>
        <w:t xml:space="preserve">icensed in an unpaired configuration. The 1755-1780 MHz band </w:t>
      </w:r>
      <w:r w:rsidR="003D5C91">
        <w:t xml:space="preserve">has been </w:t>
      </w:r>
      <w:r>
        <w:t>licensed paired with the 2155-2180 MHz band.</w:t>
      </w:r>
    </w:p>
    <w:p w:rsidR="00623DA2" w:rsidRDefault="00623DA2" w:rsidP="00322C20">
      <w:r w:rsidRPr="00623DA2">
        <w:t xml:space="preserve">Auction 97 began on </w:t>
      </w:r>
      <w:r w:rsidR="003D5C91">
        <w:t xml:space="preserve">13 November </w:t>
      </w:r>
      <w:r w:rsidRPr="00623DA2">
        <w:t xml:space="preserve">2014 and closed on </w:t>
      </w:r>
      <w:r w:rsidR="003D5C91">
        <w:t xml:space="preserve">29 January </w:t>
      </w:r>
      <w:r w:rsidRPr="00623DA2">
        <w:t>2015.</w:t>
      </w:r>
    </w:p>
    <w:p w:rsidR="003D5C91" w:rsidRPr="00623DA2" w:rsidRDefault="003D5C91" w:rsidP="00322C20">
      <w:r>
        <w:rPr>
          <w:noProof/>
          <w:lang w:val="fr-FR" w:eastAsia="fr-FR"/>
        </w:rPr>
        <w:drawing>
          <wp:inline distT="0" distB="0" distL="0" distR="0" wp14:anchorId="1A552C54" wp14:editId="509251AE">
            <wp:extent cx="5941060" cy="1173675"/>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1060" cy="1173675"/>
                    </a:xfrm>
                    <a:prstGeom prst="rect">
                      <a:avLst/>
                    </a:prstGeom>
                  </pic:spPr>
                </pic:pic>
              </a:graphicData>
            </a:graphic>
          </wp:inline>
        </w:drawing>
      </w:r>
    </w:p>
    <w:p w:rsidR="002157DF" w:rsidRDefault="003D5C91" w:rsidP="00322C20">
      <w:r w:rsidRPr="003D5C91">
        <w:t>The AWS-3 bands are currently being used by Federal and non-Federal incumbents for a variety of government and non-government services. AWS-3 licensees are subject to various requirements related these incumbent users, including Federal and non-Federal relocation, sharing, and cost-sharing obligations, coordination requirements, and protection of Federal and non-Federal incumbent operations</w:t>
      </w:r>
      <w:r>
        <w:t>.</w:t>
      </w:r>
    </w:p>
    <w:p w:rsidR="003D5C91" w:rsidRDefault="003D5C91" w:rsidP="00322C20">
      <w:r w:rsidRPr="003D5C91">
        <w:t>Th</w:t>
      </w:r>
      <w:r>
        <w:t>e</w:t>
      </w:r>
      <w:r w:rsidRPr="003D5C91">
        <w:t xml:space="preserve"> auction raised a total of </w:t>
      </w:r>
      <w:r>
        <w:t>more than 41 billion USD</w:t>
      </w:r>
      <w:r w:rsidRPr="003D5C91">
        <w:t>, with 31 winning bidders winning a total of 1</w:t>
      </w:r>
      <w:r w:rsidR="00804D30">
        <w:t>,</w:t>
      </w:r>
      <w:r w:rsidRPr="003D5C91">
        <w:t>611 licenses</w:t>
      </w:r>
      <w:r>
        <w:t>.</w:t>
      </w:r>
    </w:p>
    <w:p w:rsidR="003D5C91" w:rsidRDefault="00E36C9A" w:rsidP="00322C20">
      <w:r>
        <w:t xml:space="preserve">Later on, a statement of a commissioner was published on 5 February 2015 saying that one ‘big’ operator (in connection with affiliated companies) abused the rules of the auction designed to make it easier for smaller operators tom get spectrum </w:t>
      </w:r>
      <w:hyperlink r:id="rId22" w:history="1">
        <w:r w:rsidR="00F2614D" w:rsidRPr="00F2614D">
          <w:rPr>
            <w:rStyle w:val="Lienhypertexte"/>
          </w:rPr>
          <w:t>Statement</w:t>
        </w:r>
      </w:hyperlink>
      <w:r>
        <w:t>.</w:t>
      </w:r>
    </w:p>
    <w:p w:rsidR="006463B2" w:rsidRDefault="006463B2" w:rsidP="00322C20">
      <w:r>
        <w:t xml:space="preserve">(Generally of interest for administrations, e.g. in PT1) </w:t>
      </w:r>
    </w:p>
    <w:p w:rsidR="003D5C91" w:rsidRDefault="003D5C91" w:rsidP="00322C20"/>
    <w:p w:rsidR="00F2614D" w:rsidRPr="002B6C82" w:rsidRDefault="00F2614D" w:rsidP="00897AB6">
      <w:pPr>
        <w:pStyle w:val="Paragraphedeliste"/>
        <w:numPr>
          <w:ilvl w:val="0"/>
          <w:numId w:val="3"/>
        </w:numPr>
        <w:spacing w:after="0"/>
        <w:rPr>
          <w:b/>
          <w:sz w:val="28"/>
          <w:szCs w:val="28"/>
        </w:rPr>
      </w:pPr>
      <w:r w:rsidRPr="002B6C82">
        <w:rPr>
          <w:b/>
          <w:sz w:val="28"/>
          <w:szCs w:val="28"/>
        </w:rPr>
        <w:t xml:space="preserve">Argentina auctioned spectrum for 3G and 4G </w:t>
      </w:r>
    </w:p>
    <w:p w:rsidR="00F2614D" w:rsidRPr="002B6C82" w:rsidRDefault="00F2614D" w:rsidP="002B6C82">
      <w:r w:rsidRPr="002B6C82">
        <w:t>Argentina's communications ministry revealed the results from its 3G/4G auction held at the end of October 2014.</w:t>
      </w:r>
    </w:p>
    <w:p w:rsidR="00F2614D" w:rsidRDefault="00F2614D" w:rsidP="002B6C82">
      <w:r w:rsidRPr="002B6C82">
        <w:t xml:space="preserve">The </w:t>
      </w:r>
      <w:r w:rsidR="002B6C82">
        <w:t xml:space="preserve">Argentinian </w:t>
      </w:r>
      <w:r w:rsidRPr="002B6C82">
        <w:t>government sold national licences for 4G spectrum in the AWS bands (1.7/2.1 GHz) and the 700 MHz band (45 MHz duplex in 703-748/758-803 MHz), a bit of 3G spectrum in 830.25-</w:t>
      </w:r>
      <w:r w:rsidR="00C474FA" w:rsidRPr="002B6C82">
        <w:t xml:space="preserve">834/ 875.25-879MHz </w:t>
      </w:r>
      <w:r w:rsidRPr="002B6C82">
        <w:t xml:space="preserve">and 1.9 GHz bands </w:t>
      </w:r>
      <w:r w:rsidR="00C474FA" w:rsidRPr="002B6C82">
        <w:t xml:space="preserve">for </w:t>
      </w:r>
      <w:r w:rsidRPr="002B6C82">
        <w:t>three areas: the north (Region I), the south (Region III), and Buenos Aires (Region II). </w:t>
      </w:r>
      <w:r w:rsidR="00C474FA" w:rsidRPr="002B6C82">
        <w:t>The auction raised around 2 billion Euros, resulting in a benchmark value for spectrum below 1 GHz to roughly 1 Euro/inhabitant/1MHz duplex.</w:t>
      </w:r>
      <w:r w:rsidR="006463B2">
        <w:t xml:space="preserve"> </w:t>
      </w:r>
      <w:r w:rsidR="006463B2" w:rsidRPr="006463B2">
        <w:t>Four bidders took part in the auction</w:t>
      </w:r>
      <w:r w:rsidR="006463B2">
        <w:t>.</w:t>
      </w:r>
    </w:p>
    <w:p w:rsidR="006463B2" w:rsidRDefault="006463B2" w:rsidP="002B6C82">
      <w:r w:rsidRPr="006463B2">
        <w:t>(Generally of interest for administrations, e.g. in PT1)</w:t>
      </w:r>
    </w:p>
    <w:p w:rsidR="006463B2" w:rsidRDefault="006463B2" w:rsidP="002B6C82"/>
    <w:p w:rsidR="006463B2" w:rsidRDefault="003518BC" w:rsidP="00897AB6">
      <w:pPr>
        <w:pStyle w:val="Paragraphedeliste"/>
        <w:numPr>
          <w:ilvl w:val="0"/>
          <w:numId w:val="3"/>
        </w:numPr>
        <w:spacing w:after="0"/>
        <w:rPr>
          <w:b/>
          <w:sz w:val="28"/>
          <w:szCs w:val="28"/>
        </w:rPr>
      </w:pPr>
      <w:r w:rsidRPr="003518BC">
        <w:rPr>
          <w:b/>
          <w:sz w:val="28"/>
          <w:szCs w:val="28"/>
        </w:rPr>
        <w:t xml:space="preserve">FCC Order on a Petition from </w:t>
      </w:r>
      <w:r w:rsidR="004749A4">
        <w:rPr>
          <w:b/>
          <w:sz w:val="28"/>
          <w:szCs w:val="28"/>
        </w:rPr>
        <w:t>H</w:t>
      </w:r>
      <w:r w:rsidRPr="003518BC">
        <w:rPr>
          <w:b/>
          <w:sz w:val="28"/>
          <w:szCs w:val="28"/>
        </w:rPr>
        <w:t>otel Industry</w:t>
      </w:r>
    </w:p>
    <w:p w:rsidR="003518BC" w:rsidRPr="003518BC" w:rsidRDefault="003518BC" w:rsidP="003518BC">
      <w:pPr>
        <w:spacing w:after="0"/>
        <w:rPr>
          <w:b/>
          <w:sz w:val="28"/>
          <w:szCs w:val="28"/>
        </w:rPr>
      </w:pPr>
    </w:p>
    <w:p w:rsidR="006463B2" w:rsidRDefault="006463B2" w:rsidP="003518BC">
      <w:r>
        <w:t>On 13 February 2015, the FCC dismissed a petition asking the Commission to declare that a network operator may, consistent with Section 333 of the Communications Act of 1934, as</w:t>
      </w:r>
      <w:r w:rsidR="003518BC">
        <w:t xml:space="preserve"> </w:t>
      </w:r>
      <w:r>
        <w:t>amended,</w:t>
      </w:r>
      <w:r w:rsidR="003518BC">
        <w:t xml:space="preserve"> </w:t>
      </w:r>
      <w:r>
        <w:t>“mitigate” threats to the operator’s network, even when doing so results in interference to guests’ Wi</w:t>
      </w:r>
      <w:r w:rsidR="003518BC">
        <w:t>-</w:t>
      </w:r>
      <w:r>
        <w:t>Fi hotspots. In the alternative, the Petition asks the Commission to address these issues in an industry-wide rulemaking proceeding.</w:t>
      </w:r>
      <w:r w:rsidR="003518BC">
        <w:t xml:space="preserve"> This followed an action from the petitioners’ side withdrawing the petition.</w:t>
      </w:r>
    </w:p>
    <w:p w:rsidR="003D5C91" w:rsidRDefault="00BD2577" w:rsidP="00322C20">
      <w:hyperlink r:id="rId23" w:history="1">
        <w:r w:rsidR="003518BC" w:rsidRPr="003518BC">
          <w:rPr>
            <w:rStyle w:val="Lienhypertexte"/>
          </w:rPr>
          <w:t>Link</w:t>
        </w:r>
      </w:hyperlink>
      <w:r w:rsidR="003518BC">
        <w:t xml:space="preserve"> (the FCC docket number is </w:t>
      </w:r>
      <w:r w:rsidR="003518BC" w:rsidRPr="003518BC">
        <w:t>RM-11737</w:t>
      </w:r>
      <w:r w:rsidR="003518BC">
        <w:t>)</w:t>
      </w:r>
    </w:p>
    <w:p w:rsidR="00C474FA" w:rsidRPr="00C474FA" w:rsidRDefault="00C474FA" w:rsidP="00C474FA">
      <w:pPr>
        <w:spacing w:after="0"/>
        <w:jc w:val="left"/>
        <w:rPr>
          <w:rFonts w:ascii="Calibri" w:eastAsia="MS PGothic" w:hAnsi="Calibri"/>
          <w:color w:val="1F497D"/>
          <w:szCs w:val="22"/>
          <w:lang w:eastAsia="zh-TW"/>
        </w:rPr>
      </w:pPr>
    </w:p>
    <w:p w:rsidR="00C474FA" w:rsidRDefault="00C474FA" w:rsidP="004749A4">
      <w:r w:rsidRPr="003518BC">
        <w:t xml:space="preserve">The expressed concern is about guests setting up </w:t>
      </w:r>
      <w:r w:rsidR="003518BC">
        <w:t>Wi-Fi</w:t>
      </w:r>
      <w:r w:rsidRPr="003518BC">
        <w:t xml:space="preserve"> access points of their own, bringing either technical problems to the intended purpose of their own networks (a consequence of using licence-exempt networks) or a means to engage in damaging criminal activity.  In the latter case the means of dealing with it seems, by implication, similar to the idea of using GSM jammers to stop criminals from using the GSM network in a sensitive location, for example</w:t>
      </w:r>
      <w:r w:rsidR="004749A4">
        <w:t xml:space="preserve"> by using jammers.</w:t>
      </w:r>
    </w:p>
    <w:p w:rsidR="00804D30" w:rsidRDefault="00111A80" w:rsidP="004749A4">
      <w:r>
        <w:lastRenderedPageBreak/>
        <w:t xml:space="preserve">The following article sets out pro’s and </w:t>
      </w:r>
      <w:proofErr w:type="spellStart"/>
      <w:r>
        <w:t>con’s</w:t>
      </w:r>
      <w:proofErr w:type="spellEnd"/>
      <w:r>
        <w:t xml:space="preserve"> of such an approach</w:t>
      </w:r>
      <w:r w:rsidR="00804D30">
        <w:t xml:space="preserve">: </w:t>
      </w:r>
      <w:hyperlink r:id="rId24" w:history="1">
        <w:r w:rsidRPr="00111A80">
          <w:rPr>
            <w:rStyle w:val="Lienhypertexte"/>
          </w:rPr>
          <w:t>Link</w:t>
        </w:r>
      </w:hyperlink>
      <w:r w:rsidR="00313CE7">
        <w:t xml:space="preserve">.  The CEPT was approached to comment on the issue.  Our response </w:t>
      </w:r>
      <w:r w:rsidR="009801F4">
        <w:t>noted that harmonisation at the European level did not generally address allegations and motives such as those raised in this case.</w:t>
      </w:r>
      <w:r w:rsidR="009801F4" w:rsidDel="009801F4">
        <w:t xml:space="preserve"> </w:t>
      </w:r>
    </w:p>
    <w:p w:rsidR="004749A4" w:rsidRDefault="004749A4" w:rsidP="004749A4">
      <w:r>
        <w:t>(</w:t>
      </w:r>
      <w:proofErr w:type="gramStart"/>
      <w:r>
        <w:t>of</w:t>
      </w:r>
      <w:proofErr w:type="gramEnd"/>
      <w:r>
        <w:t xml:space="preserve"> interest for groups dealing with unlicensed applications such as SRD/MG and PT SE24)</w:t>
      </w:r>
    </w:p>
    <w:p w:rsidR="004749A4" w:rsidRDefault="004749A4" w:rsidP="00C474FA">
      <w:pPr>
        <w:spacing w:after="0"/>
        <w:jc w:val="left"/>
        <w:rPr>
          <w:rFonts w:ascii="Calibri" w:eastAsia="MS PGothic" w:hAnsi="Calibri"/>
          <w:color w:val="1F497D"/>
          <w:szCs w:val="22"/>
          <w:lang w:eastAsia="zh-TW"/>
        </w:rPr>
      </w:pPr>
    </w:p>
    <w:p w:rsidR="004749A4" w:rsidRPr="00111A80" w:rsidRDefault="004749A4" w:rsidP="00897AB6">
      <w:pPr>
        <w:pStyle w:val="Paragraphedeliste"/>
        <w:numPr>
          <w:ilvl w:val="0"/>
          <w:numId w:val="3"/>
        </w:numPr>
        <w:spacing w:after="0"/>
        <w:rPr>
          <w:b/>
          <w:sz w:val="28"/>
          <w:szCs w:val="28"/>
        </w:rPr>
      </w:pPr>
      <w:r w:rsidRPr="00111A80">
        <w:rPr>
          <w:b/>
          <w:sz w:val="28"/>
          <w:szCs w:val="28"/>
        </w:rPr>
        <w:t>FCC and FDA (Food and Drug Administration) to hold a Joint Workshop on Wireless Medical Device Test Beds</w:t>
      </w:r>
    </w:p>
    <w:p w:rsidR="004749A4" w:rsidRDefault="004749A4" w:rsidP="004749A4">
      <w:pPr>
        <w:spacing w:after="0"/>
        <w:jc w:val="left"/>
        <w:rPr>
          <w:rFonts w:ascii="Calibri" w:eastAsia="MS PGothic" w:hAnsi="Calibri"/>
          <w:color w:val="1F497D"/>
          <w:szCs w:val="22"/>
          <w:lang w:eastAsia="zh-TW"/>
        </w:rPr>
      </w:pPr>
    </w:p>
    <w:p w:rsidR="004749A4" w:rsidRPr="00111A80" w:rsidRDefault="004749A4" w:rsidP="00111A80">
      <w:r w:rsidRPr="00111A80">
        <w:t>This public workshop is announced for the 31 March 2015. It is about development of converged medical technology for clinical and non-clinical settings. A wireless test bed is an environment where devices can be evaluated across a range of interference scenarios. As the rapid pace of innovation blurs traditional boundaries between consumer health technology, medical devices, and communications, the agencies seek to better understand how wireless test beds can be used and configured to meet the challenges and to take advantage of the opportunities this convergence presents. Consumers are increasingly using wireless health and care management tools at home; indeed, the emergence of the “hospital in the home” concept opens new areas of medical technology innovation that must take into account the need for wireless co-existence.</w:t>
      </w:r>
      <w:r w:rsidR="00111A80" w:rsidRPr="00111A80">
        <w:t xml:space="preserve"> </w:t>
      </w:r>
      <w:r w:rsidRPr="00111A80">
        <w:t>Topics</w:t>
      </w:r>
      <w:r w:rsidR="00111A80" w:rsidRPr="00111A80">
        <w:t xml:space="preserve"> </w:t>
      </w:r>
      <w:r w:rsidRPr="00111A80">
        <w:t>may include the need for and scope of wireless medical device test beds, an overview of current public</w:t>
      </w:r>
      <w:r w:rsidR="00111A80" w:rsidRPr="00111A80">
        <w:t xml:space="preserve"> </w:t>
      </w:r>
      <w:r w:rsidRPr="00111A80">
        <w:t>and private test bed programs and initiatives, a discussion of ideal features, functions and gaps of such</w:t>
      </w:r>
      <w:r w:rsidR="00111A80" w:rsidRPr="00111A80">
        <w:t xml:space="preserve"> </w:t>
      </w:r>
      <w:r w:rsidRPr="00111A80">
        <w:t>programs, and how best to drive innovation and safe co-existence of wireless medical technologies</w:t>
      </w:r>
      <w:r w:rsidR="00111A80" w:rsidRPr="00111A80">
        <w:t xml:space="preserve"> (FCC DA 15-239).</w:t>
      </w:r>
    </w:p>
    <w:p w:rsidR="00111A80" w:rsidRPr="00111A80" w:rsidRDefault="00111A80" w:rsidP="00111A80">
      <w:r w:rsidRPr="00111A80">
        <w:t>There are also activities in Europe (MBANs, Smart BANs, eHealth) going in this direction and monitoring this activity in the USA could be worthwhile, also asking the FCC about follow-on actions during the next ECC-FCC-IC meeting.</w:t>
      </w:r>
    </w:p>
    <w:p w:rsidR="00111A80" w:rsidRDefault="00111A80" w:rsidP="004749A4">
      <w:pPr>
        <w:spacing w:after="0"/>
        <w:jc w:val="left"/>
        <w:rPr>
          <w:rFonts w:ascii="Calibri" w:eastAsia="MS PGothic" w:hAnsi="Calibri"/>
          <w:color w:val="1F497D"/>
          <w:szCs w:val="22"/>
          <w:lang w:eastAsia="zh-TW"/>
        </w:rPr>
      </w:pPr>
    </w:p>
    <w:p w:rsidR="00F96873" w:rsidRDefault="00111A80" w:rsidP="0056057A">
      <w:pPr>
        <w:rPr>
          <w:lang w:val="en"/>
        </w:rPr>
      </w:pPr>
      <w:r w:rsidRPr="00111A80">
        <w:t>(Of interest for SRD/MG)</w:t>
      </w:r>
    </w:p>
    <w:p w:rsidR="009E4A39" w:rsidRDefault="009E4A39" w:rsidP="00BC6FF5">
      <w:pPr>
        <w:spacing w:after="0"/>
        <w:jc w:val="left"/>
        <w:rPr>
          <w:lang w:val="en"/>
        </w:rPr>
      </w:pPr>
    </w:p>
    <w:p w:rsidR="009E4A39" w:rsidRPr="009E4A39" w:rsidRDefault="009E4A39" w:rsidP="00897AB6">
      <w:pPr>
        <w:pStyle w:val="Paragraphedeliste"/>
        <w:numPr>
          <w:ilvl w:val="0"/>
          <w:numId w:val="3"/>
        </w:numPr>
        <w:spacing w:after="0"/>
        <w:rPr>
          <w:b/>
          <w:sz w:val="28"/>
          <w:szCs w:val="28"/>
        </w:rPr>
      </w:pPr>
      <w:r w:rsidRPr="009E4A39">
        <w:rPr>
          <w:b/>
          <w:sz w:val="28"/>
          <w:szCs w:val="28"/>
        </w:rPr>
        <w:t>LTE in ‘unlicensed’ spectrum in 5 GHz</w:t>
      </w:r>
    </w:p>
    <w:p w:rsidR="00BE6BC9" w:rsidRDefault="00BE6BC9" w:rsidP="007E4E9A">
      <w:pPr>
        <w:spacing w:after="0"/>
        <w:jc w:val="left"/>
        <w:rPr>
          <w:lang w:val="en"/>
        </w:rPr>
      </w:pPr>
    </w:p>
    <w:p w:rsidR="00BE6BC9" w:rsidRPr="00832E25" w:rsidRDefault="00BE6BC9" w:rsidP="00BE6BC9">
      <w:pPr>
        <w:spacing w:after="0"/>
        <w:jc w:val="left"/>
        <w:rPr>
          <w:rFonts w:cs="Arial"/>
          <w:color w:val="000000"/>
          <w:szCs w:val="22"/>
          <w:lang w:val="en-US"/>
        </w:rPr>
      </w:pPr>
      <w:r w:rsidRPr="00832E25">
        <w:rPr>
          <w:rFonts w:cs="Arial"/>
          <w:color w:val="000000"/>
          <w:szCs w:val="22"/>
          <w:lang w:val="en-US"/>
        </w:rPr>
        <w:t xml:space="preserve">The Wi-Fi Alliance recently issued a position statement relating to </w:t>
      </w:r>
      <w:r w:rsidR="00111A80" w:rsidRPr="00832E25">
        <w:rPr>
          <w:rFonts w:cs="Arial"/>
          <w:color w:val="000000"/>
          <w:szCs w:val="22"/>
          <w:lang w:val="en-US"/>
        </w:rPr>
        <w:t xml:space="preserve">‘unlicensed LTE’ </w:t>
      </w:r>
      <w:r w:rsidRPr="00832E25">
        <w:rPr>
          <w:rFonts w:cs="Arial"/>
          <w:color w:val="000000"/>
          <w:szCs w:val="22"/>
          <w:lang w:val="en-US"/>
        </w:rPr>
        <w:t xml:space="preserve">that might be </w:t>
      </w:r>
      <w:proofErr w:type="gramStart"/>
      <w:r w:rsidRPr="00832E25">
        <w:rPr>
          <w:rFonts w:cs="Arial"/>
          <w:color w:val="000000"/>
          <w:szCs w:val="22"/>
          <w:lang w:val="en-US"/>
        </w:rPr>
        <w:t>of</w:t>
      </w:r>
      <w:proofErr w:type="gramEnd"/>
      <w:r w:rsidRPr="00832E25">
        <w:rPr>
          <w:rFonts w:cs="Arial"/>
          <w:color w:val="000000"/>
          <w:szCs w:val="22"/>
          <w:lang w:val="en-US"/>
        </w:rPr>
        <w:t xml:space="preserve"> interest – see</w:t>
      </w:r>
      <w:r w:rsidRPr="00832E25">
        <w:rPr>
          <w:rFonts w:ascii="Calibri" w:eastAsia="Calibri" w:hAnsi="Calibri"/>
          <w:szCs w:val="22"/>
          <w:lang w:val="en-AU" w:eastAsia="en-US"/>
        </w:rPr>
        <w:t xml:space="preserve"> </w:t>
      </w:r>
      <w:hyperlink r:id="rId25" w:history="1">
        <w:r w:rsidRPr="00832E25">
          <w:rPr>
            <w:rFonts w:ascii="Calibri" w:eastAsia="Calibri" w:hAnsi="Calibri"/>
            <w:szCs w:val="22"/>
            <w:u w:val="single"/>
            <w:lang w:val="en-AU" w:eastAsia="en-US"/>
          </w:rPr>
          <w:t>WFA position statement</w:t>
        </w:r>
      </w:hyperlink>
      <w:r w:rsidRPr="00832E25">
        <w:rPr>
          <w:rFonts w:ascii="Calibri" w:eastAsia="Calibri" w:hAnsi="Calibri"/>
          <w:szCs w:val="22"/>
          <w:lang w:val="en-AU" w:eastAsia="en-US"/>
        </w:rPr>
        <w:t xml:space="preserve">. </w:t>
      </w:r>
      <w:r w:rsidRPr="00832E25">
        <w:rPr>
          <w:rFonts w:cs="Arial"/>
          <w:color w:val="000000"/>
          <w:szCs w:val="22"/>
          <w:lang w:val="en-US"/>
        </w:rPr>
        <w:t>It</w:t>
      </w:r>
      <w:r w:rsidR="00832E25" w:rsidRPr="00832E25">
        <w:rPr>
          <w:rFonts w:cs="Arial"/>
          <w:color w:val="000000"/>
          <w:szCs w:val="22"/>
          <w:lang w:val="en-US"/>
        </w:rPr>
        <w:t xml:space="preserve"> </w:t>
      </w:r>
      <w:r w:rsidRPr="00832E25">
        <w:rPr>
          <w:rFonts w:cs="Arial"/>
          <w:color w:val="000000"/>
          <w:szCs w:val="22"/>
          <w:lang w:val="en-US"/>
        </w:rPr>
        <w:t xml:space="preserve">highlights the desire of the Wi-Fi Alliance to work with all stakeholders to achieve a good outcome. Its very existence highlights a fear by many in the industry that </w:t>
      </w:r>
      <w:r w:rsidR="00832E25" w:rsidRPr="00832E25">
        <w:rPr>
          <w:rFonts w:cs="Arial"/>
          <w:color w:val="000000"/>
          <w:szCs w:val="22"/>
          <w:lang w:val="en-US"/>
        </w:rPr>
        <w:t xml:space="preserve">‘unlicensed LTE’ </w:t>
      </w:r>
      <w:r w:rsidRPr="00832E25">
        <w:rPr>
          <w:rFonts w:cs="Arial"/>
          <w:color w:val="000000"/>
          <w:szCs w:val="22"/>
          <w:lang w:val="en-US"/>
        </w:rPr>
        <w:t>will not share fairly with Wi-Fi.</w:t>
      </w:r>
    </w:p>
    <w:p w:rsidR="00832E25" w:rsidRPr="00BE6BC9" w:rsidRDefault="00832E25" w:rsidP="00BE6BC9">
      <w:pPr>
        <w:spacing w:after="0"/>
        <w:jc w:val="left"/>
        <w:rPr>
          <w:rFonts w:ascii="Calibri" w:eastAsia="Calibri" w:hAnsi="Calibri"/>
          <w:color w:val="1F497D"/>
          <w:szCs w:val="22"/>
          <w:lang w:val="en-AU" w:eastAsia="en-US"/>
        </w:rPr>
      </w:pPr>
    </w:p>
    <w:p w:rsidR="00BE6BC9" w:rsidRPr="00832E25" w:rsidRDefault="00BE6BC9" w:rsidP="00BE6BC9">
      <w:pPr>
        <w:spacing w:after="0"/>
        <w:jc w:val="left"/>
        <w:rPr>
          <w:rFonts w:cs="Arial"/>
          <w:color w:val="000000"/>
          <w:szCs w:val="22"/>
          <w:lang w:val="en-US"/>
        </w:rPr>
      </w:pPr>
      <w:r w:rsidRPr="00832E25">
        <w:rPr>
          <w:rFonts w:cs="Arial"/>
          <w:color w:val="000000"/>
          <w:szCs w:val="22"/>
          <w:lang w:val="en-US"/>
        </w:rPr>
        <w:t>There has been quite a lot of related press</w:t>
      </w:r>
      <w:r w:rsidR="00832E25" w:rsidRPr="00832E25">
        <w:rPr>
          <w:rFonts w:cs="Arial"/>
          <w:color w:val="000000"/>
          <w:szCs w:val="22"/>
          <w:lang w:val="en-US"/>
        </w:rPr>
        <w:t xml:space="preserve">: </w:t>
      </w:r>
    </w:p>
    <w:p w:rsidR="00BE6BC9" w:rsidRPr="00832E25" w:rsidRDefault="00BE6BC9" w:rsidP="00897AB6">
      <w:pPr>
        <w:numPr>
          <w:ilvl w:val="0"/>
          <w:numId w:val="6"/>
        </w:numPr>
        <w:spacing w:after="0"/>
        <w:jc w:val="left"/>
        <w:rPr>
          <w:rFonts w:ascii="Calibri" w:eastAsia="Calibri" w:hAnsi="Calibri"/>
          <w:szCs w:val="22"/>
          <w:lang w:val="en-US" w:eastAsia="en-US"/>
        </w:rPr>
      </w:pPr>
      <w:r w:rsidRPr="00832E25">
        <w:rPr>
          <w:rFonts w:ascii="Calibri" w:eastAsia="Calibri" w:hAnsi="Calibri"/>
          <w:szCs w:val="22"/>
          <w:lang w:val="en-US" w:eastAsia="en-US"/>
        </w:rPr>
        <w:t>CIO, "Wi-Fi backers warn about unlicensed LTE while Ericsson claims speed boost," February 10, 2015</w:t>
      </w:r>
    </w:p>
    <w:p w:rsidR="00BE6BC9" w:rsidRPr="00BE6BC9" w:rsidRDefault="00BD2577" w:rsidP="00897AB6">
      <w:pPr>
        <w:numPr>
          <w:ilvl w:val="1"/>
          <w:numId w:val="6"/>
        </w:numPr>
        <w:spacing w:after="0"/>
        <w:jc w:val="left"/>
        <w:rPr>
          <w:rFonts w:ascii="Calibri" w:eastAsia="Calibri" w:hAnsi="Calibri"/>
          <w:color w:val="1F497D"/>
          <w:szCs w:val="22"/>
          <w:lang w:val="en-US" w:eastAsia="en-US"/>
        </w:rPr>
      </w:pPr>
      <w:hyperlink r:id="rId26" w:history="1">
        <w:r w:rsidR="00BE6BC9" w:rsidRPr="00BE6BC9">
          <w:rPr>
            <w:rFonts w:ascii="Calibri" w:eastAsia="Calibri" w:hAnsi="Calibri"/>
            <w:color w:val="1F497D"/>
            <w:szCs w:val="22"/>
            <w:u w:val="single"/>
            <w:lang w:val="en-US" w:eastAsia="en-US"/>
          </w:rPr>
          <w:t>http://www.cio.com/article/2882873/wifi-backers-warn-about-unlicensed-lte-while-ericsson-claims-speed-boost.html</w:t>
        </w:r>
      </w:hyperlink>
    </w:p>
    <w:p w:rsidR="00BE6BC9" w:rsidRPr="00832E25" w:rsidRDefault="00BE6BC9" w:rsidP="00897AB6">
      <w:pPr>
        <w:numPr>
          <w:ilvl w:val="0"/>
          <w:numId w:val="6"/>
        </w:numPr>
        <w:spacing w:after="0"/>
        <w:jc w:val="left"/>
        <w:rPr>
          <w:rFonts w:ascii="Calibri" w:eastAsia="Calibri" w:hAnsi="Calibri"/>
          <w:szCs w:val="22"/>
          <w:lang w:val="en-US" w:eastAsia="en-US"/>
        </w:rPr>
      </w:pPr>
      <w:proofErr w:type="spellStart"/>
      <w:r w:rsidRPr="00832E25">
        <w:rPr>
          <w:rFonts w:ascii="Calibri" w:eastAsia="Calibri" w:hAnsi="Calibri"/>
          <w:szCs w:val="22"/>
          <w:lang w:val="en-US" w:eastAsia="en-US"/>
        </w:rPr>
        <w:t>PCWorld</w:t>
      </w:r>
      <w:proofErr w:type="spellEnd"/>
      <w:r w:rsidRPr="00832E25">
        <w:rPr>
          <w:rFonts w:ascii="Calibri" w:eastAsia="Calibri" w:hAnsi="Calibri"/>
          <w:szCs w:val="22"/>
          <w:lang w:val="en-US" w:eastAsia="en-US"/>
        </w:rPr>
        <w:t>, "Wi-Fi backers warn about unlicensed LTE while Ericsson claims speed boost," February 10, 2015 </w:t>
      </w:r>
    </w:p>
    <w:p w:rsidR="00BE6BC9" w:rsidRPr="00BE6BC9" w:rsidRDefault="00BD2577" w:rsidP="00897AB6">
      <w:pPr>
        <w:numPr>
          <w:ilvl w:val="1"/>
          <w:numId w:val="6"/>
        </w:numPr>
        <w:spacing w:after="0"/>
        <w:jc w:val="left"/>
        <w:rPr>
          <w:rFonts w:ascii="Calibri" w:eastAsia="Calibri" w:hAnsi="Calibri"/>
          <w:color w:val="1F497D"/>
          <w:szCs w:val="22"/>
          <w:lang w:val="en-US" w:eastAsia="en-US"/>
        </w:rPr>
      </w:pPr>
      <w:hyperlink r:id="rId27" w:history="1">
        <w:r w:rsidR="00BE6BC9" w:rsidRPr="00BE6BC9">
          <w:rPr>
            <w:rFonts w:ascii="Calibri" w:eastAsia="Calibri" w:hAnsi="Calibri"/>
            <w:color w:val="1F497D"/>
            <w:szCs w:val="22"/>
            <w:u w:val="single"/>
            <w:lang w:val="en-US" w:eastAsia="en-US"/>
          </w:rPr>
          <w:t>http://www.pcworld.com/article/2882872/wifi-backers-warn-about-unlicensed-lte-while-ericsson-claims-speed-boost.html</w:t>
        </w:r>
      </w:hyperlink>
    </w:p>
    <w:p w:rsidR="00BE6BC9" w:rsidRPr="00832E25" w:rsidRDefault="00BE6BC9" w:rsidP="00897AB6">
      <w:pPr>
        <w:numPr>
          <w:ilvl w:val="0"/>
          <w:numId w:val="6"/>
        </w:numPr>
        <w:spacing w:after="0"/>
        <w:jc w:val="left"/>
        <w:rPr>
          <w:rFonts w:ascii="Calibri" w:eastAsia="Calibri" w:hAnsi="Calibri"/>
          <w:szCs w:val="22"/>
          <w:lang w:val="en-US" w:eastAsia="en-US"/>
        </w:rPr>
      </w:pPr>
      <w:r w:rsidRPr="00832E25">
        <w:rPr>
          <w:rFonts w:ascii="Calibri" w:eastAsia="Calibri" w:hAnsi="Calibri"/>
          <w:szCs w:val="22"/>
          <w:lang w:val="en-US" w:eastAsia="en-US"/>
        </w:rPr>
        <w:t>InfoWorld, "Wi-Fi backers warn about unlicensed LTE while Ericsson claims speed boost," February 11, 2015 </w:t>
      </w:r>
    </w:p>
    <w:p w:rsidR="00BE6BC9" w:rsidRPr="00BE6BC9" w:rsidRDefault="00BD2577" w:rsidP="00897AB6">
      <w:pPr>
        <w:numPr>
          <w:ilvl w:val="1"/>
          <w:numId w:val="6"/>
        </w:numPr>
        <w:spacing w:after="0"/>
        <w:jc w:val="left"/>
        <w:rPr>
          <w:rFonts w:ascii="Calibri" w:eastAsia="Calibri" w:hAnsi="Calibri"/>
          <w:color w:val="1F497D"/>
          <w:szCs w:val="22"/>
          <w:lang w:val="en-US" w:eastAsia="en-US"/>
        </w:rPr>
      </w:pPr>
      <w:hyperlink r:id="rId28" w:history="1">
        <w:r w:rsidR="00BE6BC9" w:rsidRPr="00BE6BC9">
          <w:rPr>
            <w:rFonts w:ascii="Calibri" w:eastAsia="Calibri" w:hAnsi="Calibri"/>
            <w:color w:val="1F497D"/>
            <w:szCs w:val="22"/>
            <w:u w:val="single"/>
            <w:lang w:val="en-US" w:eastAsia="en-US"/>
          </w:rPr>
          <w:t>http://www.infoworld.com/article/2882623/mobile-technology/wifi-backers-warn-about-unlicensed-lte-while-ericsson-claims-speed-boost.html</w:t>
        </w:r>
      </w:hyperlink>
    </w:p>
    <w:p w:rsidR="00BE6BC9" w:rsidRPr="00832E25" w:rsidRDefault="00BE6BC9" w:rsidP="00897AB6">
      <w:pPr>
        <w:numPr>
          <w:ilvl w:val="0"/>
          <w:numId w:val="6"/>
        </w:numPr>
        <w:spacing w:after="0"/>
        <w:jc w:val="left"/>
        <w:rPr>
          <w:rFonts w:ascii="Calibri" w:eastAsia="Calibri" w:hAnsi="Calibri"/>
          <w:szCs w:val="22"/>
          <w:lang w:val="en-US" w:eastAsia="en-US"/>
        </w:rPr>
      </w:pPr>
      <w:r w:rsidRPr="00832E25">
        <w:rPr>
          <w:rFonts w:ascii="Calibri" w:eastAsia="Calibri" w:hAnsi="Calibri"/>
          <w:szCs w:val="22"/>
          <w:lang w:val="en-US" w:eastAsia="en-US"/>
        </w:rPr>
        <w:t>Wireless Federation Blog, "Wi-Fi Alliance warns of risks of Licensed Assisted Access," February 11, 2015</w:t>
      </w:r>
    </w:p>
    <w:p w:rsidR="00BE6BC9" w:rsidRPr="00BE6BC9" w:rsidRDefault="00BD2577" w:rsidP="00897AB6">
      <w:pPr>
        <w:numPr>
          <w:ilvl w:val="1"/>
          <w:numId w:val="6"/>
        </w:numPr>
        <w:spacing w:after="0"/>
        <w:jc w:val="left"/>
        <w:rPr>
          <w:rFonts w:ascii="Calibri" w:eastAsia="Calibri" w:hAnsi="Calibri"/>
          <w:color w:val="1F497D"/>
          <w:szCs w:val="22"/>
          <w:lang w:val="en-US" w:eastAsia="en-US"/>
        </w:rPr>
      </w:pPr>
      <w:hyperlink r:id="rId29" w:history="1">
        <w:r w:rsidR="00BE6BC9" w:rsidRPr="00BE6BC9">
          <w:rPr>
            <w:rFonts w:ascii="Calibri" w:eastAsia="Calibri" w:hAnsi="Calibri"/>
            <w:color w:val="1F497D"/>
            <w:szCs w:val="22"/>
            <w:u w:val="single"/>
            <w:lang w:val="en-US" w:eastAsia="en-US"/>
          </w:rPr>
          <w:t>http://www.wirelessfederation.com/news/143020-wi-fi-alliance-warns-of-risks-of-licensed-assisted-access</w:t>
        </w:r>
      </w:hyperlink>
    </w:p>
    <w:p w:rsidR="00BE6BC9" w:rsidRPr="00BE6BC9" w:rsidRDefault="00BE6BC9" w:rsidP="00897AB6">
      <w:pPr>
        <w:numPr>
          <w:ilvl w:val="0"/>
          <w:numId w:val="6"/>
        </w:numPr>
        <w:spacing w:after="0"/>
        <w:jc w:val="left"/>
        <w:rPr>
          <w:rFonts w:ascii="Calibri" w:eastAsia="Calibri" w:hAnsi="Calibri"/>
          <w:color w:val="1F497D"/>
          <w:szCs w:val="22"/>
          <w:lang w:val="en-US" w:eastAsia="en-US"/>
        </w:rPr>
      </w:pPr>
      <w:proofErr w:type="spellStart"/>
      <w:r w:rsidRPr="00832E25">
        <w:rPr>
          <w:rFonts w:ascii="Calibri" w:eastAsia="Calibri" w:hAnsi="Calibri"/>
          <w:szCs w:val="22"/>
          <w:lang w:val="en-US" w:eastAsia="en-US"/>
        </w:rPr>
        <w:lastRenderedPageBreak/>
        <w:t>FierceWireless</w:t>
      </w:r>
      <w:proofErr w:type="spellEnd"/>
      <w:r w:rsidRPr="00832E25">
        <w:rPr>
          <w:rFonts w:ascii="Calibri" w:eastAsia="Calibri" w:hAnsi="Calibri"/>
          <w:szCs w:val="22"/>
          <w:lang w:val="en-US" w:eastAsia="en-US"/>
        </w:rPr>
        <w:t>, Phil Goldstein: </w:t>
      </w:r>
      <w:hyperlink r:id="rId30" w:history="1">
        <w:r w:rsidRPr="00BE6BC9">
          <w:rPr>
            <w:rFonts w:ascii="Calibri" w:eastAsia="Calibri" w:hAnsi="Calibri"/>
            <w:color w:val="1F497D"/>
            <w:szCs w:val="22"/>
            <w:u w:val="single"/>
            <w:lang w:val="en-US" w:eastAsia="en-US"/>
          </w:rPr>
          <w:t>Verizon, SK Telecom join T-Mobile in testing unlicensed LTE, but Wi-Fi Alliance urges caution</w:t>
        </w:r>
      </w:hyperlink>
    </w:p>
    <w:p w:rsidR="00BE6BC9" w:rsidRPr="00BE6BC9" w:rsidRDefault="00BE6BC9" w:rsidP="00897AB6">
      <w:pPr>
        <w:numPr>
          <w:ilvl w:val="0"/>
          <w:numId w:val="6"/>
        </w:numPr>
        <w:spacing w:after="0"/>
        <w:jc w:val="left"/>
        <w:rPr>
          <w:rFonts w:ascii="Calibri" w:eastAsia="Calibri" w:hAnsi="Calibri"/>
          <w:color w:val="1F497D"/>
          <w:szCs w:val="22"/>
          <w:lang w:val="en-US" w:eastAsia="da-DK"/>
        </w:rPr>
      </w:pPr>
      <w:proofErr w:type="spellStart"/>
      <w:r w:rsidRPr="00832E25">
        <w:rPr>
          <w:rFonts w:ascii="Calibri" w:eastAsia="Calibri" w:hAnsi="Calibri"/>
          <w:szCs w:val="22"/>
          <w:lang w:val="en-US" w:eastAsia="da-DK"/>
        </w:rPr>
        <w:t>PCWorld</w:t>
      </w:r>
      <w:proofErr w:type="spellEnd"/>
      <w:r w:rsidRPr="00832E25">
        <w:rPr>
          <w:rFonts w:ascii="Calibri" w:eastAsia="Calibri" w:hAnsi="Calibri"/>
          <w:szCs w:val="22"/>
          <w:lang w:val="en-US" w:eastAsia="da-DK"/>
        </w:rPr>
        <w:t xml:space="preserve">, Mikael </w:t>
      </w:r>
      <w:proofErr w:type="spellStart"/>
      <w:r w:rsidRPr="00832E25">
        <w:rPr>
          <w:rFonts w:ascii="Calibri" w:eastAsia="Calibri" w:hAnsi="Calibri"/>
          <w:szCs w:val="22"/>
          <w:lang w:val="en-US" w:eastAsia="da-DK"/>
        </w:rPr>
        <w:t>Ricknas</w:t>
      </w:r>
      <w:proofErr w:type="spellEnd"/>
      <w:r w:rsidRPr="00832E25">
        <w:rPr>
          <w:rFonts w:ascii="Calibri" w:eastAsia="Calibri" w:hAnsi="Calibri"/>
          <w:szCs w:val="22"/>
          <w:lang w:val="en-US" w:eastAsia="da-DK"/>
        </w:rPr>
        <w:t xml:space="preserve"> </w:t>
      </w:r>
      <w:r w:rsidRPr="00BE6BC9">
        <w:rPr>
          <w:rFonts w:ascii="Calibri" w:eastAsia="Calibri" w:hAnsi="Calibri"/>
          <w:color w:val="1F497D"/>
          <w:szCs w:val="22"/>
          <w:lang w:val="en-US" w:eastAsia="da-DK"/>
        </w:rPr>
        <w:t>(: </w:t>
      </w:r>
      <w:hyperlink r:id="rId31" w:history="1">
        <w:r w:rsidRPr="00BE6BC9">
          <w:rPr>
            <w:rFonts w:ascii="Calibri" w:eastAsia="Calibri" w:hAnsi="Calibri"/>
            <w:color w:val="1F497D"/>
            <w:szCs w:val="22"/>
            <w:u w:val="single"/>
            <w:lang w:val="en-US" w:eastAsia="da-DK"/>
          </w:rPr>
          <w:t>Verizon, T-Mobile and SK Telecom hit 450-Mbit speeds over LTE</w:t>
        </w:r>
      </w:hyperlink>
    </w:p>
    <w:p w:rsidR="00BE6BC9" w:rsidRPr="00BE6BC9" w:rsidRDefault="00BE6BC9" w:rsidP="00897AB6">
      <w:pPr>
        <w:numPr>
          <w:ilvl w:val="1"/>
          <w:numId w:val="6"/>
        </w:numPr>
        <w:spacing w:after="0"/>
        <w:jc w:val="left"/>
        <w:rPr>
          <w:rFonts w:ascii="Calibri" w:eastAsia="Calibri" w:hAnsi="Calibri"/>
          <w:color w:val="1F497D"/>
          <w:szCs w:val="22"/>
          <w:lang w:val="en-US" w:eastAsia="da-DK"/>
        </w:rPr>
      </w:pPr>
      <w:r w:rsidRPr="00832E25">
        <w:rPr>
          <w:rFonts w:ascii="Calibri" w:eastAsia="Calibri" w:hAnsi="Calibri"/>
          <w:szCs w:val="22"/>
          <w:lang w:val="en-US" w:eastAsia="da-DK"/>
        </w:rPr>
        <w:t>Also on </w:t>
      </w:r>
      <w:hyperlink r:id="rId32" w:history="1">
        <w:r w:rsidRPr="00BE6BC9">
          <w:rPr>
            <w:rFonts w:ascii="Calibri" w:eastAsia="Calibri" w:hAnsi="Calibri"/>
            <w:color w:val="1F497D"/>
            <w:szCs w:val="22"/>
            <w:u w:val="single"/>
            <w:lang w:val="en-US" w:eastAsia="da-DK"/>
          </w:rPr>
          <w:t>Computerworld</w:t>
        </w:r>
      </w:hyperlink>
    </w:p>
    <w:p w:rsidR="00BE6BC9" w:rsidRPr="00832E25" w:rsidRDefault="00BE6BC9" w:rsidP="00897AB6">
      <w:pPr>
        <w:numPr>
          <w:ilvl w:val="0"/>
          <w:numId w:val="6"/>
        </w:numPr>
        <w:spacing w:after="0"/>
        <w:jc w:val="left"/>
        <w:rPr>
          <w:rFonts w:ascii="Calibri" w:eastAsia="Calibri" w:hAnsi="Calibri"/>
          <w:szCs w:val="22"/>
          <w:lang w:val="en-US" w:eastAsia="da-DK"/>
        </w:rPr>
      </w:pPr>
      <w:r w:rsidRPr="00832E25">
        <w:rPr>
          <w:rFonts w:ascii="Calibri" w:eastAsia="Calibri" w:hAnsi="Calibri"/>
          <w:szCs w:val="22"/>
          <w:lang w:val="en-US" w:eastAsia="da-DK"/>
        </w:rPr>
        <w:t>Android  Headlines, David Steele:</w:t>
      </w:r>
    </w:p>
    <w:p w:rsidR="00BE6BC9" w:rsidRPr="00BE6BC9" w:rsidRDefault="00BE6BC9" w:rsidP="00897AB6">
      <w:pPr>
        <w:numPr>
          <w:ilvl w:val="1"/>
          <w:numId w:val="6"/>
        </w:numPr>
        <w:spacing w:before="100" w:beforeAutospacing="1" w:after="100" w:afterAutospacing="1"/>
        <w:jc w:val="left"/>
        <w:rPr>
          <w:rFonts w:ascii="Calibri" w:eastAsia="Calibri" w:hAnsi="Calibri"/>
          <w:color w:val="1F497D"/>
          <w:szCs w:val="22"/>
          <w:lang w:val="en-US" w:eastAsia="en-US"/>
        </w:rPr>
      </w:pPr>
      <w:r w:rsidRPr="00BE6BC9">
        <w:rPr>
          <w:rFonts w:ascii="Calibri" w:eastAsia="Calibri" w:hAnsi="Calibri"/>
          <w:color w:val="1F497D"/>
          <w:szCs w:val="22"/>
          <w:lang w:val="en-US" w:eastAsia="en-US"/>
        </w:rPr>
        <w:t> </w:t>
      </w:r>
      <w:hyperlink r:id="rId33" w:history="1">
        <w:r w:rsidRPr="00BE6BC9">
          <w:rPr>
            <w:rFonts w:ascii="Calibri" w:eastAsia="Calibri" w:hAnsi="Calibri"/>
            <w:color w:val="1F497D"/>
            <w:szCs w:val="22"/>
            <w:u w:val="single"/>
            <w:lang w:val="en-US" w:eastAsia="en-US"/>
          </w:rPr>
          <w:t>Work Progressing For Unlicensed “Fair Sharing” 5 GHz Spectrum</w:t>
        </w:r>
      </w:hyperlink>
    </w:p>
    <w:p w:rsidR="00BE6BC9" w:rsidRPr="00832E25" w:rsidRDefault="00BE6BC9" w:rsidP="00897AB6">
      <w:pPr>
        <w:numPr>
          <w:ilvl w:val="0"/>
          <w:numId w:val="6"/>
        </w:numPr>
        <w:spacing w:before="100" w:beforeAutospacing="1" w:after="100" w:afterAutospacing="1"/>
        <w:jc w:val="left"/>
        <w:rPr>
          <w:rFonts w:ascii="Calibri" w:eastAsia="Calibri" w:hAnsi="Calibri"/>
          <w:szCs w:val="22"/>
          <w:lang w:val="en-US" w:eastAsia="en-US"/>
        </w:rPr>
      </w:pPr>
      <w:proofErr w:type="spellStart"/>
      <w:r w:rsidRPr="00832E25">
        <w:rPr>
          <w:rFonts w:ascii="Calibri" w:eastAsia="Calibri" w:hAnsi="Calibri"/>
          <w:szCs w:val="22"/>
          <w:lang w:val="en-US" w:eastAsia="en-US"/>
        </w:rPr>
        <w:t>TeleAnalysis</w:t>
      </w:r>
      <w:proofErr w:type="spellEnd"/>
      <w:r w:rsidRPr="00832E25">
        <w:rPr>
          <w:rFonts w:ascii="Calibri" w:eastAsia="Calibri" w:hAnsi="Calibri"/>
          <w:szCs w:val="22"/>
          <w:lang w:val="en-US" w:eastAsia="en-US"/>
        </w:rPr>
        <w:t>, Staff: </w:t>
      </w:r>
    </w:p>
    <w:p w:rsidR="00BE6BC9" w:rsidRPr="00BE6BC9" w:rsidRDefault="00BD2577" w:rsidP="00897AB6">
      <w:pPr>
        <w:numPr>
          <w:ilvl w:val="1"/>
          <w:numId w:val="6"/>
        </w:numPr>
        <w:spacing w:before="100" w:beforeAutospacing="1" w:after="100" w:afterAutospacing="1"/>
        <w:jc w:val="left"/>
        <w:rPr>
          <w:rFonts w:ascii="Calibri" w:eastAsia="Calibri" w:hAnsi="Calibri"/>
          <w:color w:val="1F497D"/>
          <w:szCs w:val="22"/>
          <w:lang w:val="en-US" w:eastAsia="en-US"/>
        </w:rPr>
      </w:pPr>
      <w:hyperlink r:id="rId34" w:history="1">
        <w:r w:rsidR="00BE6BC9" w:rsidRPr="00BE6BC9">
          <w:rPr>
            <w:rFonts w:ascii="Calibri" w:eastAsia="Calibri" w:hAnsi="Calibri"/>
            <w:color w:val="1F497D"/>
            <w:szCs w:val="22"/>
            <w:u w:val="single"/>
            <w:lang w:val="en-US" w:eastAsia="en-US"/>
          </w:rPr>
          <w:t>License Assisted Access is live in Ericsson labs</w:t>
        </w:r>
      </w:hyperlink>
    </w:p>
    <w:p w:rsidR="00BE6BC9" w:rsidRPr="00832E25" w:rsidRDefault="00BE6BC9" w:rsidP="00897AB6">
      <w:pPr>
        <w:numPr>
          <w:ilvl w:val="0"/>
          <w:numId w:val="6"/>
        </w:numPr>
        <w:spacing w:after="0"/>
        <w:jc w:val="left"/>
        <w:rPr>
          <w:rFonts w:ascii="Calibri" w:eastAsia="Calibri" w:hAnsi="Calibri"/>
          <w:szCs w:val="22"/>
          <w:lang w:val="en-AU" w:eastAsia="en-US"/>
        </w:rPr>
      </w:pPr>
      <w:proofErr w:type="spellStart"/>
      <w:r w:rsidRPr="00832E25">
        <w:rPr>
          <w:rFonts w:ascii="Calibri" w:eastAsia="Calibri" w:hAnsi="Calibri"/>
          <w:szCs w:val="22"/>
          <w:lang w:val="en-US" w:eastAsia="en-US"/>
        </w:rPr>
        <w:t>LightReading</w:t>
      </w:r>
      <w:proofErr w:type="spellEnd"/>
      <w:r w:rsidRPr="00832E25">
        <w:rPr>
          <w:rFonts w:ascii="Calibri" w:eastAsia="Calibri" w:hAnsi="Calibri"/>
          <w:szCs w:val="22"/>
          <w:lang w:val="en-US" w:eastAsia="en-US"/>
        </w:rPr>
        <w:t>, Sarah Thomas:</w:t>
      </w:r>
    </w:p>
    <w:p w:rsidR="00BE6BC9" w:rsidRPr="00BE6BC9" w:rsidRDefault="00BE6BC9" w:rsidP="00897AB6">
      <w:pPr>
        <w:numPr>
          <w:ilvl w:val="1"/>
          <w:numId w:val="6"/>
        </w:numPr>
        <w:spacing w:after="0"/>
        <w:jc w:val="left"/>
        <w:rPr>
          <w:rFonts w:ascii="Calibri" w:eastAsia="Calibri" w:hAnsi="Calibri"/>
          <w:color w:val="1F497D"/>
          <w:szCs w:val="22"/>
          <w:lang w:val="en-AU" w:eastAsia="en-US"/>
        </w:rPr>
      </w:pPr>
      <w:r w:rsidRPr="00BE6BC9">
        <w:rPr>
          <w:rFonts w:ascii="Calibri" w:eastAsia="Calibri" w:hAnsi="Calibri"/>
          <w:color w:val="1F497D"/>
          <w:szCs w:val="22"/>
          <w:lang w:val="en-US" w:eastAsia="en-US"/>
        </w:rPr>
        <w:t> </w:t>
      </w:r>
      <w:hyperlink r:id="rId35" w:history="1">
        <w:r w:rsidRPr="00BE6BC9">
          <w:rPr>
            <w:rFonts w:ascii="Calibri" w:eastAsia="Calibri" w:hAnsi="Calibri"/>
            <w:color w:val="1F497D"/>
            <w:szCs w:val="22"/>
            <w:u w:val="single"/>
            <w:lang w:val="en-US" w:eastAsia="en-US"/>
          </w:rPr>
          <w:t>Ericsson Preps LTE-U for Verizon, T-Mob &amp; SK Telecom</w:t>
        </w:r>
      </w:hyperlink>
    </w:p>
    <w:p w:rsidR="00BE6BC9" w:rsidRPr="00BE6BC9" w:rsidRDefault="00BE6BC9" w:rsidP="00BE6BC9">
      <w:pPr>
        <w:spacing w:after="0"/>
        <w:jc w:val="left"/>
        <w:rPr>
          <w:rFonts w:ascii="Calibri" w:eastAsia="Calibri" w:hAnsi="Calibri"/>
          <w:color w:val="1F497D"/>
          <w:szCs w:val="22"/>
          <w:lang w:val="en-AU" w:eastAsia="en-US"/>
        </w:rPr>
      </w:pPr>
    </w:p>
    <w:p w:rsidR="00BE6BC9" w:rsidRPr="00832E25" w:rsidRDefault="00832E25" w:rsidP="00BE6BC9">
      <w:pPr>
        <w:spacing w:after="0"/>
        <w:jc w:val="left"/>
        <w:rPr>
          <w:rFonts w:cs="Arial"/>
          <w:color w:val="000000"/>
          <w:szCs w:val="22"/>
          <w:lang w:val="en-US"/>
        </w:rPr>
      </w:pPr>
      <w:r w:rsidRPr="00832E25">
        <w:rPr>
          <w:rFonts w:cs="Arial"/>
          <w:color w:val="000000"/>
          <w:szCs w:val="22"/>
          <w:lang w:val="en-US"/>
        </w:rPr>
        <w:t xml:space="preserve">In addition, some </w:t>
      </w:r>
      <w:r w:rsidR="00BE6BC9" w:rsidRPr="00832E25">
        <w:rPr>
          <w:rFonts w:cs="Arial"/>
          <w:color w:val="000000"/>
          <w:szCs w:val="22"/>
          <w:lang w:val="en-US"/>
        </w:rPr>
        <w:t>announcements of pre-3GPP standards deployments and demonstrations of working equipment</w:t>
      </w:r>
      <w:r w:rsidRPr="00832E25">
        <w:rPr>
          <w:rFonts w:cs="Arial"/>
          <w:color w:val="000000"/>
          <w:szCs w:val="22"/>
          <w:lang w:val="en-US"/>
        </w:rPr>
        <w:t xml:space="preserve"> were noted, however it may be still for the near future to see revealed the Wi-Fi/’unlicensed LTE’ sharing mechanism to the industry or regulators, despite</w:t>
      </w:r>
      <w:r w:rsidR="00BE6BC9" w:rsidRPr="00832E25">
        <w:rPr>
          <w:rFonts w:cs="Arial"/>
          <w:color w:val="000000"/>
          <w:szCs w:val="22"/>
          <w:lang w:val="en-US"/>
        </w:rPr>
        <w:t>.</w:t>
      </w:r>
    </w:p>
    <w:p w:rsidR="001C0B3D" w:rsidRDefault="001C0B3D" w:rsidP="00BE6BC9">
      <w:pPr>
        <w:spacing w:after="0"/>
        <w:jc w:val="left"/>
        <w:rPr>
          <w:rFonts w:ascii="Calibri" w:eastAsia="Calibri" w:hAnsi="Calibri"/>
          <w:color w:val="1F497D"/>
          <w:szCs w:val="22"/>
          <w:lang w:val="en-AU" w:eastAsia="en-US"/>
        </w:rPr>
      </w:pPr>
    </w:p>
    <w:p w:rsidR="00832E25" w:rsidRPr="00832E25" w:rsidRDefault="00832E25" w:rsidP="00BE6BC9">
      <w:pPr>
        <w:spacing w:after="0"/>
        <w:jc w:val="left"/>
        <w:rPr>
          <w:rFonts w:cs="Arial"/>
          <w:color w:val="000000"/>
          <w:szCs w:val="22"/>
          <w:lang w:val="en-US"/>
        </w:rPr>
      </w:pPr>
      <w:r w:rsidRPr="00832E25">
        <w:rPr>
          <w:rFonts w:cs="Arial"/>
          <w:color w:val="000000"/>
          <w:szCs w:val="22"/>
          <w:lang w:val="en-US"/>
        </w:rPr>
        <w:t>(</w:t>
      </w:r>
      <w:proofErr w:type="gramStart"/>
      <w:r w:rsidRPr="00832E25">
        <w:rPr>
          <w:rFonts w:cs="Arial"/>
          <w:color w:val="000000"/>
          <w:szCs w:val="22"/>
          <w:lang w:val="en-US"/>
        </w:rPr>
        <w:t>of</w:t>
      </w:r>
      <w:proofErr w:type="gramEnd"/>
      <w:r w:rsidRPr="00832E25">
        <w:rPr>
          <w:rFonts w:cs="Arial"/>
          <w:color w:val="000000"/>
          <w:szCs w:val="22"/>
          <w:lang w:val="en-US"/>
        </w:rPr>
        <w:t xml:space="preserve"> interest in PT SE24, PT FM55, and some other groups in the ECC dealing with the relevant 5 GHz spectrum)</w:t>
      </w:r>
    </w:p>
    <w:p w:rsidR="001C0B3D" w:rsidRDefault="001C0B3D" w:rsidP="00BE6BC9">
      <w:pPr>
        <w:spacing w:after="0"/>
        <w:jc w:val="left"/>
        <w:rPr>
          <w:rFonts w:ascii="Calibri" w:eastAsia="Calibri" w:hAnsi="Calibri"/>
          <w:color w:val="1F497D"/>
          <w:szCs w:val="22"/>
          <w:lang w:val="en-AU" w:eastAsia="en-US"/>
        </w:rPr>
      </w:pPr>
    </w:p>
    <w:p w:rsidR="001C0B3D" w:rsidRPr="00974523" w:rsidRDefault="00974523" w:rsidP="00897AB6">
      <w:pPr>
        <w:pStyle w:val="Paragraphedeliste"/>
        <w:numPr>
          <w:ilvl w:val="0"/>
          <w:numId w:val="3"/>
        </w:numPr>
        <w:spacing w:after="0"/>
        <w:rPr>
          <w:b/>
          <w:sz w:val="28"/>
          <w:szCs w:val="28"/>
        </w:rPr>
      </w:pPr>
      <w:r w:rsidRPr="00974523">
        <w:rPr>
          <w:b/>
          <w:sz w:val="28"/>
          <w:szCs w:val="28"/>
        </w:rPr>
        <w:t>Unmanned Aircraft Systems (</w:t>
      </w:r>
      <w:r w:rsidR="0056057A">
        <w:rPr>
          <w:b/>
          <w:sz w:val="28"/>
          <w:szCs w:val="28"/>
        </w:rPr>
        <w:t>D</w:t>
      </w:r>
      <w:r w:rsidR="001C0B3D" w:rsidRPr="00974523">
        <w:rPr>
          <w:b/>
          <w:sz w:val="28"/>
          <w:szCs w:val="28"/>
        </w:rPr>
        <w:t>rones</w:t>
      </w:r>
      <w:r w:rsidRPr="00974523">
        <w:rPr>
          <w:b/>
          <w:sz w:val="28"/>
          <w:szCs w:val="28"/>
        </w:rPr>
        <w:t>)</w:t>
      </w:r>
    </w:p>
    <w:p w:rsidR="001C0B3D" w:rsidRDefault="001C0B3D" w:rsidP="00BE6BC9">
      <w:pPr>
        <w:spacing w:after="0"/>
        <w:jc w:val="left"/>
        <w:rPr>
          <w:rFonts w:ascii="Calibri" w:eastAsia="Calibri" w:hAnsi="Calibri"/>
          <w:color w:val="1F497D"/>
          <w:szCs w:val="22"/>
          <w:lang w:val="en-AU" w:eastAsia="en-US"/>
        </w:rPr>
      </w:pPr>
    </w:p>
    <w:p w:rsidR="00DC40E0" w:rsidRDefault="001C0B3D" w:rsidP="00BE6BC9">
      <w:pPr>
        <w:spacing w:after="0"/>
        <w:jc w:val="left"/>
        <w:rPr>
          <w:lang w:val="en"/>
        </w:rPr>
      </w:pPr>
      <w:r>
        <w:rPr>
          <w:lang w:val="en"/>
        </w:rPr>
        <w:t xml:space="preserve">On 18 February 2015, </w:t>
      </w:r>
      <w:r w:rsidR="00974523">
        <w:rPr>
          <w:lang w:val="en"/>
        </w:rPr>
        <w:t>t</w:t>
      </w:r>
      <w:r w:rsidRPr="001C0B3D">
        <w:rPr>
          <w:lang w:val="en"/>
        </w:rPr>
        <w:t xml:space="preserve">he Department of Transportation’s Federal Aviation Administration </w:t>
      </w:r>
      <w:r w:rsidR="00974523">
        <w:rPr>
          <w:lang w:val="en"/>
        </w:rPr>
        <w:t xml:space="preserve">in the USA </w:t>
      </w:r>
      <w:r w:rsidRPr="001C0B3D">
        <w:rPr>
          <w:lang w:val="en"/>
        </w:rPr>
        <w:t>proposed a framework of regulations (PDF) that would allow routine use of certain small unmanned aircraft systems (UAS) in today’s aviation system, while maintaining flexibility to accommodate future technological innovations.</w:t>
      </w:r>
      <w:r w:rsidR="00974523">
        <w:rPr>
          <w:lang w:val="en"/>
        </w:rPr>
        <w:t xml:space="preserve"> It is using the following categories:</w:t>
      </w:r>
    </w:p>
    <w:p w:rsidR="00DC40E0" w:rsidRPr="00DC40E0" w:rsidRDefault="00DC40E0" w:rsidP="00DC40E0">
      <w:pPr>
        <w:spacing w:after="0"/>
        <w:jc w:val="left"/>
        <w:rPr>
          <w:lang w:val="en"/>
        </w:rPr>
      </w:pPr>
    </w:p>
    <w:p w:rsidR="00DC40E0" w:rsidRPr="00DC40E0" w:rsidRDefault="00DC40E0" w:rsidP="00DC40E0">
      <w:pPr>
        <w:spacing w:after="0"/>
        <w:jc w:val="left"/>
        <w:rPr>
          <w:lang w:val="en"/>
        </w:rPr>
      </w:pPr>
      <w:r w:rsidRPr="00DC40E0">
        <w:rPr>
          <w:lang w:val="en"/>
        </w:rPr>
        <w:t xml:space="preserve">    Public Operations (Governmental)</w:t>
      </w:r>
    </w:p>
    <w:p w:rsidR="00DC40E0" w:rsidRPr="00DC40E0" w:rsidRDefault="00DC40E0" w:rsidP="00DC40E0">
      <w:pPr>
        <w:spacing w:after="0"/>
        <w:jc w:val="left"/>
        <w:rPr>
          <w:lang w:val="en"/>
        </w:rPr>
      </w:pPr>
      <w:r w:rsidRPr="00DC40E0">
        <w:rPr>
          <w:lang w:val="en"/>
        </w:rPr>
        <w:t xml:space="preserve">    Civil Operations (Non-Governmental)</w:t>
      </w:r>
    </w:p>
    <w:p w:rsidR="00DC40E0" w:rsidRDefault="00DC40E0" w:rsidP="00DC40E0">
      <w:pPr>
        <w:spacing w:after="0"/>
        <w:jc w:val="left"/>
        <w:rPr>
          <w:lang w:val="en"/>
        </w:rPr>
      </w:pPr>
      <w:r w:rsidRPr="00DC40E0">
        <w:rPr>
          <w:lang w:val="en"/>
        </w:rPr>
        <w:t xml:space="preserve">    Model Aircraft (Hobby or Recreation Only)</w:t>
      </w:r>
    </w:p>
    <w:p w:rsidR="00DC40E0" w:rsidRDefault="00DC40E0" w:rsidP="00DC40E0">
      <w:pPr>
        <w:spacing w:after="0"/>
        <w:jc w:val="left"/>
        <w:rPr>
          <w:lang w:val="en"/>
        </w:rPr>
      </w:pPr>
    </w:p>
    <w:p w:rsidR="00974523" w:rsidRDefault="00974523" w:rsidP="00DC40E0">
      <w:pPr>
        <w:spacing w:after="0"/>
        <w:jc w:val="left"/>
        <w:rPr>
          <w:lang w:val="en"/>
        </w:rPr>
      </w:pPr>
      <w:r>
        <w:rPr>
          <w:lang w:val="en"/>
        </w:rPr>
        <w:t xml:space="preserve">See: </w:t>
      </w:r>
      <w:hyperlink r:id="rId36" w:history="1">
        <w:r w:rsidRPr="00231023">
          <w:rPr>
            <w:rStyle w:val="Lienhypertexte"/>
            <w:lang w:val="en"/>
          </w:rPr>
          <w:t>https://www.faa.gov/uas/</w:t>
        </w:r>
      </w:hyperlink>
      <w:r>
        <w:rPr>
          <w:lang w:val="en"/>
        </w:rPr>
        <w:t xml:space="preserve"> </w:t>
      </w:r>
    </w:p>
    <w:p w:rsidR="00974523" w:rsidRDefault="00974523" w:rsidP="00DC40E0">
      <w:pPr>
        <w:spacing w:after="0"/>
        <w:jc w:val="left"/>
        <w:rPr>
          <w:lang w:val="en"/>
        </w:rPr>
      </w:pPr>
    </w:p>
    <w:p w:rsidR="00DC40E0" w:rsidRDefault="00F51776" w:rsidP="00DC40E0">
      <w:pPr>
        <w:spacing w:after="0"/>
        <w:jc w:val="left"/>
        <w:rPr>
          <w:lang w:val="en"/>
        </w:rPr>
      </w:pPr>
      <w:r>
        <w:rPr>
          <w:lang w:val="en"/>
        </w:rPr>
        <w:t xml:space="preserve">By law, all UAS require certification from the FAA </w:t>
      </w:r>
      <w:r w:rsidR="00974523">
        <w:rPr>
          <w:lang w:val="en"/>
        </w:rPr>
        <w:t xml:space="preserve">in the USA </w:t>
      </w:r>
      <w:r>
        <w:rPr>
          <w:lang w:val="en"/>
        </w:rPr>
        <w:t>and the website contains the information on how to apply. As part of this process, t</w:t>
      </w:r>
      <w:r w:rsidR="00DC40E0" w:rsidRPr="00DC40E0">
        <w:rPr>
          <w:lang w:val="en"/>
        </w:rPr>
        <w:t>he petitioner</w:t>
      </w:r>
      <w:r w:rsidR="00DC40E0">
        <w:rPr>
          <w:lang w:val="en"/>
        </w:rPr>
        <w:t xml:space="preserve"> </w:t>
      </w:r>
      <w:r w:rsidR="00DC40E0" w:rsidRPr="00DC40E0">
        <w:rPr>
          <w:lang w:val="en"/>
        </w:rPr>
        <w:t>should describe the Radio Frequency (RF) spectrum used for control of the</w:t>
      </w:r>
      <w:r>
        <w:rPr>
          <w:lang w:val="en"/>
        </w:rPr>
        <w:t xml:space="preserve"> </w:t>
      </w:r>
      <w:r w:rsidR="00DC40E0" w:rsidRPr="00DC40E0">
        <w:rPr>
          <w:lang w:val="en"/>
        </w:rPr>
        <w:t>UAS and associated equipment that is part of the UAS (i.e., sensors, cameras, etc.),</w:t>
      </w:r>
      <w:r>
        <w:rPr>
          <w:lang w:val="en"/>
        </w:rPr>
        <w:t xml:space="preserve"> a</w:t>
      </w:r>
      <w:r w:rsidR="00DC40E0" w:rsidRPr="00DC40E0">
        <w:rPr>
          <w:lang w:val="en"/>
        </w:rPr>
        <w:t>nd</w:t>
      </w:r>
      <w:r w:rsidR="00DC40E0">
        <w:rPr>
          <w:lang w:val="en"/>
        </w:rPr>
        <w:t xml:space="preserve"> </w:t>
      </w:r>
      <w:r w:rsidR="00DC40E0" w:rsidRPr="00DC40E0">
        <w:rPr>
          <w:lang w:val="en"/>
        </w:rPr>
        <w:t>whether it complies with</w:t>
      </w:r>
      <w:r w:rsidR="00DC40E0">
        <w:rPr>
          <w:lang w:val="en"/>
        </w:rPr>
        <w:t xml:space="preserve"> </w:t>
      </w:r>
      <w:r w:rsidR="00DC40E0" w:rsidRPr="00DC40E0">
        <w:rPr>
          <w:lang w:val="en"/>
        </w:rPr>
        <w:t>Federal Communications Commission (FCC) or other</w:t>
      </w:r>
      <w:r>
        <w:rPr>
          <w:lang w:val="en"/>
        </w:rPr>
        <w:t xml:space="preserve"> </w:t>
      </w:r>
      <w:r w:rsidR="00DC40E0" w:rsidRPr="00DC40E0">
        <w:rPr>
          <w:lang w:val="en"/>
        </w:rPr>
        <w:t>appropriate government oversight agency</w:t>
      </w:r>
      <w:r w:rsidR="00DC40E0">
        <w:rPr>
          <w:lang w:val="en"/>
        </w:rPr>
        <w:t xml:space="preserve"> </w:t>
      </w:r>
      <w:r w:rsidR="00DC40E0" w:rsidRPr="00DC40E0">
        <w:rPr>
          <w:lang w:val="en"/>
        </w:rPr>
        <w:t>requirements</w:t>
      </w:r>
      <w:r>
        <w:rPr>
          <w:lang w:val="en"/>
        </w:rPr>
        <w:t xml:space="preserve">. </w:t>
      </w:r>
    </w:p>
    <w:p w:rsidR="00974523" w:rsidRDefault="00974523" w:rsidP="00DC40E0">
      <w:pPr>
        <w:spacing w:after="0"/>
        <w:jc w:val="left"/>
        <w:rPr>
          <w:lang w:val="en"/>
        </w:rPr>
      </w:pPr>
    </w:p>
    <w:p w:rsidR="00974523" w:rsidRDefault="00974523" w:rsidP="00DC40E0">
      <w:pPr>
        <w:spacing w:after="0"/>
        <w:jc w:val="left"/>
        <w:rPr>
          <w:lang w:val="en"/>
        </w:rPr>
      </w:pPr>
      <w:r>
        <w:rPr>
          <w:lang w:val="en"/>
        </w:rPr>
        <w:t>(of interest for the WGFM CG activities and perhaps also a subject for enquiry about the FCC considerations with regard to UAS spectrum use (control as well as payload, such as cameras) for civil operations and model aircraft) at the next ECC-FCC-IC meeting</w:t>
      </w:r>
      <w:r w:rsidR="00804D30">
        <w:rPr>
          <w:lang w:val="en"/>
        </w:rPr>
        <w:t>)</w:t>
      </w:r>
    </w:p>
    <w:p w:rsidR="0024367A" w:rsidRDefault="0024367A" w:rsidP="00DC40E0">
      <w:pPr>
        <w:spacing w:after="0"/>
        <w:jc w:val="left"/>
        <w:rPr>
          <w:lang w:val="en"/>
        </w:rPr>
      </w:pPr>
    </w:p>
    <w:p w:rsidR="00974523" w:rsidRDefault="00974523" w:rsidP="00DC40E0">
      <w:pPr>
        <w:spacing w:after="0"/>
        <w:jc w:val="left"/>
        <w:rPr>
          <w:lang w:val="en"/>
        </w:rPr>
      </w:pPr>
    </w:p>
    <w:p w:rsidR="00974523" w:rsidRPr="00B74718" w:rsidRDefault="00974523" w:rsidP="00897AB6">
      <w:pPr>
        <w:pStyle w:val="Paragraphedeliste"/>
        <w:numPr>
          <w:ilvl w:val="0"/>
          <w:numId w:val="3"/>
        </w:numPr>
        <w:spacing w:after="0"/>
        <w:rPr>
          <w:b/>
          <w:sz w:val="28"/>
          <w:szCs w:val="28"/>
        </w:rPr>
      </w:pPr>
      <w:r w:rsidRPr="00B74718">
        <w:rPr>
          <w:b/>
          <w:sz w:val="28"/>
          <w:szCs w:val="28"/>
        </w:rPr>
        <w:t xml:space="preserve">FCC: </w:t>
      </w:r>
      <w:r w:rsidR="00B74718" w:rsidRPr="00B74718">
        <w:rPr>
          <w:b/>
          <w:sz w:val="28"/>
          <w:szCs w:val="28"/>
        </w:rPr>
        <w:t xml:space="preserve">Spectrum Frontiers Notice of Inquiry - </w:t>
      </w:r>
      <w:r w:rsidRPr="00B74718">
        <w:rPr>
          <w:b/>
          <w:sz w:val="28"/>
          <w:szCs w:val="28"/>
        </w:rPr>
        <w:t xml:space="preserve">Spectrum Bands above 24 GHz for Mobile Radio Services (for 5G </w:t>
      </w:r>
      <w:r w:rsidR="0056057A">
        <w:rPr>
          <w:b/>
          <w:sz w:val="28"/>
          <w:szCs w:val="28"/>
        </w:rPr>
        <w:t>a</w:t>
      </w:r>
      <w:r w:rsidRPr="00B74718">
        <w:rPr>
          <w:b/>
          <w:sz w:val="28"/>
          <w:szCs w:val="28"/>
        </w:rPr>
        <w:t xml:space="preserve">nd </w:t>
      </w:r>
      <w:r w:rsidR="0056057A">
        <w:rPr>
          <w:b/>
          <w:sz w:val="28"/>
          <w:szCs w:val="28"/>
        </w:rPr>
        <w:t>m</w:t>
      </w:r>
      <w:r w:rsidRPr="00B74718">
        <w:rPr>
          <w:b/>
          <w:sz w:val="28"/>
          <w:szCs w:val="28"/>
        </w:rPr>
        <w:t>ore)</w:t>
      </w:r>
    </w:p>
    <w:p w:rsidR="00974523" w:rsidRDefault="00974523" w:rsidP="00DC40E0">
      <w:pPr>
        <w:spacing w:after="0"/>
        <w:jc w:val="left"/>
        <w:rPr>
          <w:lang w:val="en"/>
        </w:rPr>
      </w:pPr>
    </w:p>
    <w:p w:rsidR="00DC40E0" w:rsidRPr="0056057A" w:rsidRDefault="00974523" w:rsidP="00DC40E0">
      <w:pPr>
        <w:spacing w:after="0"/>
        <w:jc w:val="left"/>
        <w:rPr>
          <w:szCs w:val="22"/>
          <w:lang w:val="en"/>
        </w:rPr>
      </w:pPr>
      <w:r w:rsidRPr="0056057A">
        <w:rPr>
          <w:szCs w:val="22"/>
          <w:lang w:val="en"/>
        </w:rPr>
        <w:t xml:space="preserve">The FCC had extended the period for responses under a questionnaire until 17 February 2015. Until the deadline, </w:t>
      </w:r>
      <w:r w:rsidR="00DC40E0" w:rsidRPr="0056057A">
        <w:rPr>
          <w:szCs w:val="22"/>
          <w:lang w:val="en"/>
        </w:rPr>
        <w:t xml:space="preserve">Docket No. 14-177, 136 responses </w:t>
      </w:r>
      <w:r w:rsidRPr="0056057A">
        <w:rPr>
          <w:szCs w:val="22"/>
          <w:lang w:val="en"/>
        </w:rPr>
        <w:t>were received.</w:t>
      </w:r>
    </w:p>
    <w:p w:rsidR="00974523" w:rsidRPr="0056057A" w:rsidRDefault="00974523" w:rsidP="00DC40E0">
      <w:pPr>
        <w:spacing w:after="0"/>
        <w:jc w:val="left"/>
        <w:rPr>
          <w:szCs w:val="22"/>
          <w:lang w:val="en"/>
        </w:rPr>
      </w:pPr>
    </w:p>
    <w:p w:rsidR="00DC40E0" w:rsidRPr="00DC40E0" w:rsidRDefault="00974523" w:rsidP="00974523">
      <w:pPr>
        <w:spacing w:after="0"/>
        <w:jc w:val="left"/>
        <w:rPr>
          <w:szCs w:val="22"/>
          <w:lang w:val="en"/>
        </w:rPr>
      </w:pPr>
      <w:r w:rsidRPr="0056057A">
        <w:rPr>
          <w:szCs w:val="22"/>
          <w:lang w:val="en"/>
        </w:rPr>
        <w:t xml:space="preserve">It seems that there is a lot of interest </w:t>
      </w:r>
      <w:r w:rsidR="00DC40E0" w:rsidRPr="00DC40E0">
        <w:rPr>
          <w:szCs w:val="22"/>
          <w:lang w:val="en"/>
        </w:rPr>
        <w:t xml:space="preserve">in this spectrum from just about every segment of the communications industry—except from broadcast and public safety/land mobile representatives. Originally it was thought this spectrum would not be suitable to reach indoor devices. </w:t>
      </w:r>
      <w:r w:rsidRPr="0056057A">
        <w:rPr>
          <w:szCs w:val="22"/>
          <w:lang w:val="en"/>
        </w:rPr>
        <w:t xml:space="preserve">For those </w:t>
      </w:r>
      <w:r w:rsidR="00DC40E0" w:rsidRPr="00DC40E0">
        <w:rPr>
          <w:szCs w:val="22"/>
          <w:lang w:val="en"/>
        </w:rPr>
        <w:t>wondering how such spectrum could be useful for mobile communications, comments on the</w:t>
      </w:r>
      <w:r w:rsidR="00DC40E0" w:rsidRPr="00DC40E0">
        <w:rPr>
          <w:rFonts w:ascii="Times New Roman" w:hAnsi="Times New Roman"/>
          <w:szCs w:val="22"/>
          <w:lang w:val="en-US" w:eastAsia="da-DK"/>
        </w:rPr>
        <w:t xml:space="preserve"> </w:t>
      </w:r>
      <w:r w:rsidR="00DC40E0" w:rsidRPr="00DC40E0">
        <w:rPr>
          <w:szCs w:val="22"/>
          <w:lang w:val="en"/>
        </w:rPr>
        <w:t>FCC's “Spectrum Frontiers Notice of Inquiry” (NOI)—which have been posted on the commission's Electronic Comment Filing System (ECFS)— from the</w:t>
      </w:r>
      <w:r w:rsidR="00DC40E0" w:rsidRPr="00DC40E0">
        <w:rPr>
          <w:rFonts w:ascii="Times New Roman" w:hAnsi="Times New Roman"/>
          <w:szCs w:val="22"/>
          <w:lang w:val="en-US" w:eastAsia="da-DK"/>
        </w:rPr>
        <w:t xml:space="preserve"> </w:t>
      </w:r>
      <w:hyperlink r:id="rId37" w:tgtFrame="_blank" w:history="1">
        <w:r w:rsidR="00DC40E0" w:rsidRPr="00DC40E0">
          <w:rPr>
            <w:rFonts w:ascii="Times New Roman" w:hAnsi="Times New Roman"/>
            <w:color w:val="0000FF"/>
            <w:szCs w:val="22"/>
            <w:u w:val="single"/>
            <w:lang w:val="en-US" w:eastAsia="da-DK"/>
          </w:rPr>
          <w:t>New York Polytechnic University</w:t>
        </w:r>
      </w:hyperlink>
      <w:r w:rsidR="00DC40E0" w:rsidRPr="00DC40E0">
        <w:rPr>
          <w:rFonts w:ascii="Times New Roman" w:hAnsi="Times New Roman"/>
          <w:szCs w:val="22"/>
          <w:lang w:val="en-US" w:eastAsia="da-DK"/>
        </w:rPr>
        <w:t> </w:t>
      </w:r>
      <w:r w:rsidR="00DC40E0" w:rsidRPr="00DC40E0">
        <w:rPr>
          <w:szCs w:val="22"/>
          <w:lang w:val="en"/>
        </w:rPr>
        <w:t>and</w:t>
      </w:r>
      <w:r w:rsidR="00DC40E0" w:rsidRPr="00DC40E0">
        <w:rPr>
          <w:rFonts w:ascii="Times New Roman" w:hAnsi="Times New Roman"/>
          <w:szCs w:val="22"/>
          <w:lang w:val="en-US" w:eastAsia="da-DK"/>
        </w:rPr>
        <w:t xml:space="preserve"> </w:t>
      </w:r>
      <w:hyperlink r:id="rId38" w:tgtFrame="_blank" w:history="1">
        <w:r w:rsidR="00DC40E0" w:rsidRPr="00DC40E0">
          <w:rPr>
            <w:rFonts w:ascii="Times New Roman" w:hAnsi="Times New Roman"/>
            <w:color w:val="0000FF"/>
            <w:szCs w:val="22"/>
            <w:u w:val="single"/>
            <w:lang w:val="en-US" w:eastAsia="da-DK"/>
          </w:rPr>
          <w:t>attachments</w:t>
        </w:r>
      </w:hyperlink>
      <w:r w:rsidR="00DC40E0" w:rsidRPr="00DC40E0">
        <w:rPr>
          <w:rFonts w:ascii="Times New Roman" w:hAnsi="Times New Roman"/>
          <w:szCs w:val="22"/>
          <w:lang w:val="en-US" w:eastAsia="da-DK"/>
        </w:rPr>
        <w:t> </w:t>
      </w:r>
      <w:r w:rsidR="00DC40E0" w:rsidRPr="00DC40E0">
        <w:rPr>
          <w:szCs w:val="22"/>
          <w:lang w:val="en"/>
        </w:rPr>
        <w:t xml:space="preserve">outline their research showing how it worked in Manhattan and </w:t>
      </w:r>
      <w:r w:rsidR="00DC40E0" w:rsidRPr="00DC40E0">
        <w:rPr>
          <w:szCs w:val="22"/>
          <w:lang w:val="en"/>
        </w:rPr>
        <w:lastRenderedPageBreak/>
        <w:t>Brooklyn. Comments from</w:t>
      </w:r>
      <w:r w:rsidR="00DC40E0" w:rsidRPr="00DC40E0">
        <w:rPr>
          <w:rFonts w:ascii="Times New Roman" w:hAnsi="Times New Roman"/>
          <w:szCs w:val="22"/>
          <w:lang w:val="en-US" w:eastAsia="da-DK"/>
        </w:rPr>
        <w:t xml:space="preserve"> </w:t>
      </w:r>
      <w:hyperlink r:id="rId39" w:tgtFrame="_blank" w:history="1">
        <w:r w:rsidR="00DC40E0" w:rsidRPr="00DC40E0">
          <w:rPr>
            <w:rFonts w:ascii="Times New Roman" w:hAnsi="Times New Roman"/>
            <w:color w:val="0000FF"/>
            <w:szCs w:val="22"/>
            <w:u w:val="single"/>
            <w:lang w:val="en-US" w:eastAsia="da-DK"/>
          </w:rPr>
          <w:t>Samsung</w:t>
        </w:r>
      </w:hyperlink>
      <w:r w:rsidR="00DC40E0" w:rsidRPr="00DC40E0">
        <w:rPr>
          <w:rFonts w:ascii="Times New Roman" w:hAnsi="Times New Roman"/>
          <w:szCs w:val="22"/>
          <w:lang w:val="en-US" w:eastAsia="da-DK"/>
        </w:rPr>
        <w:t> </w:t>
      </w:r>
      <w:r w:rsidR="00DC40E0" w:rsidRPr="00DC40E0">
        <w:rPr>
          <w:szCs w:val="22"/>
          <w:lang w:val="en"/>
        </w:rPr>
        <w:t xml:space="preserve">highlight that company's research and studies on sharing and compatibility between mobile broadband and fixed systems using the bands above 24 GHz. </w:t>
      </w:r>
    </w:p>
    <w:p w:rsidR="00B74718" w:rsidRPr="0056057A" w:rsidRDefault="00B74718" w:rsidP="00B74718">
      <w:pPr>
        <w:spacing w:after="0"/>
        <w:jc w:val="left"/>
        <w:rPr>
          <w:szCs w:val="22"/>
          <w:lang w:val="en"/>
        </w:rPr>
      </w:pPr>
    </w:p>
    <w:p w:rsidR="00804D30" w:rsidRDefault="00B74718" w:rsidP="00B74718">
      <w:pPr>
        <w:spacing w:after="0"/>
        <w:jc w:val="left"/>
        <w:rPr>
          <w:szCs w:val="22"/>
          <w:lang w:val="en"/>
        </w:rPr>
      </w:pPr>
      <w:r w:rsidRPr="0056057A">
        <w:rPr>
          <w:szCs w:val="22"/>
          <w:lang w:val="en"/>
        </w:rPr>
        <w:t xml:space="preserve">One underlying assumption is </w:t>
      </w:r>
      <w:r w:rsidR="00DC40E0" w:rsidRPr="00DC40E0">
        <w:rPr>
          <w:szCs w:val="22"/>
          <w:lang w:val="en"/>
        </w:rPr>
        <w:t>that 5G deployments could start in 2020, only five years from now. There is some debate about what constitutes 5G; some see it as multi-</w:t>
      </w:r>
      <w:proofErr w:type="spellStart"/>
      <w:r w:rsidR="00DC40E0" w:rsidRPr="00DC40E0">
        <w:rPr>
          <w:szCs w:val="22"/>
          <w:lang w:val="en"/>
        </w:rPr>
        <w:t>Gbps</w:t>
      </w:r>
      <w:proofErr w:type="spellEnd"/>
      <w:r w:rsidR="00DC40E0" w:rsidRPr="00DC40E0">
        <w:rPr>
          <w:szCs w:val="22"/>
          <w:lang w:val="en"/>
        </w:rPr>
        <w:t xml:space="preserve"> data using spectrum above 10 GHz while others see it as an assortment of technologies that will include spectrum below 3 GHz. Obviously, how 5G is defined will determine how the rollout date is determined. </w:t>
      </w:r>
      <w:r w:rsidR="009801F4">
        <w:rPr>
          <w:szCs w:val="22"/>
          <w:lang w:val="en"/>
        </w:rPr>
        <w:t xml:space="preserve"> </w:t>
      </w:r>
    </w:p>
    <w:p w:rsidR="00804D30" w:rsidRDefault="00804D30" w:rsidP="00B74718">
      <w:pPr>
        <w:spacing w:after="0"/>
        <w:jc w:val="left"/>
        <w:rPr>
          <w:szCs w:val="22"/>
          <w:lang w:val="en"/>
        </w:rPr>
      </w:pPr>
    </w:p>
    <w:p w:rsidR="00DC40E0" w:rsidRPr="00DC40E0" w:rsidRDefault="009801F4" w:rsidP="00B74718">
      <w:pPr>
        <w:spacing w:after="0"/>
        <w:jc w:val="left"/>
        <w:rPr>
          <w:szCs w:val="22"/>
          <w:lang w:val="en"/>
        </w:rPr>
      </w:pPr>
      <w:r>
        <w:rPr>
          <w:szCs w:val="22"/>
          <w:lang w:val="en"/>
        </w:rPr>
        <w:t>The ECC intends to consider the subject of 5G in a future edition of the ECC Newsletter.</w:t>
      </w:r>
    </w:p>
    <w:p w:rsidR="004012B1" w:rsidRPr="0056057A" w:rsidRDefault="004012B1" w:rsidP="004012B1">
      <w:pPr>
        <w:spacing w:after="0"/>
        <w:jc w:val="left"/>
        <w:rPr>
          <w:szCs w:val="22"/>
          <w:lang w:val="en"/>
        </w:rPr>
      </w:pPr>
    </w:p>
    <w:p w:rsidR="00DC40E0" w:rsidRDefault="009801F4" w:rsidP="004012B1">
      <w:pPr>
        <w:spacing w:after="0"/>
        <w:jc w:val="left"/>
        <w:rPr>
          <w:szCs w:val="22"/>
          <w:lang w:val="en"/>
        </w:rPr>
      </w:pPr>
      <w:r>
        <w:rPr>
          <w:szCs w:val="22"/>
          <w:lang w:val="en"/>
        </w:rPr>
        <w:t>T</w:t>
      </w:r>
      <w:r w:rsidR="00DC40E0" w:rsidRPr="00DC40E0">
        <w:rPr>
          <w:szCs w:val="22"/>
          <w:lang w:val="en"/>
        </w:rPr>
        <w:t>he comments filed in the NOI</w:t>
      </w:r>
      <w:r>
        <w:rPr>
          <w:szCs w:val="22"/>
          <w:lang w:val="en"/>
        </w:rPr>
        <w:t xml:space="preserve"> do not encourage the impressi</w:t>
      </w:r>
      <w:r w:rsidR="00804D30">
        <w:rPr>
          <w:szCs w:val="22"/>
          <w:lang w:val="en"/>
        </w:rPr>
        <w:t>on</w:t>
      </w:r>
      <w:r>
        <w:rPr>
          <w:szCs w:val="22"/>
          <w:lang w:val="en"/>
        </w:rPr>
        <w:t xml:space="preserve"> that </w:t>
      </w:r>
      <w:r w:rsidR="00DC40E0" w:rsidRPr="00DC40E0">
        <w:rPr>
          <w:szCs w:val="22"/>
          <w:lang w:val="en"/>
        </w:rPr>
        <w:t>widespread commercial deployment c</w:t>
      </w:r>
      <w:r>
        <w:rPr>
          <w:szCs w:val="22"/>
          <w:lang w:val="en"/>
        </w:rPr>
        <w:t>ould</w:t>
      </w:r>
      <w:r w:rsidR="00DC40E0" w:rsidRPr="00DC40E0">
        <w:rPr>
          <w:szCs w:val="22"/>
          <w:lang w:val="en"/>
        </w:rPr>
        <w:t xml:space="preserve"> begin five years from now</w:t>
      </w:r>
      <w:r w:rsidR="00B74718" w:rsidRPr="0056057A">
        <w:rPr>
          <w:szCs w:val="22"/>
          <w:lang w:val="en"/>
        </w:rPr>
        <w:t xml:space="preserve">. </w:t>
      </w:r>
      <w:r w:rsidR="00DC40E0" w:rsidRPr="00DC40E0">
        <w:rPr>
          <w:szCs w:val="22"/>
          <w:lang w:val="en"/>
        </w:rPr>
        <w:t xml:space="preserve">Most of the commenters say lower frequency (and, consequently, lower bandwidth/data rate) wireless networks will still be needed for wide area coverage. </w:t>
      </w:r>
      <w:r>
        <w:rPr>
          <w:szCs w:val="22"/>
          <w:lang w:val="en"/>
        </w:rPr>
        <w:t xml:space="preserve"> We highlight some of these below.</w:t>
      </w:r>
    </w:p>
    <w:p w:rsidR="009801F4" w:rsidRDefault="009801F4" w:rsidP="004012B1">
      <w:pPr>
        <w:spacing w:after="0"/>
        <w:jc w:val="left"/>
        <w:rPr>
          <w:szCs w:val="22"/>
          <w:lang w:val="en"/>
        </w:rPr>
      </w:pPr>
    </w:p>
    <w:p w:rsidR="009801F4" w:rsidRPr="00DC40E0" w:rsidRDefault="009801F4" w:rsidP="009801F4">
      <w:pPr>
        <w:spacing w:after="0"/>
        <w:jc w:val="left"/>
        <w:rPr>
          <w:lang w:val="en-US"/>
        </w:rPr>
      </w:pPr>
      <w:r>
        <w:rPr>
          <w:lang w:val="en-US"/>
        </w:rPr>
        <w:t xml:space="preserve">The ECC may decide whether similar considerations are useful, in line with the Strategic Plan.  </w:t>
      </w:r>
      <w:r w:rsidRPr="0056057A">
        <w:rPr>
          <w:lang w:val="en-US"/>
        </w:rPr>
        <w:t xml:space="preserve">ERC/DEC/(99)15 on the designation of the </w:t>
      </w:r>
      <w:proofErr w:type="spellStart"/>
      <w:r w:rsidRPr="0056057A">
        <w:rPr>
          <w:lang w:val="en-US"/>
        </w:rPr>
        <w:t>harmonised</w:t>
      </w:r>
      <w:proofErr w:type="spellEnd"/>
      <w:r w:rsidRPr="0056057A">
        <w:rPr>
          <w:lang w:val="en-US"/>
        </w:rPr>
        <w:t xml:space="preserve"> frequency band 40.5 to 43.5 GHz for the introduction of Multimedia Wireless Systems (MWS) and Point-to-Point (P-P) Fixed Wireless Systems</w:t>
      </w:r>
      <w:r>
        <w:rPr>
          <w:lang w:val="en-US"/>
        </w:rPr>
        <w:t xml:space="preserve"> comes under regular review in WGFM, WGFM has already identified already review actions concerning applications under general </w:t>
      </w:r>
      <w:proofErr w:type="spellStart"/>
      <w:r>
        <w:rPr>
          <w:lang w:val="en-US"/>
        </w:rPr>
        <w:t>authorisations</w:t>
      </w:r>
      <w:proofErr w:type="spellEnd"/>
      <w:r>
        <w:rPr>
          <w:lang w:val="en-US"/>
        </w:rPr>
        <w:t xml:space="preserve"> at 60 GHz). This item too, may be a subject to enquire further information at the next opportunity with the FCC).</w:t>
      </w:r>
    </w:p>
    <w:p w:rsidR="009801F4" w:rsidRDefault="009801F4" w:rsidP="004012B1">
      <w:pPr>
        <w:spacing w:after="0"/>
        <w:jc w:val="left"/>
        <w:rPr>
          <w:szCs w:val="22"/>
          <w:lang w:val="en"/>
        </w:rPr>
      </w:pPr>
    </w:p>
    <w:p w:rsidR="009801F4" w:rsidRPr="00804D30" w:rsidRDefault="009801F4" w:rsidP="004012B1">
      <w:pPr>
        <w:spacing w:after="0"/>
        <w:jc w:val="left"/>
        <w:rPr>
          <w:i/>
          <w:szCs w:val="22"/>
          <w:lang w:val="en"/>
        </w:rPr>
      </w:pPr>
      <w:r w:rsidRPr="00804D30">
        <w:rPr>
          <w:i/>
          <w:szCs w:val="22"/>
          <w:lang w:val="en"/>
        </w:rPr>
        <w:t>Summary of NOI Comments</w:t>
      </w:r>
      <w:r>
        <w:rPr>
          <w:i/>
          <w:szCs w:val="22"/>
          <w:lang w:val="en"/>
        </w:rPr>
        <w:t>:</w:t>
      </w:r>
    </w:p>
    <w:p w:rsidR="004012B1" w:rsidRPr="0056057A" w:rsidRDefault="00BD2577" w:rsidP="00DC40E0">
      <w:pPr>
        <w:spacing w:before="100" w:beforeAutospacing="1" w:after="100" w:afterAutospacing="1"/>
        <w:jc w:val="left"/>
        <w:rPr>
          <w:szCs w:val="22"/>
          <w:lang w:val="en"/>
        </w:rPr>
      </w:pPr>
      <w:hyperlink r:id="rId40" w:tgtFrame="_blank" w:history="1">
        <w:r w:rsidR="00DC40E0" w:rsidRPr="00DC40E0">
          <w:rPr>
            <w:rFonts w:ascii="Times New Roman" w:hAnsi="Times New Roman"/>
            <w:color w:val="0000FF"/>
            <w:szCs w:val="22"/>
            <w:u w:val="single"/>
            <w:lang w:val="en-US" w:eastAsia="da-DK"/>
          </w:rPr>
          <w:t>Ericsson's comments</w:t>
        </w:r>
      </w:hyperlink>
      <w:r w:rsidR="00DC40E0" w:rsidRPr="00DC40E0">
        <w:rPr>
          <w:rFonts w:ascii="Times New Roman" w:hAnsi="Times New Roman"/>
          <w:szCs w:val="22"/>
          <w:lang w:val="en-US" w:eastAsia="da-DK"/>
        </w:rPr>
        <w:t> </w:t>
      </w:r>
      <w:r w:rsidR="00DC40E0" w:rsidRPr="00DC40E0">
        <w:rPr>
          <w:szCs w:val="22"/>
          <w:lang w:val="en"/>
        </w:rPr>
        <w:t xml:space="preserve">urge the FCC to maintain focus on bands below 24 GHz as well as considering bands above 24 GHz for 5G. </w:t>
      </w:r>
    </w:p>
    <w:p w:rsidR="00DC40E0" w:rsidRPr="00DC40E0" w:rsidRDefault="00BD2577" w:rsidP="00DC40E0">
      <w:pPr>
        <w:spacing w:before="100" w:beforeAutospacing="1" w:after="100" w:afterAutospacing="1"/>
        <w:jc w:val="left"/>
        <w:rPr>
          <w:szCs w:val="22"/>
          <w:lang w:val="en"/>
        </w:rPr>
      </w:pPr>
      <w:hyperlink r:id="rId41" w:tgtFrame="_blank" w:history="1">
        <w:r w:rsidR="00DC40E0" w:rsidRPr="00DC40E0">
          <w:rPr>
            <w:rFonts w:ascii="Times New Roman" w:hAnsi="Times New Roman"/>
            <w:color w:val="0000FF"/>
            <w:szCs w:val="22"/>
            <w:u w:val="single"/>
            <w:lang w:val="en-US" w:eastAsia="da-DK"/>
          </w:rPr>
          <w:t>Qualcomm's comments</w:t>
        </w:r>
      </w:hyperlink>
      <w:r w:rsidR="00DC40E0" w:rsidRPr="00DC40E0">
        <w:rPr>
          <w:rFonts w:ascii="Times New Roman" w:hAnsi="Times New Roman"/>
          <w:szCs w:val="22"/>
          <w:lang w:val="en-US" w:eastAsia="da-DK"/>
        </w:rPr>
        <w:t> </w:t>
      </w:r>
      <w:r w:rsidR="00DC40E0" w:rsidRPr="00DC40E0">
        <w:rPr>
          <w:szCs w:val="22"/>
          <w:lang w:val="en"/>
        </w:rPr>
        <w:t>state, “These millimeter wave bands can be used as part of the 5G solution, but 5G services will encompass much more than just operations in these bands. Qualcomm envisions 5G services using low-band, mid-band, and high-band spectrum, all in concert with one another to deliver unparalleled forms of connectivity, not just in terms of capacity, data rates, and latency, but also in terms of the mode of connectivity (i.e., device to device, mesh, etc.), and the support of new device types, including drones, robots, and other industrial machines.”</w:t>
      </w:r>
    </w:p>
    <w:p w:rsidR="004012B1" w:rsidRPr="0056057A" w:rsidRDefault="00DC40E0" w:rsidP="00DC40E0">
      <w:pPr>
        <w:spacing w:before="100" w:beforeAutospacing="1" w:after="100" w:afterAutospacing="1"/>
        <w:jc w:val="left"/>
        <w:rPr>
          <w:szCs w:val="22"/>
          <w:lang w:val="en"/>
        </w:rPr>
      </w:pPr>
      <w:r w:rsidRPr="00DC40E0">
        <w:rPr>
          <w:szCs w:val="22"/>
          <w:lang w:val="en"/>
        </w:rPr>
        <w:t>CTIA, “the Wireless Association” representing wireless carriers, in its</w:t>
      </w:r>
      <w:r w:rsidRPr="00DC40E0">
        <w:rPr>
          <w:rFonts w:ascii="Times New Roman" w:hAnsi="Times New Roman"/>
          <w:szCs w:val="22"/>
          <w:lang w:val="en-US" w:eastAsia="da-DK"/>
        </w:rPr>
        <w:t xml:space="preserve"> </w:t>
      </w:r>
      <w:hyperlink r:id="rId42" w:tgtFrame="_blank" w:history="1">
        <w:r w:rsidRPr="00DC40E0">
          <w:rPr>
            <w:rFonts w:ascii="Times New Roman" w:hAnsi="Times New Roman"/>
            <w:color w:val="0000FF"/>
            <w:szCs w:val="22"/>
            <w:u w:val="single"/>
            <w:lang w:val="en-US" w:eastAsia="da-DK"/>
          </w:rPr>
          <w:t>filing</w:t>
        </w:r>
      </w:hyperlink>
      <w:r w:rsidRPr="00DC40E0">
        <w:rPr>
          <w:rFonts w:ascii="Times New Roman" w:hAnsi="Times New Roman"/>
          <w:szCs w:val="22"/>
          <w:lang w:val="en-US" w:eastAsia="da-DK"/>
        </w:rPr>
        <w:t> </w:t>
      </w:r>
      <w:r w:rsidRPr="00DC40E0">
        <w:rPr>
          <w:szCs w:val="22"/>
          <w:lang w:val="en"/>
        </w:rPr>
        <w:t xml:space="preserve">recommended use of an exclusive licensing framework as much as practicable. “Exclusive use licensing has proven to attract investment in mobile broadband while also sparking wide-spread innovation.” CTIA said that where spectrum is not easily used for mobile wireless services, it could be made available on an unlicensed basis. CTIA also asked the FCC to adopt out-of-band emission (“OOBE”) rules that are technology neutral and do not penalize carriers for using wider bandwidth technologies. </w:t>
      </w:r>
    </w:p>
    <w:p w:rsidR="00DC40E0" w:rsidRPr="00DC40E0" w:rsidRDefault="00DC40E0" w:rsidP="00DC40E0">
      <w:pPr>
        <w:spacing w:before="100" w:beforeAutospacing="1" w:after="100" w:afterAutospacing="1"/>
        <w:jc w:val="left"/>
        <w:rPr>
          <w:rFonts w:ascii="Times New Roman" w:hAnsi="Times New Roman"/>
          <w:szCs w:val="22"/>
          <w:lang w:val="en-US" w:eastAsia="da-DK"/>
        </w:rPr>
      </w:pPr>
      <w:r w:rsidRPr="00DC40E0">
        <w:rPr>
          <w:szCs w:val="22"/>
          <w:lang w:val="en"/>
        </w:rPr>
        <w:t>The Consumer Electronics Association in its</w:t>
      </w:r>
      <w:r w:rsidRPr="00DC40E0">
        <w:rPr>
          <w:rFonts w:ascii="Times New Roman" w:hAnsi="Times New Roman"/>
          <w:szCs w:val="22"/>
          <w:lang w:val="en-US" w:eastAsia="da-DK"/>
        </w:rPr>
        <w:t xml:space="preserve"> </w:t>
      </w:r>
      <w:hyperlink r:id="rId43" w:tgtFrame="_blank" w:history="1">
        <w:r w:rsidRPr="00DC40E0">
          <w:rPr>
            <w:rFonts w:ascii="Times New Roman" w:hAnsi="Times New Roman"/>
            <w:color w:val="0000FF"/>
            <w:szCs w:val="22"/>
            <w:u w:val="single"/>
            <w:lang w:val="en-US" w:eastAsia="da-DK"/>
          </w:rPr>
          <w:t>comments</w:t>
        </w:r>
      </w:hyperlink>
      <w:r w:rsidR="004012B1" w:rsidRPr="0056057A">
        <w:rPr>
          <w:rFonts w:ascii="Times New Roman" w:hAnsi="Times New Roman"/>
          <w:szCs w:val="22"/>
          <w:lang w:val="en-US" w:eastAsia="da-DK"/>
        </w:rPr>
        <w:t xml:space="preserve"> </w:t>
      </w:r>
      <w:r w:rsidR="004012B1" w:rsidRPr="0056057A">
        <w:rPr>
          <w:szCs w:val="22"/>
          <w:lang w:val="en"/>
        </w:rPr>
        <w:t>recommended t</w:t>
      </w:r>
      <w:r w:rsidRPr="00DC40E0">
        <w:rPr>
          <w:szCs w:val="22"/>
          <w:lang w:val="en"/>
        </w:rPr>
        <w:t>he FCC should provide adequate protection to incumbents.</w:t>
      </w:r>
      <w:r w:rsidR="004012B1" w:rsidRPr="0056057A">
        <w:rPr>
          <w:szCs w:val="22"/>
          <w:lang w:val="en"/>
        </w:rPr>
        <w:t xml:space="preserve"> </w:t>
      </w:r>
      <w:r w:rsidRPr="00DC40E0">
        <w:rPr>
          <w:szCs w:val="22"/>
          <w:lang w:val="en"/>
        </w:rPr>
        <w:t>CEA urged developing an ITU-R agenda item for the WRC-18/19 conference at this year's WRC-15, noting that while there is wide support for an agenda item to identify spectrum for 5G mobile services, the focus has been on spectrum below 6 GHz.</w:t>
      </w:r>
      <w:r w:rsidRPr="00DC40E0">
        <w:rPr>
          <w:rFonts w:ascii="Times New Roman" w:hAnsi="Times New Roman"/>
          <w:szCs w:val="22"/>
          <w:lang w:val="en-US" w:eastAsia="da-DK"/>
        </w:rPr>
        <w:t xml:space="preserve"> </w:t>
      </w:r>
    </w:p>
    <w:p w:rsidR="00DC40E0" w:rsidRPr="00DC40E0" w:rsidRDefault="00BD2577" w:rsidP="00DC40E0">
      <w:pPr>
        <w:spacing w:before="100" w:beforeAutospacing="1" w:after="100" w:afterAutospacing="1"/>
        <w:jc w:val="left"/>
        <w:rPr>
          <w:szCs w:val="22"/>
          <w:lang w:val="en"/>
        </w:rPr>
      </w:pPr>
      <w:hyperlink r:id="rId44" w:tgtFrame="_blank" w:history="1">
        <w:r w:rsidR="00DC40E0" w:rsidRPr="00DC40E0">
          <w:rPr>
            <w:rFonts w:ascii="Times New Roman" w:hAnsi="Times New Roman"/>
            <w:color w:val="0000FF"/>
            <w:szCs w:val="22"/>
            <w:u w:val="single"/>
            <w:lang w:val="en-US" w:eastAsia="da-DK"/>
          </w:rPr>
          <w:t>Comments from the Fixed Wireless Communications Coalition (FWCC)</w:t>
        </w:r>
      </w:hyperlink>
      <w:r w:rsidR="00DC40E0" w:rsidRPr="00DC40E0">
        <w:rPr>
          <w:rFonts w:ascii="Times New Roman" w:hAnsi="Times New Roman"/>
          <w:szCs w:val="22"/>
          <w:lang w:val="en-US" w:eastAsia="da-DK"/>
        </w:rPr>
        <w:t> </w:t>
      </w:r>
      <w:r w:rsidR="00DC40E0" w:rsidRPr="00DC40E0">
        <w:rPr>
          <w:szCs w:val="22"/>
          <w:lang w:val="en"/>
        </w:rPr>
        <w:t>point out “The implementation of '5G' services and the growing use of small cell technologies for data delivery will only further demand for Fixed Service wireless backhaul solutions.” Fixed Service wireless backhaul is already being utilized in millimeter wave (</w:t>
      </w:r>
      <w:proofErr w:type="spellStart"/>
      <w:r w:rsidR="00DC40E0" w:rsidRPr="00DC40E0">
        <w:rPr>
          <w:szCs w:val="22"/>
          <w:lang w:val="en"/>
        </w:rPr>
        <w:t>mmW</w:t>
      </w:r>
      <w:proofErr w:type="spellEnd"/>
      <w:r w:rsidR="00DC40E0" w:rsidRPr="00DC40E0">
        <w:rPr>
          <w:szCs w:val="22"/>
          <w:lang w:val="en"/>
        </w:rPr>
        <w:t xml:space="preserve">) bands.” The comments point out that 71-76 GHz and 81-86 GHz bands are well suited for wireless backhaul and are already being used nationwide. FWCC also points out that FWCC filed a Petition for Rulemaking and revision requesting Fixed Service rules at 42-43.5 GHz band. FWCC notes, “In urban settings, backhaul antennas often must be small enough for installation on crowded building tops and </w:t>
      </w:r>
      <w:r w:rsidR="00DC40E0" w:rsidRPr="00DC40E0">
        <w:rPr>
          <w:szCs w:val="22"/>
          <w:lang w:val="en"/>
        </w:rPr>
        <w:lastRenderedPageBreak/>
        <w:t>towers. The 42/43 GHz band, with its short wavelength and correspondingly small antennas, is ideal for this application through a link-by-link licensing scheme with prior frequency coordination.”</w:t>
      </w:r>
    </w:p>
    <w:p w:rsidR="00DC40E0" w:rsidRPr="00DC40E0" w:rsidRDefault="00DC40E0" w:rsidP="00DC40E0">
      <w:pPr>
        <w:spacing w:before="100" w:beforeAutospacing="1" w:after="100" w:afterAutospacing="1"/>
        <w:jc w:val="left"/>
        <w:rPr>
          <w:szCs w:val="22"/>
          <w:lang w:val="en"/>
        </w:rPr>
      </w:pPr>
      <w:r w:rsidRPr="00DC40E0">
        <w:rPr>
          <w:szCs w:val="22"/>
          <w:lang w:val="en"/>
        </w:rPr>
        <w:t>The</w:t>
      </w:r>
      <w:r w:rsidRPr="00DC40E0">
        <w:rPr>
          <w:rFonts w:ascii="Times New Roman" w:hAnsi="Times New Roman"/>
          <w:szCs w:val="22"/>
          <w:lang w:val="en-US" w:eastAsia="da-DK"/>
        </w:rPr>
        <w:t xml:space="preserve"> </w:t>
      </w:r>
      <w:hyperlink r:id="rId45" w:tgtFrame="_blank" w:history="1">
        <w:r w:rsidRPr="00DC40E0">
          <w:rPr>
            <w:rFonts w:ascii="Times New Roman" w:hAnsi="Times New Roman"/>
            <w:color w:val="0000FF"/>
            <w:szCs w:val="22"/>
            <w:u w:val="single"/>
            <w:lang w:val="en-US" w:eastAsia="da-DK"/>
          </w:rPr>
          <w:t>National Cable &amp; Telecommunications Association</w:t>
        </w:r>
      </w:hyperlink>
      <w:r w:rsidRPr="00DC40E0">
        <w:rPr>
          <w:rFonts w:ascii="Times New Roman" w:hAnsi="Times New Roman"/>
          <w:szCs w:val="22"/>
          <w:lang w:val="en-US" w:eastAsia="da-DK"/>
        </w:rPr>
        <w:t> </w:t>
      </w:r>
      <w:r w:rsidRPr="00DC40E0">
        <w:rPr>
          <w:szCs w:val="22"/>
          <w:lang w:val="en"/>
        </w:rPr>
        <w:t xml:space="preserve">urged the FCC to “ explicitly propose to permit unlicensed operations in a variety of bands above 24 GHz because: (1) unlicensed users are well-positioned to share with incumbents and new mobile licensees; (2) the millimeter wave bands have the potential to help existing networks meet growing demand and ease congestion; and (3) new unlicensed frequencies will foster new innovations and generate value for the U.S. economy.” NCTA is careful to point out that spectrum above 24 GHz would be an addition, not a replacement, for access to unlicensed spectrum at lower frequencies. </w:t>
      </w:r>
    </w:p>
    <w:p w:rsidR="00DC40E0" w:rsidRPr="00DC40E0" w:rsidRDefault="00DC40E0" w:rsidP="00DC40E0">
      <w:pPr>
        <w:spacing w:before="100" w:beforeAutospacing="1" w:after="100" w:afterAutospacing="1"/>
        <w:jc w:val="left"/>
        <w:rPr>
          <w:szCs w:val="22"/>
          <w:lang w:val="en"/>
        </w:rPr>
      </w:pPr>
      <w:r w:rsidRPr="00DC40E0">
        <w:rPr>
          <w:szCs w:val="22"/>
          <w:lang w:val="en"/>
        </w:rPr>
        <w:t>The WI-FI Alliance</w:t>
      </w:r>
      <w:r w:rsidRPr="00DC40E0">
        <w:rPr>
          <w:rFonts w:ascii="Times New Roman" w:hAnsi="Times New Roman"/>
          <w:szCs w:val="22"/>
          <w:lang w:val="en-US" w:eastAsia="da-DK"/>
        </w:rPr>
        <w:t> </w:t>
      </w:r>
      <w:hyperlink r:id="rId46" w:tgtFrame="_blank" w:history="1">
        <w:r w:rsidRPr="00DC40E0">
          <w:rPr>
            <w:rFonts w:ascii="Times New Roman" w:hAnsi="Times New Roman"/>
            <w:color w:val="0000FF"/>
            <w:szCs w:val="22"/>
            <w:u w:val="single"/>
            <w:lang w:val="en-US" w:eastAsia="da-DK"/>
          </w:rPr>
          <w:t>makes the case</w:t>
        </w:r>
      </w:hyperlink>
      <w:r w:rsidRPr="00DC40E0">
        <w:rPr>
          <w:rFonts w:ascii="Times New Roman" w:hAnsi="Times New Roman"/>
          <w:szCs w:val="22"/>
          <w:lang w:val="en-US" w:eastAsia="da-DK"/>
        </w:rPr>
        <w:t> </w:t>
      </w:r>
      <w:r w:rsidRPr="00DC40E0">
        <w:rPr>
          <w:szCs w:val="22"/>
          <w:lang w:val="en"/>
        </w:rPr>
        <w:t xml:space="preserve">for extending the existing Part 15 rules to operations in the 64-71 GHz band and to add authorization for Part 15 devices to operate in the 70, 80, and 90 GHz bands and in the bands above 95 GHz where consistent with international allocations. The Alliance notes that there is work underway by an IEEE 802 task group to study the development of technologies that would target the use of 100 </w:t>
      </w:r>
      <w:proofErr w:type="spellStart"/>
      <w:r w:rsidRPr="00DC40E0">
        <w:rPr>
          <w:szCs w:val="22"/>
          <w:lang w:val="en"/>
        </w:rPr>
        <w:t>Gbps</w:t>
      </w:r>
      <w:proofErr w:type="spellEnd"/>
      <w:r w:rsidRPr="00DC40E0">
        <w:rPr>
          <w:szCs w:val="22"/>
          <w:lang w:val="en"/>
        </w:rPr>
        <w:t xml:space="preserve"> wireless communications for a variety of applications in the 60 GHz to 300 GHz frequency range, including server-to-server communications in data centers, wireless backhaul and front haul, chip-to-chip communications for multi-chip modules, and closed proximity point-to-point applications such as kiosk downloading and file exchange. See the</w:t>
      </w:r>
      <w:r w:rsidRPr="00DC40E0">
        <w:rPr>
          <w:rFonts w:ascii="Times New Roman" w:hAnsi="Times New Roman"/>
          <w:szCs w:val="22"/>
          <w:lang w:val="en-US" w:eastAsia="da-DK"/>
        </w:rPr>
        <w:t xml:space="preserve"> </w:t>
      </w:r>
      <w:hyperlink r:id="rId47" w:tgtFrame="_blank" w:history="1">
        <w:r w:rsidRPr="00DC40E0">
          <w:rPr>
            <w:rFonts w:ascii="Times New Roman" w:hAnsi="Times New Roman"/>
            <w:color w:val="0000FF"/>
            <w:szCs w:val="22"/>
            <w:u w:val="single"/>
            <w:lang w:val="en-US" w:eastAsia="da-DK"/>
          </w:rPr>
          <w:t>Comments of IEEE 802</w:t>
        </w:r>
      </w:hyperlink>
      <w:r w:rsidRPr="00DC40E0">
        <w:rPr>
          <w:rFonts w:ascii="Times New Roman" w:hAnsi="Times New Roman"/>
          <w:szCs w:val="22"/>
          <w:lang w:val="en-US" w:eastAsia="da-DK"/>
        </w:rPr>
        <w:t> </w:t>
      </w:r>
      <w:r w:rsidRPr="00DC40E0">
        <w:rPr>
          <w:szCs w:val="22"/>
          <w:lang w:val="en"/>
        </w:rPr>
        <w:t xml:space="preserve">for more information the work IEEE is doing at </w:t>
      </w:r>
      <w:proofErr w:type="spellStart"/>
      <w:r w:rsidRPr="00DC40E0">
        <w:rPr>
          <w:szCs w:val="22"/>
          <w:lang w:val="en"/>
        </w:rPr>
        <w:t>mmW</w:t>
      </w:r>
      <w:proofErr w:type="spellEnd"/>
      <w:r w:rsidRPr="00DC40E0">
        <w:rPr>
          <w:szCs w:val="22"/>
          <w:lang w:val="en"/>
        </w:rPr>
        <w:t xml:space="preserve"> frequencies. </w:t>
      </w:r>
    </w:p>
    <w:p w:rsidR="004012B1" w:rsidRPr="0056057A" w:rsidRDefault="00DC40E0" w:rsidP="00DC40E0">
      <w:pPr>
        <w:spacing w:before="100" w:beforeAutospacing="1" w:after="100" w:afterAutospacing="1"/>
        <w:jc w:val="left"/>
        <w:rPr>
          <w:szCs w:val="22"/>
          <w:lang w:val="en"/>
        </w:rPr>
      </w:pPr>
      <w:r w:rsidRPr="00DC40E0">
        <w:rPr>
          <w:szCs w:val="22"/>
          <w:lang w:val="en"/>
        </w:rPr>
        <w:t>In its comments, the European Satellite Operators Association (ESOA)</w:t>
      </w:r>
      <w:r w:rsidRPr="00DC40E0">
        <w:rPr>
          <w:rFonts w:ascii="Times New Roman" w:hAnsi="Times New Roman"/>
          <w:szCs w:val="22"/>
          <w:lang w:val="en-US" w:eastAsia="da-DK"/>
        </w:rPr>
        <w:t xml:space="preserve"> </w:t>
      </w:r>
      <w:hyperlink r:id="rId48" w:tgtFrame="_blank" w:history="1">
        <w:r w:rsidRPr="00DC40E0">
          <w:rPr>
            <w:rFonts w:ascii="Times New Roman" w:hAnsi="Times New Roman"/>
            <w:color w:val="0000FF"/>
            <w:szCs w:val="22"/>
            <w:u w:val="single"/>
            <w:lang w:val="en-US" w:eastAsia="da-DK"/>
          </w:rPr>
          <w:t>outlined</w:t>
        </w:r>
      </w:hyperlink>
      <w:r w:rsidRPr="00DC40E0">
        <w:rPr>
          <w:rFonts w:ascii="Times New Roman" w:hAnsi="Times New Roman"/>
          <w:szCs w:val="22"/>
          <w:lang w:val="en-US" w:eastAsia="da-DK"/>
        </w:rPr>
        <w:t> </w:t>
      </w:r>
      <w:r w:rsidRPr="00DC40E0">
        <w:rPr>
          <w:szCs w:val="22"/>
          <w:lang w:val="en"/>
        </w:rPr>
        <w:t xml:space="preserve">why the FCC should focus on spectrum above 31 GHz for 5G mobile, away from the </w:t>
      </w:r>
      <w:proofErr w:type="spellStart"/>
      <w:r w:rsidRPr="00DC40E0">
        <w:rPr>
          <w:szCs w:val="22"/>
          <w:lang w:val="en"/>
        </w:rPr>
        <w:t>Ka</w:t>
      </w:r>
      <w:proofErr w:type="spellEnd"/>
      <w:r w:rsidRPr="00DC40E0">
        <w:rPr>
          <w:szCs w:val="22"/>
          <w:lang w:val="en"/>
        </w:rPr>
        <w:t>-band spectrum used by satellite operators. The ESOA comments include graphs from the European METIS that show more opportunities exist for future mobile 5G services in spectrum above 31.0 GHz than in the lower sub-</w:t>
      </w:r>
      <w:proofErr w:type="spellStart"/>
      <w:r w:rsidRPr="00DC40E0">
        <w:rPr>
          <w:szCs w:val="22"/>
          <w:lang w:val="en"/>
        </w:rPr>
        <w:t>mmW</w:t>
      </w:r>
      <w:proofErr w:type="spellEnd"/>
      <w:r w:rsidRPr="00DC40E0">
        <w:rPr>
          <w:szCs w:val="22"/>
          <w:lang w:val="en"/>
        </w:rPr>
        <w:t xml:space="preserve"> bands between 6.0 and 31.0 GHz. See the</w:t>
      </w:r>
      <w:r w:rsidRPr="00DC40E0">
        <w:rPr>
          <w:rFonts w:ascii="Times New Roman" w:hAnsi="Times New Roman"/>
          <w:szCs w:val="22"/>
          <w:lang w:val="en-US" w:eastAsia="da-DK"/>
        </w:rPr>
        <w:t xml:space="preserve"> </w:t>
      </w:r>
      <w:hyperlink r:id="rId49" w:tgtFrame="_blank" w:history="1">
        <w:r w:rsidRPr="00DC40E0">
          <w:rPr>
            <w:rFonts w:ascii="Times New Roman" w:hAnsi="Times New Roman"/>
            <w:color w:val="0000FF"/>
            <w:szCs w:val="22"/>
            <w:u w:val="single"/>
            <w:lang w:val="en-US" w:eastAsia="da-DK"/>
          </w:rPr>
          <w:t>Comments of the Satellite Industry Association (SIA)</w:t>
        </w:r>
      </w:hyperlink>
      <w:r w:rsidRPr="00DC40E0">
        <w:rPr>
          <w:rFonts w:ascii="Times New Roman" w:hAnsi="Times New Roman"/>
          <w:szCs w:val="22"/>
          <w:lang w:val="en-US" w:eastAsia="da-DK"/>
        </w:rPr>
        <w:t> </w:t>
      </w:r>
      <w:r w:rsidRPr="00DC40E0">
        <w:rPr>
          <w:szCs w:val="22"/>
          <w:lang w:val="en"/>
        </w:rPr>
        <w:t xml:space="preserve">for details on use of the spectrum above 24 GHz by satellites today and what's proposed for the future. </w:t>
      </w:r>
    </w:p>
    <w:p w:rsidR="004012B1" w:rsidRPr="0056057A" w:rsidRDefault="00BD2577" w:rsidP="00DC40E0">
      <w:pPr>
        <w:spacing w:before="100" w:beforeAutospacing="1" w:after="100" w:afterAutospacing="1"/>
        <w:jc w:val="left"/>
        <w:rPr>
          <w:szCs w:val="22"/>
          <w:lang w:val="en"/>
        </w:rPr>
      </w:pPr>
      <w:hyperlink r:id="rId50" w:tgtFrame="_blank" w:history="1">
        <w:r w:rsidR="00DC40E0" w:rsidRPr="00DC40E0">
          <w:rPr>
            <w:rFonts w:ascii="Times New Roman" w:hAnsi="Times New Roman"/>
            <w:color w:val="0000FF"/>
            <w:szCs w:val="22"/>
            <w:u w:val="single"/>
            <w:lang w:val="en-US" w:eastAsia="da-DK"/>
          </w:rPr>
          <w:t>4G Americas</w:t>
        </w:r>
      </w:hyperlink>
      <w:r w:rsidR="00DC40E0" w:rsidRPr="00DC40E0">
        <w:rPr>
          <w:rFonts w:ascii="Times New Roman" w:hAnsi="Times New Roman"/>
          <w:szCs w:val="22"/>
          <w:lang w:val="en-US" w:eastAsia="da-DK"/>
        </w:rPr>
        <w:t> </w:t>
      </w:r>
      <w:r w:rsidR="00DC40E0" w:rsidRPr="00DC40E0">
        <w:rPr>
          <w:szCs w:val="22"/>
          <w:lang w:val="en"/>
        </w:rPr>
        <w:t xml:space="preserve">notes that “global </w:t>
      </w:r>
      <w:proofErr w:type="spellStart"/>
      <w:r w:rsidR="00DC40E0" w:rsidRPr="00DC40E0">
        <w:rPr>
          <w:szCs w:val="22"/>
          <w:lang w:val="en"/>
        </w:rPr>
        <w:t>harmoni</w:t>
      </w:r>
      <w:r w:rsidR="004012B1" w:rsidRPr="0056057A">
        <w:rPr>
          <w:szCs w:val="22"/>
          <w:lang w:val="en"/>
        </w:rPr>
        <w:t>s</w:t>
      </w:r>
      <w:r w:rsidR="00DC40E0" w:rsidRPr="00DC40E0">
        <w:rPr>
          <w:szCs w:val="22"/>
          <w:lang w:val="en"/>
        </w:rPr>
        <w:t>ation</w:t>
      </w:r>
      <w:proofErr w:type="spellEnd"/>
      <w:r w:rsidR="00DC40E0" w:rsidRPr="00DC40E0">
        <w:rPr>
          <w:szCs w:val="22"/>
          <w:lang w:val="en"/>
        </w:rPr>
        <w:t xml:space="preserve"> will be </w:t>
      </w:r>
      <w:proofErr w:type="gramStart"/>
      <w:r w:rsidR="00DC40E0" w:rsidRPr="00DC40E0">
        <w:rPr>
          <w:szCs w:val="22"/>
          <w:lang w:val="en"/>
        </w:rPr>
        <w:t>key</w:t>
      </w:r>
      <w:proofErr w:type="gramEnd"/>
      <w:r w:rsidR="00DC40E0" w:rsidRPr="00DC40E0">
        <w:rPr>
          <w:szCs w:val="22"/>
          <w:lang w:val="en"/>
        </w:rPr>
        <w:t xml:space="preserve"> in 5G deployment.” 4G Americas takes a close look at the challenges involved in 5G deployment in spectrum above 24 GHz, carefully noting that lower frequency spectrum is still required for wide area coverage and will be a key part of 5G. 4G Americas said “the FCC and NTIA must continue to collaborate with the industry to make more </w:t>
      </w:r>
      <w:proofErr w:type="gramStart"/>
      <w:r w:rsidR="00DC40E0" w:rsidRPr="00DC40E0">
        <w:rPr>
          <w:szCs w:val="22"/>
          <w:lang w:val="en"/>
        </w:rPr>
        <w:t>spectrum</w:t>
      </w:r>
      <w:proofErr w:type="gramEnd"/>
      <w:r w:rsidR="00DC40E0" w:rsidRPr="00DC40E0">
        <w:rPr>
          <w:szCs w:val="22"/>
          <w:lang w:val="en"/>
        </w:rPr>
        <w:t xml:space="preserve"> available in the mid-bands of 1-6 GHz.” </w:t>
      </w:r>
    </w:p>
    <w:p w:rsidR="00DC40E0" w:rsidRPr="00DC40E0" w:rsidRDefault="004012B1" w:rsidP="00DC40E0">
      <w:pPr>
        <w:spacing w:before="100" w:beforeAutospacing="1" w:after="100" w:afterAutospacing="1"/>
        <w:jc w:val="left"/>
        <w:rPr>
          <w:rFonts w:ascii="Times New Roman" w:hAnsi="Times New Roman"/>
          <w:szCs w:val="22"/>
          <w:lang w:val="en-US" w:eastAsia="da-DK"/>
        </w:rPr>
      </w:pPr>
      <w:r w:rsidRPr="0056057A">
        <w:rPr>
          <w:szCs w:val="22"/>
          <w:lang w:val="en"/>
        </w:rPr>
        <w:t xml:space="preserve">Many more comments can be seen in </w:t>
      </w:r>
      <w:r w:rsidR="00DC40E0" w:rsidRPr="00DC40E0">
        <w:rPr>
          <w:szCs w:val="22"/>
          <w:lang w:val="en"/>
        </w:rPr>
        <w:t>the FCC's</w:t>
      </w:r>
      <w:r w:rsidR="00DC40E0" w:rsidRPr="00DC40E0">
        <w:rPr>
          <w:rFonts w:ascii="Times New Roman" w:hAnsi="Times New Roman"/>
          <w:szCs w:val="22"/>
          <w:lang w:val="en-US" w:eastAsia="da-DK"/>
        </w:rPr>
        <w:t xml:space="preserve"> </w:t>
      </w:r>
      <w:hyperlink r:id="rId51" w:tgtFrame="_blank" w:history="1">
        <w:r w:rsidR="00DC40E0" w:rsidRPr="00DC40E0">
          <w:rPr>
            <w:rFonts w:ascii="Times New Roman" w:hAnsi="Times New Roman"/>
            <w:color w:val="0000FF"/>
            <w:szCs w:val="22"/>
            <w:u w:val="single"/>
            <w:lang w:val="en-US" w:eastAsia="da-DK"/>
          </w:rPr>
          <w:t>Electronic Comment Filing System – Proceeding Number 14-177 filings</w:t>
        </w:r>
      </w:hyperlink>
      <w:r w:rsidR="00DC40E0" w:rsidRPr="00DC40E0">
        <w:rPr>
          <w:rFonts w:ascii="Times New Roman" w:hAnsi="Times New Roman"/>
          <w:szCs w:val="22"/>
          <w:lang w:val="en-US" w:eastAsia="da-DK"/>
        </w:rPr>
        <w:t xml:space="preserve">. </w:t>
      </w:r>
    </w:p>
    <w:p w:rsidR="00DC40E0" w:rsidRPr="00DC40E0" w:rsidRDefault="00DC40E0" w:rsidP="009801F4">
      <w:pPr>
        <w:spacing w:after="0"/>
        <w:jc w:val="left"/>
        <w:rPr>
          <w:lang w:val="en-US"/>
        </w:rPr>
      </w:pPr>
    </w:p>
    <w:sectPr w:rsidR="00DC40E0" w:rsidRPr="00DC40E0" w:rsidSect="008F677F">
      <w:footerReference w:type="even" r:id="rId52"/>
      <w:footerReference w:type="default" r:id="rId53"/>
      <w:pgSz w:w="11907" w:h="16840" w:code="9"/>
      <w:pgMar w:top="1134" w:right="1275" w:bottom="1134" w:left="1276"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577" w:rsidRDefault="00BD2577">
      <w:r>
        <w:separator/>
      </w:r>
    </w:p>
  </w:endnote>
  <w:endnote w:type="continuationSeparator" w:id="0">
    <w:p w:rsidR="00BD2577" w:rsidRDefault="00BD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t_sansregular">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CA" w:rsidRDefault="000605CA">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605CA" w:rsidRDefault="000605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CA" w:rsidRDefault="000605CA">
    <w:pPr>
      <w:framePr w:wrap="around" w:vAnchor="text" w:hAnchor="margin" w:xAlign="center"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sidR="00DD12D0">
      <w:rPr>
        <w:rStyle w:val="Numrodepage"/>
        <w:noProof/>
        <w:sz w:val="20"/>
      </w:rPr>
      <w:t>10</w:t>
    </w:r>
    <w:r>
      <w:rPr>
        <w:rStyle w:val="Numrodepage"/>
        <w:sz w:val="20"/>
      </w:rPr>
      <w:fldChar w:fldCharType="end"/>
    </w:r>
  </w:p>
  <w:p w:rsidR="000605CA" w:rsidRDefault="000605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577" w:rsidRDefault="00BD2577">
      <w:r>
        <w:separator/>
      </w:r>
    </w:p>
  </w:footnote>
  <w:footnote w:type="continuationSeparator" w:id="0">
    <w:p w:rsidR="00BD2577" w:rsidRDefault="00BD2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92AEA"/>
    <w:multiLevelType w:val="hybridMultilevel"/>
    <w:tmpl w:val="EC38BD7A"/>
    <w:lvl w:ilvl="0" w:tplc="8E086DAA">
      <w:start w:val="1"/>
      <w:numFmt w:val="decimal"/>
      <w:lvlText w:val="%1."/>
      <w:lvlJc w:val="left"/>
      <w:pPr>
        <w:ind w:left="927" w:hanging="360"/>
      </w:pPr>
      <w:rPr>
        <w:rFonts w:cs="Times New Roman" w:hint="default"/>
        <w:sz w:val="28"/>
        <w:u w:val="none"/>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1">
    <w:nsid w:val="40C345D1"/>
    <w:multiLevelType w:val="hybridMultilevel"/>
    <w:tmpl w:val="25C8C088"/>
    <w:lvl w:ilvl="0" w:tplc="D77091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59DF1AC3"/>
    <w:multiLevelType w:val="hybridMultilevel"/>
    <w:tmpl w:val="D0FA8C8C"/>
    <w:lvl w:ilvl="0" w:tplc="520AA5A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07767BF"/>
    <w:multiLevelType w:val="multilevel"/>
    <w:tmpl w:val="7060B39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4">
    <w:nsid w:val="776C4200"/>
    <w:multiLevelType w:val="hybridMultilevel"/>
    <w:tmpl w:val="670815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D38284E"/>
    <w:multiLevelType w:val="hybridMultilevel"/>
    <w:tmpl w:val="E7343AF0"/>
    <w:lvl w:ilvl="0" w:tplc="255EFD7C">
      <w:start w:val="1"/>
      <w:numFmt w:val="decimal"/>
      <w:lvlText w:val="%1."/>
      <w:lvlJc w:val="left"/>
      <w:pPr>
        <w:ind w:left="930" w:hanging="57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30C50C9-2EAA-452B-95CD-09C1521F49DA}"/>
    <w:docVar w:name="dgnword-eventsink" w:val="79684352"/>
  </w:docVars>
  <w:rsids>
    <w:rsidRoot w:val="00326C68"/>
    <w:rsid w:val="000233C6"/>
    <w:rsid w:val="00033112"/>
    <w:rsid w:val="000364E2"/>
    <w:rsid w:val="000403A2"/>
    <w:rsid w:val="00042E6D"/>
    <w:rsid w:val="00053EFE"/>
    <w:rsid w:val="0005529F"/>
    <w:rsid w:val="000605CA"/>
    <w:rsid w:val="00061978"/>
    <w:rsid w:val="000641A7"/>
    <w:rsid w:val="000671E5"/>
    <w:rsid w:val="00070549"/>
    <w:rsid w:val="00074256"/>
    <w:rsid w:val="00080FDE"/>
    <w:rsid w:val="000830E2"/>
    <w:rsid w:val="00086867"/>
    <w:rsid w:val="00092416"/>
    <w:rsid w:val="000956E8"/>
    <w:rsid w:val="00095D52"/>
    <w:rsid w:val="00097E34"/>
    <w:rsid w:val="000B0905"/>
    <w:rsid w:val="000B27FA"/>
    <w:rsid w:val="000B39F4"/>
    <w:rsid w:val="000B787A"/>
    <w:rsid w:val="000C0A61"/>
    <w:rsid w:val="000C2EF7"/>
    <w:rsid w:val="000D0F3C"/>
    <w:rsid w:val="000E346F"/>
    <w:rsid w:val="000F0612"/>
    <w:rsid w:val="000F1373"/>
    <w:rsid w:val="000F46B6"/>
    <w:rsid w:val="000F775A"/>
    <w:rsid w:val="00100372"/>
    <w:rsid w:val="00101F1B"/>
    <w:rsid w:val="00106047"/>
    <w:rsid w:val="00106238"/>
    <w:rsid w:val="00107715"/>
    <w:rsid w:val="00111A80"/>
    <w:rsid w:val="00112E59"/>
    <w:rsid w:val="00113B49"/>
    <w:rsid w:val="00135342"/>
    <w:rsid w:val="00135FE7"/>
    <w:rsid w:val="0013730F"/>
    <w:rsid w:val="00154CD8"/>
    <w:rsid w:val="00161D26"/>
    <w:rsid w:val="00162CBB"/>
    <w:rsid w:val="0016435A"/>
    <w:rsid w:val="00167D46"/>
    <w:rsid w:val="00171D86"/>
    <w:rsid w:val="0017696D"/>
    <w:rsid w:val="00177DC7"/>
    <w:rsid w:val="00181D23"/>
    <w:rsid w:val="001856CC"/>
    <w:rsid w:val="001875C6"/>
    <w:rsid w:val="00193380"/>
    <w:rsid w:val="001A0544"/>
    <w:rsid w:val="001A74FD"/>
    <w:rsid w:val="001A79B6"/>
    <w:rsid w:val="001C02C9"/>
    <w:rsid w:val="001C0B3D"/>
    <w:rsid w:val="001C5CD3"/>
    <w:rsid w:val="001C7C24"/>
    <w:rsid w:val="001D08D5"/>
    <w:rsid w:val="001D181E"/>
    <w:rsid w:val="001E0E49"/>
    <w:rsid w:val="001E7B96"/>
    <w:rsid w:val="001F2614"/>
    <w:rsid w:val="001F2E1A"/>
    <w:rsid w:val="001F724C"/>
    <w:rsid w:val="002007CA"/>
    <w:rsid w:val="00215746"/>
    <w:rsid w:val="002157DF"/>
    <w:rsid w:val="00221774"/>
    <w:rsid w:val="00222F7B"/>
    <w:rsid w:val="002245CC"/>
    <w:rsid w:val="00225B01"/>
    <w:rsid w:val="0023437A"/>
    <w:rsid w:val="0024367A"/>
    <w:rsid w:val="00250F94"/>
    <w:rsid w:val="00257133"/>
    <w:rsid w:val="00260D98"/>
    <w:rsid w:val="0026766F"/>
    <w:rsid w:val="00270D2F"/>
    <w:rsid w:val="00275EE0"/>
    <w:rsid w:val="00276C85"/>
    <w:rsid w:val="00277BC1"/>
    <w:rsid w:val="00277CF8"/>
    <w:rsid w:val="0028051D"/>
    <w:rsid w:val="00294331"/>
    <w:rsid w:val="002A02A3"/>
    <w:rsid w:val="002A63B7"/>
    <w:rsid w:val="002A6FF4"/>
    <w:rsid w:val="002B169D"/>
    <w:rsid w:val="002B2C04"/>
    <w:rsid w:val="002B47FC"/>
    <w:rsid w:val="002B683F"/>
    <w:rsid w:val="002B6C82"/>
    <w:rsid w:val="002B7BB0"/>
    <w:rsid w:val="002D7395"/>
    <w:rsid w:val="002E0DCE"/>
    <w:rsid w:val="002F2A97"/>
    <w:rsid w:val="002F624E"/>
    <w:rsid w:val="00301409"/>
    <w:rsid w:val="003050FD"/>
    <w:rsid w:val="003071E0"/>
    <w:rsid w:val="00313CE7"/>
    <w:rsid w:val="00314235"/>
    <w:rsid w:val="00314E5E"/>
    <w:rsid w:val="00316BF0"/>
    <w:rsid w:val="00322C20"/>
    <w:rsid w:val="0032693F"/>
    <w:rsid w:val="00326A73"/>
    <w:rsid w:val="00326C68"/>
    <w:rsid w:val="0033013C"/>
    <w:rsid w:val="00346C62"/>
    <w:rsid w:val="003518BC"/>
    <w:rsid w:val="00357A5F"/>
    <w:rsid w:val="00363C8B"/>
    <w:rsid w:val="00376590"/>
    <w:rsid w:val="00377E62"/>
    <w:rsid w:val="003813E6"/>
    <w:rsid w:val="003846DD"/>
    <w:rsid w:val="0039030E"/>
    <w:rsid w:val="00393716"/>
    <w:rsid w:val="00397194"/>
    <w:rsid w:val="003A3B88"/>
    <w:rsid w:val="003A57CC"/>
    <w:rsid w:val="003B1654"/>
    <w:rsid w:val="003B2270"/>
    <w:rsid w:val="003B3DE3"/>
    <w:rsid w:val="003C2268"/>
    <w:rsid w:val="003C4848"/>
    <w:rsid w:val="003C53D0"/>
    <w:rsid w:val="003D5C91"/>
    <w:rsid w:val="003D6A16"/>
    <w:rsid w:val="003E76E9"/>
    <w:rsid w:val="003F677E"/>
    <w:rsid w:val="003F73E2"/>
    <w:rsid w:val="004002F7"/>
    <w:rsid w:val="004009BD"/>
    <w:rsid w:val="004012B1"/>
    <w:rsid w:val="00421CAC"/>
    <w:rsid w:val="00423C29"/>
    <w:rsid w:val="00430369"/>
    <w:rsid w:val="00431D12"/>
    <w:rsid w:val="00434710"/>
    <w:rsid w:val="004369DC"/>
    <w:rsid w:val="00443C40"/>
    <w:rsid w:val="004648A4"/>
    <w:rsid w:val="004662F9"/>
    <w:rsid w:val="004749A4"/>
    <w:rsid w:val="004858B1"/>
    <w:rsid w:val="00486369"/>
    <w:rsid w:val="00493F86"/>
    <w:rsid w:val="004A0432"/>
    <w:rsid w:val="004A099D"/>
    <w:rsid w:val="004A47FF"/>
    <w:rsid w:val="004B23D3"/>
    <w:rsid w:val="004C6078"/>
    <w:rsid w:val="004C7F92"/>
    <w:rsid w:val="004E45DF"/>
    <w:rsid w:val="004F061E"/>
    <w:rsid w:val="004F2203"/>
    <w:rsid w:val="004F2824"/>
    <w:rsid w:val="004F2E89"/>
    <w:rsid w:val="00500553"/>
    <w:rsid w:val="005006F3"/>
    <w:rsid w:val="00510966"/>
    <w:rsid w:val="00514FC1"/>
    <w:rsid w:val="00523220"/>
    <w:rsid w:val="00525224"/>
    <w:rsid w:val="005269EA"/>
    <w:rsid w:val="0053015C"/>
    <w:rsid w:val="00533846"/>
    <w:rsid w:val="005348B2"/>
    <w:rsid w:val="005434C4"/>
    <w:rsid w:val="0055373D"/>
    <w:rsid w:val="00554550"/>
    <w:rsid w:val="005549FF"/>
    <w:rsid w:val="0056057A"/>
    <w:rsid w:val="00562E1E"/>
    <w:rsid w:val="0056449E"/>
    <w:rsid w:val="005723B3"/>
    <w:rsid w:val="005761BB"/>
    <w:rsid w:val="00576387"/>
    <w:rsid w:val="00585607"/>
    <w:rsid w:val="005D1128"/>
    <w:rsid w:val="005D73C8"/>
    <w:rsid w:val="005E2FFC"/>
    <w:rsid w:val="005E39B2"/>
    <w:rsid w:val="005F1C1F"/>
    <w:rsid w:val="005F1F09"/>
    <w:rsid w:val="005F58EF"/>
    <w:rsid w:val="00616265"/>
    <w:rsid w:val="00617C57"/>
    <w:rsid w:val="00623DA2"/>
    <w:rsid w:val="00624A19"/>
    <w:rsid w:val="0063524D"/>
    <w:rsid w:val="006463B2"/>
    <w:rsid w:val="006542C3"/>
    <w:rsid w:val="00654C06"/>
    <w:rsid w:val="0065588F"/>
    <w:rsid w:val="00664805"/>
    <w:rsid w:val="00667E14"/>
    <w:rsid w:val="00671707"/>
    <w:rsid w:val="00677187"/>
    <w:rsid w:val="006827D0"/>
    <w:rsid w:val="00684589"/>
    <w:rsid w:val="006845C9"/>
    <w:rsid w:val="006902F9"/>
    <w:rsid w:val="00690A9D"/>
    <w:rsid w:val="00690B4B"/>
    <w:rsid w:val="00691107"/>
    <w:rsid w:val="0069180A"/>
    <w:rsid w:val="00697E9B"/>
    <w:rsid w:val="006A0BAF"/>
    <w:rsid w:val="006A6A4A"/>
    <w:rsid w:val="006B0132"/>
    <w:rsid w:val="006B2227"/>
    <w:rsid w:val="006B5313"/>
    <w:rsid w:val="006B5D17"/>
    <w:rsid w:val="006C4BCC"/>
    <w:rsid w:val="006C7D8C"/>
    <w:rsid w:val="006D1EAC"/>
    <w:rsid w:val="006D3D6F"/>
    <w:rsid w:val="006E1FA9"/>
    <w:rsid w:val="006E316D"/>
    <w:rsid w:val="006F3CB3"/>
    <w:rsid w:val="006F5516"/>
    <w:rsid w:val="006F70A7"/>
    <w:rsid w:val="0070740D"/>
    <w:rsid w:val="0071309B"/>
    <w:rsid w:val="00715F52"/>
    <w:rsid w:val="0072124A"/>
    <w:rsid w:val="00751528"/>
    <w:rsid w:val="007538DB"/>
    <w:rsid w:val="0075560F"/>
    <w:rsid w:val="007601AD"/>
    <w:rsid w:val="00766990"/>
    <w:rsid w:val="0077184D"/>
    <w:rsid w:val="00782F34"/>
    <w:rsid w:val="007925CA"/>
    <w:rsid w:val="00793843"/>
    <w:rsid w:val="00793A25"/>
    <w:rsid w:val="007972EC"/>
    <w:rsid w:val="007A1831"/>
    <w:rsid w:val="007A3DB8"/>
    <w:rsid w:val="007A49AD"/>
    <w:rsid w:val="007A7345"/>
    <w:rsid w:val="007C415E"/>
    <w:rsid w:val="007C7EC6"/>
    <w:rsid w:val="007D5586"/>
    <w:rsid w:val="007D62B2"/>
    <w:rsid w:val="007E4E9A"/>
    <w:rsid w:val="007E5C61"/>
    <w:rsid w:val="007F0553"/>
    <w:rsid w:val="00802521"/>
    <w:rsid w:val="00804D30"/>
    <w:rsid w:val="00807AA2"/>
    <w:rsid w:val="00807F54"/>
    <w:rsid w:val="008127E6"/>
    <w:rsid w:val="00820168"/>
    <w:rsid w:val="00826ED1"/>
    <w:rsid w:val="00832E25"/>
    <w:rsid w:val="008330CF"/>
    <w:rsid w:val="00860D26"/>
    <w:rsid w:val="00865CCE"/>
    <w:rsid w:val="00884205"/>
    <w:rsid w:val="00890C4D"/>
    <w:rsid w:val="00897AB6"/>
    <w:rsid w:val="008A37BA"/>
    <w:rsid w:val="008A6CFD"/>
    <w:rsid w:val="008C3FDF"/>
    <w:rsid w:val="008C47FE"/>
    <w:rsid w:val="008C77E0"/>
    <w:rsid w:val="008D2718"/>
    <w:rsid w:val="008D2BDA"/>
    <w:rsid w:val="008D4942"/>
    <w:rsid w:val="008D6E2E"/>
    <w:rsid w:val="008D74CD"/>
    <w:rsid w:val="008D763E"/>
    <w:rsid w:val="008E4001"/>
    <w:rsid w:val="008F33D5"/>
    <w:rsid w:val="008F5596"/>
    <w:rsid w:val="008F5ECB"/>
    <w:rsid w:val="008F677F"/>
    <w:rsid w:val="0090290F"/>
    <w:rsid w:val="0091665C"/>
    <w:rsid w:val="00916B79"/>
    <w:rsid w:val="0093342F"/>
    <w:rsid w:val="00941053"/>
    <w:rsid w:val="00956BAA"/>
    <w:rsid w:val="00971713"/>
    <w:rsid w:val="00974523"/>
    <w:rsid w:val="00976BDD"/>
    <w:rsid w:val="00977355"/>
    <w:rsid w:val="009801F4"/>
    <w:rsid w:val="00980A99"/>
    <w:rsid w:val="00982D6E"/>
    <w:rsid w:val="00983D9C"/>
    <w:rsid w:val="009852E6"/>
    <w:rsid w:val="0098621D"/>
    <w:rsid w:val="00997A4D"/>
    <w:rsid w:val="009B383B"/>
    <w:rsid w:val="009B3CB6"/>
    <w:rsid w:val="009C2F3B"/>
    <w:rsid w:val="009C69F7"/>
    <w:rsid w:val="009D242F"/>
    <w:rsid w:val="009D3F21"/>
    <w:rsid w:val="009D489B"/>
    <w:rsid w:val="009D4B2F"/>
    <w:rsid w:val="009E2049"/>
    <w:rsid w:val="009E4A39"/>
    <w:rsid w:val="009F23E8"/>
    <w:rsid w:val="009F2575"/>
    <w:rsid w:val="00A024A8"/>
    <w:rsid w:val="00A027EE"/>
    <w:rsid w:val="00A07183"/>
    <w:rsid w:val="00A101D2"/>
    <w:rsid w:val="00A10967"/>
    <w:rsid w:val="00A16D03"/>
    <w:rsid w:val="00A16EA7"/>
    <w:rsid w:val="00A243E6"/>
    <w:rsid w:val="00A267CE"/>
    <w:rsid w:val="00A30225"/>
    <w:rsid w:val="00A3274B"/>
    <w:rsid w:val="00A32A30"/>
    <w:rsid w:val="00A44AE2"/>
    <w:rsid w:val="00A477F3"/>
    <w:rsid w:val="00A64930"/>
    <w:rsid w:val="00A77E89"/>
    <w:rsid w:val="00A82B1F"/>
    <w:rsid w:val="00A87C8C"/>
    <w:rsid w:val="00A92C02"/>
    <w:rsid w:val="00A95309"/>
    <w:rsid w:val="00AA26E7"/>
    <w:rsid w:val="00AA3CFD"/>
    <w:rsid w:val="00AA3D96"/>
    <w:rsid w:val="00AA3E9E"/>
    <w:rsid w:val="00AA59E8"/>
    <w:rsid w:val="00AC0304"/>
    <w:rsid w:val="00AC345D"/>
    <w:rsid w:val="00AD241F"/>
    <w:rsid w:val="00AD6C98"/>
    <w:rsid w:val="00AD704C"/>
    <w:rsid w:val="00AE4993"/>
    <w:rsid w:val="00AE7906"/>
    <w:rsid w:val="00AF52C4"/>
    <w:rsid w:val="00B0161E"/>
    <w:rsid w:val="00B05A15"/>
    <w:rsid w:val="00B07F82"/>
    <w:rsid w:val="00B10641"/>
    <w:rsid w:val="00B1073A"/>
    <w:rsid w:val="00B1660B"/>
    <w:rsid w:val="00B253F4"/>
    <w:rsid w:val="00B35D13"/>
    <w:rsid w:val="00B46F09"/>
    <w:rsid w:val="00B53A7B"/>
    <w:rsid w:val="00B55204"/>
    <w:rsid w:val="00B55292"/>
    <w:rsid w:val="00B600CB"/>
    <w:rsid w:val="00B608A5"/>
    <w:rsid w:val="00B6512A"/>
    <w:rsid w:val="00B70CD3"/>
    <w:rsid w:val="00B74718"/>
    <w:rsid w:val="00B83ED4"/>
    <w:rsid w:val="00B90507"/>
    <w:rsid w:val="00B92E72"/>
    <w:rsid w:val="00BB0116"/>
    <w:rsid w:val="00BB27C5"/>
    <w:rsid w:val="00BC2918"/>
    <w:rsid w:val="00BC6FF5"/>
    <w:rsid w:val="00BD2577"/>
    <w:rsid w:val="00BD685D"/>
    <w:rsid w:val="00BE1D13"/>
    <w:rsid w:val="00BE4CC9"/>
    <w:rsid w:val="00BE6BC9"/>
    <w:rsid w:val="00BF2999"/>
    <w:rsid w:val="00BF323D"/>
    <w:rsid w:val="00BF5434"/>
    <w:rsid w:val="00C154C2"/>
    <w:rsid w:val="00C24300"/>
    <w:rsid w:val="00C268AC"/>
    <w:rsid w:val="00C309B1"/>
    <w:rsid w:val="00C30AFC"/>
    <w:rsid w:val="00C335F0"/>
    <w:rsid w:val="00C43796"/>
    <w:rsid w:val="00C44015"/>
    <w:rsid w:val="00C474FA"/>
    <w:rsid w:val="00C47BE9"/>
    <w:rsid w:val="00C47E91"/>
    <w:rsid w:val="00C5418E"/>
    <w:rsid w:val="00C60D46"/>
    <w:rsid w:val="00C62218"/>
    <w:rsid w:val="00C6308A"/>
    <w:rsid w:val="00C6430C"/>
    <w:rsid w:val="00C7286B"/>
    <w:rsid w:val="00C740CF"/>
    <w:rsid w:val="00C74F88"/>
    <w:rsid w:val="00C75E0E"/>
    <w:rsid w:val="00C77956"/>
    <w:rsid w:val="00C82BC5"/>
    <w:rsid w:val="00CA3E85"/>
    <w:rsid w:val="00CA4E74"/>
    <w:rsid w:val="00CB0BBB"/>
    <w:rsid w:val="00CC4E74"/>
    <w:rsid w:val="00CD2962"/>
    <w:rsid w:val="00CD4FA2"/>
    <w:rsid w:val="00CD51FD"/>
    <w:rsid w:val="00CE13A7"/>
    <w:rsid w:val="00CE20ED"/>
    <w:rsid w:val="00CE40EE"/>
    <w:rsid w:val="00CE6591"/>
    <w:rsid w:val="00CF076B"/>
    <w:rsid w:val="00CF4265"/>
    <w:rsid w:val="00CF4D15"/>
    <w:rsid w:val="00D004D0"/>
    <w:rsid w:val="00D00B4F"/>
    <w:rsid w:val="00D04E39"/>
    <w:rsid w:val="00D14191"/>
    <w:rsid w:val="00D149DA"/>
    <w:rsid w:val="00D151F6"/>
    <w:rsid w:val="00D34708"/>
    <w:rsid w:val="00D43633"/>
    <w:rsid w:val="00D50DE5"/>
    <w:rsid w:val="00D53B5D"/>
    <w:rsid w:val="00D54EF6"/>
    <w:rsid w:val="00D66735"/>
    <w:rsid w:val="00D671A5"/>
    <w:rsid w:val="00D765E7"/>
    <w:rsid w:val="00D95F74"/>
    <w:rsid w:val="00DA6007"/>
    <w:rsid w:val="00DA6F00"/>
    <w:rsid w:val="00DB5A0C"/>
    <w:rsid w:val="00DC40E0"/>
    <w:rsid w:val="00DC4D99"/>
    <w:rsid w:val="00DD08BA"/>
    <w:rsid w:val="00DD1103"/>
    <w:rsid w:val="00DD12D0"/>
    <w:rsid w:val="00DE2447"/>
    <w:rsid w:val="00DE5E01"/>
    <w:rsid w:val="00DF1FBB"/>
    <w:rsid w:val="00DF2A80"/>
    <w:rsid w:val="00E04AF2"/>
    <w:rsid w:val="00E054A3"/>
    <w:rsid w:val="00E232D3"/>
    <w:rsid w:val="00E2376B"/>
    <w:rsid w:val="00E2796D"/>
    <w:rsid w:val="00E27C6A"/>
    <w:rsid w:val="00E27FC3"/>
    <w:rsid w:val="00E32CFA"/>
    <w:rsid w:val="00E3543C"/>
    <w:rsid w:val="00E35752"/>
    <w:rsid w:val="00E36C9A"/>
    <w:rsid w:val="00E40873"/>
    <w:rsid w:val="00E43F97"/>
    <w:rsid w:val="00E5287C"/>
    <w:rsid w:val="00E561B8"/>
    <w:rsid w:val="00E577A4"/>
    <w:rsid w:val="00E57F73"/>
    <w:rsid w:val="00E7100C"/>
    <w:rsid w:val="00E71841"/>
    <w:rsid w:val="00E770E6"/>
    <w:rsid w:val="00E7762C"/>
    <w:rsid w:val="00E779E2"/>
    <w:rsid w:val="00E81434"/>
    <w:rsid w:val="00E87AEF"/>
    <w:rsid w:val="00E92AE8"/>
    <w:rsid w:val="00E93323"/>
    <w:rsid w:val="00E95CFE"/>
    <w:rsid w:val="00E95D2C"/>
    <w:rsid w:val="00E97863"/>
    <w:rsid w:val="00EC0104"/>
    <w:rsid w:val="00EC5041"/>
    <w:rsid w:val="00ED244B"/>
    <w:rsid w:val="00ED7AEC"/>
    <w:rsid w:val="00EE07DC"/>
    <w:rsid w:val="00EE4623"/>
    <w:rsid w:val="00EE4BEE"/>
    <w:rsid w:val="00EE6D93"/>
    <w:rsid w:val="00EF1568"/>
    <w:rsid w:val="00F02631"/>
    <w:rsid w:val="00F05B26"/>
    <w:rsid w:val="00F0785D"/>
    <w:rsid w:val="00F1392E"/>
    <w:rsid w:val="00F22950"/>
    <w:rsid w:val="00F2614D"/>
    <w:rsid w:val="00F278D5"/>
    <w:rsid w:val="00F311FB"/>
    <w:rsid w:val="00F3272D"/>
    <w:rsid w:val="00F37A73"/>
    <w:rsid w:val="00F43738"/>
    <w:rsid w:val="00F43BE8"/>
    <w:rsid w:val="00F51776"/>
    <w:rsid w:val="00F53012"/>
    <w:rsid w:val="00F53771"/>
    <w:rsid w:val="00F5622A"/>
    <w:rsid w:val="00F62F8F"/>
    <w:rsid w:val="00F96873"/>
    <w:rsid w:val="00FA15BA"/>
    <w:rsid w:val="00FA6EBF"/>
    <w:rsid w:val="00FA71B6"/>
    <w:rsid w:val="00FA7FC5"/>
    <w:rsid w:val="00FB2D96"/>
    <w:rsid w:val="00FB5BF8"/>
    <w:rsid w:val="00FD0B6D"/>
    <w:rsid w:val="00FD7E46"/>
    <w:rsid w:val="00FE1DCB"/>
    <w:rsid w:val="00FE61C8"/>
    <w:rsid w:val="00FF320E"/>
    <w:rsid w:val="00FF377F"/>
    <w:rsid w:val="00FF3DE6"/>
    <w:rsid w:val="00FF73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631"/>
    <w:pPr>
      <w:spacing w:after="120"/>
      <w:jc w:val="both"/>
    </w:pPr>
    <w:rPr>
      <w:rFonts w:ascii="Arial" w:hAnsi="Arial"/>
      <w:sz w:val="22"/>
      <w:lang w:val="en-GB" w:eastAsia="de-DE"/>
    </w:rPr>
  </w:style>
  <w:style w:type="paragraph" w:styleId="Titre1">
    <w:name w:val="heading 1"/>
    <w:basedOn w:val="Normal"/>
    <w:next w:val="Normal"/>
    <w:qFormat/>
    <w:rsid w:val="00D004D0"/>
    <w:pPr>
      <w:numPr>
        <w:numId w:val="1"/>
      </w:numPr>
      <w:tabs>
        <w:tab w:val="clear" w:pos="432"/>
        <w:tab w:val="left" w:pos="851"/>
      </w:tabs>
      <w:spacing w:before="360"/>
      <w:ind w:left="851" w:hanging="851"/>
      <w:jc w:val="left"/>
      <w:outlineLvl w:val="0"/>
    </w:pPr>
    <w:rPr>
      <w:rFonts w:cs="Arial"/>
      <w:b/>
      <w:sz w:val="28"/>
      <w:szCs w:val="28"/>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1"/>
      </w:numPr>
      <w:outlineLvl w:val="3"/>
    </w:pPr>
    <w:rPr>
      <w:u w:val="single"/>
    </w:rPr>
  </w:style>
  <w:style w:type="paragraph" w:styleId="Titre5">
    <w:name w:val="heading 5"/>
    <w:basedOn w:val="Normal"/>
    <w:next w:val="Normal"/>
    <w:qFormat/>
    <w:rsid w:val="00D004D0"/>
    <w:pPr>
      <w:numPr>
        <w:ilvl w:val="4"/>
        <w:numId w:val="1"/>
      </w:numPr>
      <w:outlineLvl w:val="4"/>
    </w:pPr>
    <w:rPr>
      <w:b/>
      <w:sz w:val="20"/>
    </w:rPr>
  </w:style>
  <w:style w:type="paragraph" w:styleId="Titre6">
    <w:name w:val="heading 6"/>
    <w:basedOn w:val="Normal"/>
    <w:next w:val="Normal"/>
    <w:qFormat/>
    <w:rsid w:val="00D004D0"/>
    <w:pPr>
      <w:numPr>
        <w:ilvl w:val="5"/>
        <w:numId w:val="1"/>
      </w:numPr>
      <w:outlineLvl w:val="5"/>
    </w:pPr>
    <w:rPr>
      <w:sz w:val="20"/>
      <w:u w:val="single"/>
    </w:rPr>
  </w:style>
  <w:style w:type="paragraph" w:styleId="Titre7">
    <w:name w:val="heading 7"/>
    <w:basedOn w:val="Normal"/>
    <w:next w:val="Normal"/>
    <w:qFormat/>
    <w:rsid w:val="00D004D0"/>
    <w:pPr>
      <w:numPr>
        <w:ilvl w:val="6"/>
        <w:numId w:val="1"/>
      </w:numPr>
      <w:outlineLvl w:val="6"/>
    </w:pPr>
    <w:rPr>
      <w:i/>
      <w:sz w:val="20"/>
    </w:rPr>
  </w:style>
  <w:style w:type="paragraph" w:styleId="Titre8">
    <w:name w:val="heading 8"/>
    <w:basedOn w:val="Normal"/>
    <w:next w:val="Normal"/>
    <w:qFormat/>
    <w:rsid w:val="00D004D0"/>
    <w:pPr>
      <w:numPr>
        <w:ilvl w:val="7"/>
        <w:numId w:val="1"/>
      </w:numPr>
      <w:outlineLvl w:val="7"/>
    </w:pPr>
    <w:rPr>
      <w:i/>
      <w:sz w:val="20"/>
    </w:rPr>
  </w:style>
  <w:style w:type="paragraph" w:styleId="Titre9">
    <w:name w:val="heading 9"/>
    <w:basedOn w:val="Normal"/>
    <w:next w:val="Normal"/>
    <w:qFormat/>
    <w:rsid w:val="00D004D0"/>
    <w:pPr>
      <w:numPr>
        <w:ilvl w:val="8"/>
        <w:numId w:val="1"/>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Kopfzeile1">
    <w:name w:val="Kopfzeile1"/>
    <w:basedOn w:val="En-tte"/>
    <w:rsid w:val="00215746"/>
  </w:style>
  <w:style w:type="character" w:styleId="Appelnotedebasdep">
    <w:name w:val="footnote reference"/>
    <w:aliases w:val="Appel note de bas de p,Footnote Reference/,Footnote,Footnote symbol"/>
    <w:semiHidden/>
    <w:rPr>
      <w:position w:val="6"/>
      <w:sz w:val="16"/>
    </w:rPr>
  </w:style>
  <w:style w:type="paragraph" w:styleId="Notedebasdepage">
    <w:name w:val="footnote text"/>
    <w:basedOn w:val="Normal"/>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rPr>
  </w:style>
  <w:style w:type="paragraph" w:customStyle="1" w:styleId="Header1">
    <w:name w:val="Header1"/>
    <w:basedOn w:val="En-tte"/>
    <w:link w:val="HeaderZchnZchn"/>
    <w:rsid w:val="00493F86"/>
    <w:pPr>
      <w:spacing w:before="60"/>
    </w:pPr>
    <w:rPr>
      <w:lang w:eastAsia="x-none"/>
    </w:rPr>
  </w:style>
  <w:style w:type="character" w:customStyle="1" w:styleId="HeaderZchnZchn">
    <w:name w:val="Header Zchn Zchn"/>
    <w:link w:val="Header1"/>
    <w:rsid w:val="00493F86"/>
    <w:rPr>
      <w:rFonts w:ascii="Arial" w:hAnsi="Arial"/>
      <w:b/>
      <w:sz w:val="22"/>
      <w:lang w:val="nb-NO"/>
    </w:rPr>
  </w:style>
  <w:style w:type="paragraph" w:customStyle="1" w:styleId="a">
    <w:name w:val="Абзац списка"/>
    <w:basedOn w:val="Normal"/>
    <w:uiPriority w:val="34"/>
    <w:qFormat/>
    <w:rsid w:val="00A101D2"/>
    <w:pPr>
      <w:spacing w:after="0"/>
      <w:ind w:left="720"/>
      <w:jc w:val="left"/>
    </w:pPr>
    <w:rPr>
      <w:rFonts w:ascii="Calibri" w:eastAsia="Calibri" w:hAnsi="Calibri"/>
      <w:szCs w:val="22"/>
      <w:lang w:val="da-DK" w:eastAsia="da-DK" w:bidi="he-IL"/>
    </w:rPr>
  </w:style>
  <w:style w:type="character" w:styleId="Lienhypertextesuivivisit">
    <w:name w:val="FollowedHyperlink"/>
    <w:rsid w:val="006827D0"/>
    <w:rPr>
      <w:color w:val="800080"/>
      <w:u w:val="single"/>
    </w:rPr>
  </w:style>
  <w:style w:type="table" w:styleId="Grilledutableau">
    <w:name w:val="Table Grid"/>
    <w:basedOn w:val="TableauNormal"/>
    <w:rsid w:val="004A0432"/>
    <w:pPr>
      <w:spacing w:after="260" w:line="260" w:lineRule="exact"/>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E2376B"/>
    <w:pPr>
      <w:spacing w:after="0"/>
    </w:pPr>
    <w:rPr>
      <w:rFonts w:ascii="Tahoma" w:hAnsi="Tahoma"/>
      <w:sz w:val="16"/>
      <w:szCs w:val="16"/>
    </w:rPr>
  </w:style>
  <w:style w:type="character" w:customStyle="1" w:styleId="TextedebullesCar">
    <w:name w:val="Texte de bulles Car"/>
    <w:link w:val="Textedebulles"/>
    <w:rsid w:val="00E2376B"/>
    <w:rPr>
      <w:rFonts w:ascii="Tahoma" w:hAnsi="Tahoma" w:cs="Tahoma"/>
      <w:sz w:val="16"/>
      <w:szCs w:val="16"/>
      <w:lang w:val="nb-NO" w:eastAsia="de-DE"/>
    </w:rPr>
  </w:style>
  <w:style w:type="character" w:styleId="Marquedecommentaire">
    <w:name w:val="annotation reference"/>
    <w:rsid w:val="00A44AE2"/>
    <w:rPr>
      <w:sz w:val="16"/>
      <w:szCs w:val="16"/>
    </w:rPr>
  </w:style>
  <w:style w:type="paragraph" w:styleId="Commentaire">
    <w:name w:val="annotation text"/>
    <w:basedOn w:val="Normal"/>
    <w:link w:val="CommentaireCar"/>
    <w:rsid w:val="00A44AE2"/>
    <w:rPr>
      <w:sz w:val="20"/>
    </w:rPr>
  </w:style>
  <w:style w:type="character" w:customStyle="1" w:styleId="CommentaireCar">
    <w:name w:val="Commentaire Car"/>
    <w:link w:val="Commentaire"/>
    <w:rsid w:val="00A44AE2"/>
    <w:rPr>
      <w:rFonts w:ascii="Arial" w:hAnsi="Arial"/>
      <w:lang w:val="nb-NO" w:eastAsia="de-DE"/>
    </w:rPr>
  </w:style>
  <w:style w:type="paragraph" w:styleId="Objetducommentaire">
    <w:name w:val="annotation subject"/>
    <w:basedOn w:val="Commentaire"/>
    <w:next w:val="Commentaire"/>
    <w:link w:val="ObjetducommentaireCar"/>
    <w:rsid w:val="00A44AE2"/>
    <w:rPr>
      <w:b/>
      <w:bCs/>
    </w:rPr>
  </w:style>
  <w:style w:type="character" w:customStyle="1" w:styleId="ObjetducommentaireCar">
    <w:name w:val="Objet du commentaire Car"/>
    <w:link w:val="Objetducommentaire"/>
    <w:rsid w:val="00A44AE2"/>
    <w:rPr>
      <w:rFonts w:ascii="Arial" w:hAnsi="Arial"/>
      <w:b/>
      <w:bCs/>
      <w:lang w:val="nb-NO" w:eastAsia="de-DE"/>
    </w:rPr>
  </w:style>
  <w:style w:type="paragraph" w:customStyle="1" w:styleId="Header2">
    <w:name w:val="Header2"/>
    <w:basedOn w:val="En-tte"/>
    <w:rsid w:val="00DC4D99"/>
  </w:style>
  <w:style w:type="paragraph" w:styleId="Paragraphedeliste">
    <w:name w:val="List Paragraph"/>
    <w:basedOn w:val="Normal"/>
    <w:uiPriority w:val="34"/>
    <w:qFormat/>
    <w:rsid w:val="006B5D17"/>
    <w:pPr>
      <w:ind w:left="720"/>
    </w:pPr>
  </w:style>
  <w:style w:type="paragraph" w:styleId="NormalWeb">
    <w:name w:val="Normal (Web)"/>
    <w:basedOn w:val="Normal"/>
    <w:uiPriority w:val="99"/>
    <w:unhideWhenUsed/>
    <w:rsid w:val="00F2614D"/>
    <w:pPr>
      <w:spacing w:before="100" w:beforeAutospacing="1" w:after="100" w:afterAutospacing="1"/>
      <w:jc w:val="left"/>
    </w:pPr>
    <w:rPr>
      <w:rFonts w:ascii="Times New Roman" w:hAnsi="Times New Roman"/>
      <w:sz w:val="24"/>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631"/>
    <w:pPr>
      <w:spacing w:after="120"/>
      <w:jc w:val="both"/>
    </w:pPr>
    <w:rPr>
      <w:rFonts w:ascii="Arial" w:hAnsi="Arial"/>
      <w:sz w:val="22"/>
      <w:lang w:val="en-GB" w:eastAsia="de-DE"/>
    </w:rPr>
  </w:style>
  <w:style w:type="paragraph" w:styleId="Titre1">
    <w:name w:val="heading 1"/>
    <w:basedOn w:val="Normal"/>
    <w:next w:val="Normal"/>
    <w:qFormat/>
    <w:rsid w:val="00D004D0"/>
    <w:pPr>
      <w:numPr>
        <w:numId w:val="1"/>
      </w:numPr>
      <w:tabs>
        <w:tab w:val="clear" w:pos="432"/>
        <w:tab w:val="left" w:pos="851"/>
      </w:tabs>
      <w:spacing w:before="360"/>
      <w:ind w:left="851" w:hanging="851"/>
      <w:jc w:val="left"/>
      <w:outlineLvl w:val="0"/>
    </w:pPr>
    <w:rPr>
      <w:rFonts w:cs="Arial"/>
      <w:b/>
      <w:sz w:val="28"/>
      <w:szCs w:val="28"/>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1"/>
      </w:numPr>
      <w:outlineLvl w:val="3"/>
    </w:pPr>
    <w:rPr>
      <w:u w:val="single"/>
    </w:rPr>
  </w:style>
  <w:style w:type="paragraph" w:styleId="Titre5">
    <w:name w:val="heading 5"/>
    <w:basedOn w:val="Normal"/>
    <w:next w:val="Normal"/>
    <w:qFormat/>
    <w:rsid w:val="00D004D0"/>
    <w:pPr>
      <w:numPr>
        <w:ilvl w:val="4"/>
        <w:numId w:val="1"/>
      </w:numPr>
      <w:outlineLvl w:val="4"/>
    </w:pPr>
    <w:rPr>
      <w:b/>
      <w:sz w:val="20"/>
    </w:rPr>
  </w:style>
  <w:style w:type="paragraph" w:styleId="Titre6">
    <w:name w:val="heading 6"/>
    <w:basedOn w:val="Normal"/>
    <w:next w:val="Normal"/>
    <w:qFormat/>
    <w:rsid w:val="00D004D0"/>
    <w:pPr>
      <w:numPr>
        <w:ilvl w:val="5"/>
        <w:numId w:val="1"/>
      </w:numPr>
      <w:outlineLvl w:val="5"/>
    </w:pPr>
    <w:rPr>
      <w:sz w:val="20"/>
      <w:u w:val="single"/>
    </w:rPr>
  </w:style>
  <w:style w:type="paragraph" w:styleId="Titre7">
    <w:name w:val="heading 7"/>
    <w:basedOn w:val="Normal"/>
    <w:next w:val="Normal"/>
    <w:qFormat/>
    <w:rsid w:val="00D004D0"/>
    <w:pPr>
      <w:numPr>
        <w:ilvl w:val="6"/>
        <w:numId w:val="1"/>
      </w:numPr>
      <w:outlineLvl w:val="6"/>
    </w:pPr>
    <w:rPr>
      <w:i/>
      <w:sz w:val="20"/>
    </w:rPr>
  </w:style>
  <w:style w:type="paragraph" w:styleId="Titre8">
    <w:name w:val="heading 8"/>
    <w:basedOn w:val="Normal"/>
    <w:next w:val="Normal"/>
    <w:qFormat/>
    <w:rsid w:val="00D004D0"/>
    <w:pPr>
      <w:numPr>
        <w:ilvl w:val="7"/>
        <w:numId w:val="1"/>
      </w:numPr>
      <w:outlineLvl w:val="7"/>
    </w:pPr>
    <w:rPr>
      <w:i/>
      <w:sz w:val="20"/>
    </w:rPr>
  </w:style>
  <w:style w:type="paragraph" w:styleId="Titre9">
    <w:name w:val="heading 9"/>
    <w:basedOn w:val="Normal"/>
    <w:next w:val="Normal"/>
    <w:qFormat/>
    <w:rsid w:val="00D004D0"/>
    <w:pPr>
      <w:numPr>
        <w:ilvl w:val="8"/>
        <w:numId w:val="1"/>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Kopfzeile1">
    <w:name w:val="Kopfzeile1"/>
    <w:basedOn w:val="En-tte"/>
    <w:rsid w:val="00215746"/>
  </w:style>
  <w:style w:type="character" w:styleId="Appelnotedebasdep">
    <w:name w:val="footnote reference"/>
    <w:aliases w:val="Appel note de bas de p,Footnote Reference/,Footnote,Footnote symbol"/>
    <w:semiHidden/>
    <w:rPr>
      <w:position w:val="6"/>
      <w:sz w:val="16"/>
    </w:rPr>
  </w:style>
  <w:style w:type="paragraph" w:styleId="Notedebasdepage">
    <w:name w:val="footnote text"/>
    <w:basedOn w:val="Normal"/>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rPr>
  </w:style>
  <w:style w:type="paragraph" w:customStyle="1" w:styleId="Header1">
    <w:name w:val="Header1"/>
    <w:basedOn w:val="En-tte"/>
    <w:link w:val="HeaderZchnZchn"/>
    <w:rsid w:val="00493F86"/>
    <w:pPr>
      <w:spacing w:before="60"/>
    </w:pPr>
    <w:rPr>
      <w:lang w:eastAsia="x-none"/>
    </w:rPr>
  </w:style>
  <w:style w:type="character" w:customStyle="1" w:styleId="HeaderZchnZchn">
    <w:name w:val="Header Zchn Zchn"/>
    <w:link w:val="Header1"/>
    <w:rsid w:val="00493F86"/>
    <w:rPr>
      <w:rFonts w:ascii="Arial" w:hAnsi="Arial"/>
      <w:b/>
      <w:sz w:val="22"/>
      <w:lang w:val="nb-NO"/>
    </w:rPr>
  </w:style>
  <w:style w:type="paragraph" w:customStyle="1" w:styleId="a">
    <w:name w:val="Абзац списка"/>
    <w:basedOn w:val="Normal"/>
    <w:uiPriority w:val="34"/>
    <w:qFormat/>
    <w:rsid w:val="00A101D2"/>
    <w:pPr>
      <w:spacing w:after="0"/>
      <w:ind w:left="720"/>
      <w:jc w:val="left"/>
    </w:pPr>
    <w:rPr>
      <w:rFonts w:ascii="Calibri" w:eastAsia="Calibri" w:hAnsi="Calibri"/>
      <w:szCs w:val="22"/>
      <w:lang w:val="da-DK" w:eastAsia="da-DK" w:bidi="he-IL"/>
    </w:rPr>
  </w:style>
  <w:style w:type="character" w:styleId="Lienhypertextesuivivisit">
    <w:name w:val="FollowedHyperlink"/>
    <w:rsid w:val="006827D0"/>
    <w:rPr>
      <w:color w:val="800080"/>
      <w:u w:val="single"/>
    </w:rPr>
  </w:style>
  <w:style w:type="table" w:styleId="Grilledutableau">
    <w:name w:val="Table Grid"/>
    <w:basedOn w:val="TableauNormal"/>
    <w:rsid w:val="004A0432"/>
    <w:pPr>
      <w:spacing w:after="260" w:line="260" w:lineRule="exact"/>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E2376B"/>
    <w:pPr>
      <w:spacing w:after="0"/>
    </w:pPr>
    <w:rPr>
      <w:rFonts w:ascii="Tahoma" w:hAnsi="Tahoma"/>
      <w:sz w:val="16"/>
      <w:szCs w:val="16"/>
    </w:rPr>
  </w:style>
  <w:style w:type="character" w:customStyle="1" w:styleId="TextedebullesCar">
    <w:name w:val="Texte de bulles Car"/>
    <w:link w:val="Textedebulles"/>
    <w:rsid w:val="00E2376B"/>
    <w:rPr>
      <w:rFonts w:ascii="Tahoma" w:hAnsi="Tahoma" w:cs="Tahoma"/>
      <w:sz w:val="16"/>
      <w:szCs w:val="16"/>
      <w:lang w:val="nb-NO" w:eastAsia="de-DE"/>
    </w:rPr>
  </w:style>
  <w:style w:type="character" w:styleId="Marquedecommentaire">
    <w:name w:val="annotation reference"/>
    <w:rsid w:val="00A44AE2"/>
    <w:rPr>
      <w:sz w:val="16"/>
      <w:szCs w:val="16"/>
    </w:rPr>
  </w:style>
  <w:style w:type="paragraph" w:styleId="Commentaire">
    <w:name w:val="annotation text"/>
    <w:basedOn w:val="Normal"/>
    <w:link w:val="CommentaireCar"/>
    <w:rsid w:val="00A44AE2"/>
    <w:rPr>
      <w:sz w:val="20"/>
    </w:rPr>
  </w:style>
  <w:style w:type="character" w:customStyle="1" w:styleId="CommentaireCar">
    <w:name w:val="Commentaire Car"/>
    <w:link w:val="Commentaire"/>
    <w:rsid w:val="00A44AE2"/>
    <w:rPr>
      <w:rFonts w:ascii="Arial" w:hAnsi="Arial"/>
      <w:lang w:val="nb-NO" w:eastAsia="de-DE"/>
    </w:rPr>
  </w:style>
  <w:style w:type="paragraph" w:styleId="Objetducommentaire">
    <w:name w:val="annotation subject"/>
    <w:basedOn w:val="Commentaire"/>
    <w:next w:val="Commentaire"/>
    <w:link w:val="ObjetducommentaireCar"/>
    <w:rsid w:val="00A44AE2"/>
    <w:rPr>
      <w:b/>
      <w:bCs/>
    </w:rPr>
  </w:style>
  <w:style w:type="character" w:customStyle="1" w:styleId="ObjetducommentaireCar">
    <w:name w:val="Objet du commentaire Car"/>
    <w:link w:val="Objetducommentaire"/>
    <w:rsid w:val="00A44AE2"/>
    <w:rPr>
      <w:rFonts w:ascii="Arial" w:hAnsi="Arial"/>
      <w:b/>
      <w:bCs/>
      <w:lang w:val="nb-NO" w:eastAsia="de-DE"/>
    </w:rPr>
  </w:style>
  <w:style w:type="paragraph" w:customStyle="1" w:styleId="Header2">
    <w:name w:val="Header2"/>
    <w:basedOn w:val="En-tte"/>
    <w:rsid w:val="00DC4D99"/>
  </w:style>
  <w:style w:type="paragraph" w:styleId="Paragraphedeliste">
    <w:name w:val="List Paragraph"/>
    <w:basedOn w:val="Normal"/>
    <w:uiPriority w:val="34"/>
    <w:qFormat/>
    <w:rsid w:val="006B5D17"/>
    <w:pPr>
      <w:ind w:left="720"/>
    </w:pPr>
  </w:style>
  <w:style w:type="paragraph" w:styleId="NormalWeb">
    <w:name w:val="Normal (Web)"/>
    <w:basedOn w:val="Normal"/>
    <w:uiPriority w:val="99"/>
    <w:unhideWhenUsed/>
    <w:rsid w:val="00F2614D"/>
    <w:pPr>
      <w:spacing w:before="100" w:beforeAutospacing="1" w:after="100" w:afterAutospacing="1"/>
      <w:jc w:val="left"/>
    </w:pPr>
    <w:rPr>
      <w:rFonts w:ascii="Times New Roman" w:hAnsi="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9936">
      <w:bodyDiv w:val="1"/>
      <w:marLeft w:val="0"/>
      <w:marRight w:val="0"/>
      <w:marTop w:val="0"/>
      <w:marBottom w:val="0"/>
      <w:divBdr>
        <w:top w:val="none" w:sz="0" w:space="0" w:color="auto"/>
        <w:left w:val="none" w:sz="0" w:space="0" w:color="auto"/>
        <w:bottom w:val="none" w:sz="0" w:space="0" w:color="auto"/>
        <w:right w:val="none" w:sz="0" w:space="0" w:color="auto"/>
      </w:divBdr>
      <w:divsChild>
        <w:div w:id="1621498231">
          <w:marLeft w:val="0"/>
          <w:marRight w:val="0"/>
          <w:marTop w:val="0"/>
          <w:marBottom w:val="0"/>
          <w:divBdr>
            <w:top w:val="none" w:sz="0" w:space="0" w:color="auto"/>
            <w:left w:val="none" w:sz="0" w:space="0" w:color="auto"/>
            <w:bottom w:val="none" w:sz="0" w:space="0" w:color="auto"/>
            <w:right w:val="none" w:sz="0" w:space="0" w:color="auto"/>
          </w:divBdr>
          <w:divsChild>
            <w:div w:id="2101444583">
              <w:marLeft w:val="0"/>
              <w:marRight w:val="0"/>
              <w:marTop w:val="0"/>
              <w:marBottom w:val="0"/>
              <w:divBdr>
                <w:top w:val="none" w:sz="0" w:space="0" w:color="auto"/>
                <w:left w:val="none" w:sz="0" w:space="0" w:color="auto"/>
                <w:bottom w:val="none" w:sz="0" w:space="0" w:color="auto"/>
                <w:right w:val="none" w:sz="0" w:space="0" w:color="auto"/>
              </w:divBdr>
              <w:divsChild>
                <w:div w:id="1675570115">
                  <w:marLeft w:val="120"/>
                  <w:marRight w:val="120"/>
                  <w:marTop w:val="0"/>
                  <w:marBottom w:val="0"/>
                  <w:divBdr>
                    <w:top w:val="none" w:sz="0" w:space="0" w:color="auto"/>
                    <w:left w:val="none" w:sz="0" w:space="0" w:color="auto"/>
                    <w:bottom w:val="none" w:sz="0" w:space="0" w:color="auto"/>
                    <w:right w:val="none" w:sz="0" w:space="0" w:color="auto"/>
                  </w:divBdr>
                  <w:divsChild>
                    <w:div w:id="374963275">
                      <w:marLeft w:val="0"/>
                      <w:marRight w:val="0"/>
                      <w:marTop w:val="0"/>
                      <w:marBottom w:val="0"/>
                      <w:divBdr>
                        <w:top w:val="none" w:sz="0" w:space="0" w:color="auto"/>
                        <w:left w:val="none" w:sz="0" w:space="0" w:color="auto"/>
                        <w:bottom w:val="none" w:sz="0" w:space="0" w:color="auto"/>
                        <w:right w:val="none" w:sz="0" w:space="0" w:color="auto"/>
                      </w:divBdr>
                      <w:divsChild>
                        <w:div w:id="3228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94637">
      <w:bodyDiv w:val="1"/>
      <w:marLeft w:val="0"/>
      <w:marRight w:val="0"/>
      <w:marTop w:val="0"/>
      <w:marBottom w:val="0"/>
      <w:divBdr>
        <w:top w:val="none" w:sz="0" w:space="0" w:color="auto"/>
        <w:left w:val="none" w:sz="0" w:space="0" w:color="auto"/>
        <w:bottom w:val="none" w:sz="0" w:space="0" w:color="auto"/>
        <w:right w:val="none" w:sz="0" w:space="0" w:color="auto"/>
      </w:divBdr>
      <w:divsChild>
        <w:div w:id="753405426">
          <w:marLeft w:val="0"/>
          <w:marRight w:val="0"/>
          <w:marTop w:val="0"/>
          <w:marBottom w:val="0"/>
          <w:divBdr>
            <w:top w:val="none" w:sz="0" w:space="0" w:color="auto"/>
            <w:left w:val="none" w:sz="0" w:space="0" w:color="auto"/>
            <w:bottom w:val="none" w:sz="0" w:space="0" w:color="auto"/>
            <w:right w:val="none" w:sz="0" w:space="0" w:color="auto"/>
          </w:divBdr>
          <w:divsChild>
            <w:div w:id="1131827687">
              <w:marLeft w:val="0"/>
              <w:marRight w:val="0"/>
              <w:marTop w:val="0"/>
              <w:marBottom w:val="0"/>
              <w:divBdr>
                <w:top w:val="none" w:sz="0" w:space="0" w:color="auto"/>
                <w:left w:val="none" w:sz="0" w:space="0" w:color="auto"/>
                <w:bottom w:val="none" w:sz="0" w:space="0" w:color="auto"/>
                <w:right w:val="none" w:sz="0" w:space="0" w:color="auto"/>
              </w:divBdr>
              <w:divsChild>
                <w:div w:id="929779933">
                  <w:marLeft w:val="120"/>
                  <w:marRight w:val="120"/>
                  <w:marTop w:val="0"/>
                  <w:marBottom w:val="0"/>
                  <w:divBdr>
                    <w:top w:val="none" w:sz="0" w:space="0" w:color="auto"/>
                    <w:left w:val="none" w:sz="0" w:space="0" w:color="auto"/>
                    <w:bottom w:val="none" w:sz="0" w:space="0" w:color="auto"/>
                    <w:right w:val="none" w:sz="0" w:space="0" w:color="auto"/>
                  </w:divBdr>
                  <w:divsChild>
                    <w:div w:id="1121649989">
                      <w:marLeft w:val="0"/>
                      <w:marRight w:val="0"/>
                      <w:marTop w:val="0"/>
                      <w:marBottom w:val="0"/>
                      <w:divBdr>
                        <w:top w:val="none" w:sz="0" w:space="0" w:color="auto"/>
                        <w:left w:val="none" w:sz="0" w:space="0" w:color="auto"/>
                        <w:bottom w:val="none" w:sz="0" w:space="0" w:color="auto"/>
                        <w:right w:val="none" w:sz="0" w:space="0" w:color="auto"/>
                      </w:divBdr>
                      <w:divsChild>
                        <w:div w:id="1653756892">
                          <w:marLeft w:val="0"/>
                          <w:marRight w:val="0"/>
                          <w:marTop w:val="0"/>
                          <w:marBottom w:val="0"/>
                          <w:divBdr>
                            <w:top w:val="none" w:sz="0" w:space="0" w:color="auto"/>
                            <w:left w:val="none" w:sz="0" w:space="0" w:color="auto"/>
                            <w:bottom w:val="none" w:sz="0" w:space="0" w:color="auto"/>
                            <w:right w:val="none" w:sz="0" w:space="0" w:color="auto"/>
                          </w:divBdr>
                          <w:divsChild>
                            <w:div w:id="1346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43660">
      <w:bodyDiv w:val="1"/>
      <w:marLeft w:val="0"/>
      <w:marRight w:val="0"/>
      <w:marTop w:val="0"/>
      <w:marBottom w:val="0"/>
      <w:divBdr>
        <w:top w:val="none" w:sz="0" w:space="0" w:color="auto"/>
        <w:left w:val="none" w:sz="0" w:space="0" w:color="auto"/>
        <w:bottom w:val="none" w:sz="0" w:space="0" w:color="auto"/>
        <w:right w:val="none" w:sz="0" w:space="0" w:color="auto"/>
      </w:divBdr>
    </w:div>
    <w:div w:id="289475494">
      <w:bodyDiv w:val="1"/>
      <w:marLeft w:val="0"/>
      <w:marRight w:val="0"/>
      <w:marTop w:val="0"/>
      <w:marBottom w:val="0"/>
      <w:divBdr>
        <w:top w:val="none" w:sz="0" w:space="0" w:color="auto"/>
        <w:left w:val="none" w:sz="0" w:space="0" w:color="auto"/>
        <w:bottom w:val="none" w:sz="0" w:space="0" w:color="auto"/>
        <w:right w:val="none" w:sz="0" w:space="0" w:color="auto"/>
      </w:divBdr>
    </w:div>
    <w:div w:id="329522838">
      <w:bodyDiv w:val="1"/>
      <w:marLeft w:val="0"/>
      <w:marRight w:val="0"/>
      <w:marTop w:val="0"/>
      <w:marBottom w:val="0"/>
      <w:divBdr>
        <w:top w:val="none" w:sz="0" w:space="0" w:color="auto"/>
        <w:left w:val="none" w:sz="0" w:space="0" w:color="auto"/>
        <w:bottom w:val="none" w:sz="0" w:space="0" w:color="auto"/>
        <w:right w:val="none" w:sz="0" w:space="0" w:color="auto"/>
      </w:divBdr>
    </w:div>
    <w:div w:id="392050008">
      <w:bodyDiv w:val="1"/>
      <w:marLeft w:val="0"/>
      <w:marRight w:val="0"/>
      <w:marTop w:val="0"/>
      <w:marBottom w:val="0"/>
      <w:divBdr>
        <w:top w:val="none" w:sz="0" w:space="0" w:color="auto"/>
        <w:left w:val="none" w:sz="0" w:space="0" w:color="auto"/>
        <w:bottom w:val="none" w:sz="0" w:space="0" w:color="auto"/>
        <w:right w:val="none" w:sz="0" w:space="0" w:color="auto"/>
      </w:divBdr>
      <w:divsChild>
        <w:div w:id="446969300">
          <w:marLeft w:val="0"/>
          <w:marRight w:val="0"/>
          <w:marTop w:val="0"/>
          <w:marBottom w:val="0"/>
          <w:divBdr>
            <w:top w:val="none" w:sz="0" w:space="0" w:color="auto"/>
            <w:left w:val="none" w:sz="0" w:space="0" w:color="auto"/>
            <w:bottom w:val="none" w:sz="0" w:space="0" w:color="auto"/>
            <w:right w:val="none" w:sz="0" w:space="0" w:color="auto"/>
          </w:divBdr>
          <w:divsChild>
            <w:div w:id="1591961662">
              <w:marLeft w:val="0"/>
              <w:marRight w:val="0"/>
              <w:marTop w:val="0"/>
              <w:marBottom w:val="0"/>
              <w:divBdr>
                <w:top w:val="none" w:sz="0" w:space="0" w:color="auto"/>
                <w:left w:val="none" w:sz="0" w:space="0" w:color="auto"/>
                <w:bottom w:val="none" w:sz="0" w:space="0" w:color="auto"/>
                <w:right w:val="none" w:sz="0" w:space="0" w:color="auto"/>
              </w:divBdr>
            </w:div>
            <w:div w:id="952976963">
              <w:marLeft w:val="0"/>
              <w:marRight w:val="0"/>
              <w:marTop w:val="0"/>
              <w:marBottom w:val="0"/>
              <w:divBdr>
                <w:top w:val="none" w:sz="0" w:space="0" w:color="auto"/>
                <w:left w:val="none" w:sz="0" w:space="0" w:color="auto"/>
                <w:bottom w:val="none" w:sz="0" w:space="0" w:color="auto"/>
                <w:right w:val="none" w:sz="0" w:space="0" w:color="auto"/>
              </w:divBdr>
            </w:div>
            <w:div w:id="2605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6126">
      <w:bodyDiv w:val="1"/>
      <w:marLeft w:val="0"/>
      <w:marRight w:val="0"/>
      <w:marTop w:val="0"/>
      <w:marBottom w:val="0"/>
      <w:divBdr>
        <w:top w:val="none" w:sz="0" w:space="0" w:color="auto"/>
        <w:left w:val="none" w:sz="0" w:space="0" w:color="auto"/>
        <w:bottom w:val="none" w:sz="0" w:space="0" w:color="auto"/>
        <w:right w:val="none" w:sz="0" w:space="0" w:color="auto"/>
      </w:divBdr>
      <w:divsChild>
        <w:div w:id="1211923392">
          <w:marLeft w:val="0"/>
          <w:marRight w:val="0"/>
          <w:marTop w:val="0"/>
          <w:marBottom w:val="0"/>
          <w:divBdr>
            <w:top w:val="none" w:sz="0" w:space="0" w:color="auto"/>
            <w:left w:val="none" w:sz="0" w:space="0" w:color="auto"/>
            <w:bottom w:val="none" w:sz="0" w:space="0" w:color="auto"/>
            <w:right w:val="none" w:sz="0" w:space="0" w:color="auto"/>
          </w:divBdr>
          <w:divsChild>
            <w:div w:id="246430069">
              <w:marLeft w:val="0"/>
              <w:marRight w:val="0"/>
              <w:marTop w:val="0"/>
              <w:marBottom w:val="0"/>
              <w:divBdr>
                <w:top w:val="none" w:sz="0" w:space="0" w:color="auto"/>
                <w:left w:val="none" w:sz="0" w:space="0" w:color="auto"/>
                <w:bottom w:val="none" w:sz="0" w:space="0" w:color="auto"/>
                <w:right w:val="none" w:sz="0" w:space="0" w:color="auto"/>
              </w:divBdr>
              <w:divsChild>
                <w:div w:id="150024673">
                  <w:marLeft w:val="120"/>
                  <w:marRight w:val="120"/>
                  <w:marTop w:val="0"/>
                  <w:marBottom w:val="0"/>
                  <w:divBdr>
                    <w:top w:val="none" w:sz="0" w:space="0" w:color="auto"/>
                    <w:left w:val="none" w:sz="0" w:space="0" w:color="auto"/>
                    <w:bottom w:val="none" w:sz="0" w:space="0" w:color="auto"/>
                    <w:right w:val="none" w:sz="0" w:space="0" w:color="auto"/>
                  </w:divBdr>
                  <w:divsChild>
                    <w:div w:id="891190978">
                      <w:marLeft w:val="0"/>
                      <w:marRight w:val="0"/>
                      <w:marTop w:val="0"/>
                      <w:marBottom w:val="0"/>
                      <w:divBdr>
                        <w:top w:val="none" w:sz="0" w:space="0" w:color="auto"/>
                        <w:left w:val="none" w:sz="0" w:space="0" w:color="auto"/>
                        <w:bottom w:val="none" w:sz="0" w:space="0" w:color="auto"/>
                        <w:right w:val="none" w:sz="0" w:space="0" w:color="auto"/>
                      </w:divBdr>
                      <w:divsChild>
                        <w:div w:id="7412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7381">
      <w:bodyDiv w:val="1"/>
      <w:marLeft w:val="0"/>
      <w:marRight w:val="0"/>
      <w:marTop w:val="0"/>
      <w:marBottom w:val="0"/>
      <w:divBdr>
        <w:top w:val="none" w:sz="0" w:space="0" w:color="auto"/>
        <w:left w:val="none" w:sz="0" w:space="0" w:color="auto"/>
        <w:bottom w:val="none" w:sz="0" w:space="0" w:color="auto"/>
        <w:right w:val="none" w:sz="0" w:space="0" w:color="auto"/>
      </w:divBdr>
      <w:divsChild>
        <w:div w:id="572930243">
          <w:marLeft w:val="0"/>
          <w:marRight w:val="0"/>
          <w:marTop w:val="0"/>
          <w:marBottom w:val="0"/>
          <w:divBdr>
            <w:top w:val="none" w:sz="0" w:space="0" w:color="auto"/>
            <w:left w:val="none" w:sz="0" w:space="0" w:color="auto"/>
            <w:bottom w:val="none" w:sz="0" w:space="0" w:color="auto"/>
            <w:right w:val="none" w:sz="0" w:space="0" w:color="auto"/>
          </w:divBdr>
          <w:divsChild>
            <w:div w:id="1984314586">
              <w:marLeft w:val="0"/>
              <w:marRight w:val="0"/>
              <w:marTop w:val="0"/>
              <w:marBottom w:val="0"/>
              <w:divBdr>
                <w:top w:val="none" w:sz="0" w:space="0" w:color="auto"/>
                <w:left w:val="none" w:sz="0" w:space="0" w:color="auto"/>
                <w:bottom w:val="none" w:sz="0" w:space="0" w:color="auto"/>
                <w:right w:val="none" w:sz="0" w:space="0" w:color="auto"/>
              </w:divBdr>
              <w:divsChild>
                <w:div w:id="547575253">
                  <w:marLeft w:val="0"/>
                  <w:marRight w:val="0"/>
                  <w:marTop w:val="0"/>
                  <w:marBottom w:val="0"/>
                  <w:divBdr>
                    <w:top w:val="none" w:sz="0" w:space="0" w:color="auto"/>
                    <w:left w:val="none" w:sz="0" w:space="0" w:color="auto"/>
                    <w:bottom w:val="none" w:sz="0" w:space="0" w:color="auto"/>
                    <w:right w:val="none" w:sz="0" w:space="0" w:color="auto"/>
                  </w:divBdr>
                  <w:divsChild>
                    <w:div w:id="420951194">
                      <w:marLeft w:val="0"/>
                      <w:marRight w:val="0"/>
                      <w:marTop w:val="0"/>
                      <w:marBottom w:val="0"/>
                      <w:divBdr>
                        <w:top w:val="none" w:sz="0" w:space="0" w:color="auto"/>
                        <w:left w:val="none" w:sz="0" w:space="0" w:color="auto"/>
                        <w:bottom w:val="none" w:sz="0" w:space="0" w:color="auto"/>
                        <w:right w:val="none" w:sz="0" w:space="0" w:color="auto"/>
                      </w:divBdr>
                      <w:divsChild>
                        <w:div w:id="1439255568">
                          <w:marLeft w:val="0"/>
                          <w:marRight w:val="0"/>
                          <w:marTop w:val="0"/>
                          <w:marBottom w:val="0"/>
                          <w:divBdr>
                            <w:top w:val="none" w:sz="0" w:space="0" w:color="auto"/>
                            <w:left w:val="none" w:sz="0" w:space="0" w:color="auto"/>
                            <w:bottom w:val="none" w:sz="0" w:space="0" w:color="auto"/>
                            <w:right w:val="none" w:sz="0" w:space="0" w:color="auto"/>
                          </w:divBdr>
                          <w:divsChild>
                            <w:div w:id="2061175160">
                              <w:marLeft w:val="0"/>
                              <w:marRight w:val="0"/>
                              <w:marTop w:val="0"/>
                              <w:marBottom w:val="0"/>
                              <w:divBdr>
                                <w:top w:val="none" w:sz="0" w:space="0" w:color="auto"/>
                                <w:left w:val="none" w:sz="0" w:space="0" w:color="auto"/>
                                <w:bottom w:val="none" w:sz="0" w:space="0" w:color="auto"/>
                                <w:right w:val="none" w:sz="0" w:space="0" w:color="auto"/>
                              </w:divBdr>
                              <w:divsChild>
                                <w:div w:id="1121924433">
                                  <w:marLeft w:val="0"/>
                                  <w:marRight w:val="0"/>
                                  <w:marTop w:val="0"/>
                                  <w:marBottom w:val="0"/>
                                  <w:divBdr>
                                    <w:top w:val="none" w:sz="0" w:space="0" w:color="auto"/>
                                    <w:left w:val="none" w:sz="0" w:space="0" w:color="auto"/>
                                    <w:bottom w:val="none" w:sz="0" w:space="0" w:color="auto"/>
                                    <w:right w:val="none" w:sz="0" w:space="0" w:color="auto"/>
                                  </w:divBdr>
                                  <w:divsChild>
                                    <w:div w:id="2051687697">
                                      <w:marLeft w:val="0"/>
                                      <w:marRight w:val="0"/>
                                      <w:marTop w:val="0"/>
                                      <w:marBottom w:val="0"/>
                                      <w:divBdr>
                                        <w:top w:val="none" w:sz="0" w:space="0" w:color="auto"/>
                                        <w:left w:val="none" w:sz="0" w:space="0" w:color="auto"/>
                                        <w:bottom w:val="none" w:sz="0" w:space="0" w:color="auto"/>
                                        <w:right w:val="none" w:sz="0" w:space="0" w:color="auto"/>
                                      </w:divBdr>
                                      <w:divsChild>
                                        <w:div w:id="547569802">
                                          <w:marLeft w:val="0"/>
                                          <w:marRight w:val="0"/>
                                          <w:marTop w:val="0"/>
                                          <w:marBottom w:val="0"/>
                                          <w:divBdr>
                                            <w:top w:val="none" w:sz="0" w:space="0" w:color="auto"/>
                                            <w:left w:val="none" w:sz="0" w:space="0" w:color="auto"/>
                                            <w:bottom w:val="none" w:sz="0" w:space="0" w:color="auto"/>
                                            <w:right w:val="none" w:sz="0" w:space="0" w:color="auto"/>
                                          </w:divBdr>
                                          <w:divsChild>
                                            <w:div w:id="334260109">
                                              <w:marLeft w:val="0"/>
                                              <w:marRight w:val="0"/>
                                              <w:marTop w:val="0"/>
                                              <w:marBottom w:val="0"/>
                                              <w:divBdr>
                                                <w:top w:val="none" w:sz="0" w:space="0" w:color="auto"/>
                                                <w:left w:val="none" w:sz="0" w:space="0" w:color="auto"/>
                                                <w:bottom w:val="none" w:sz="0" w:space="0" w:color="auto"/>
                                                <w:right w:val="none" w:sz="0" w:space="0" w:color="auto"/>
                                              </w:divBdr>
                                              <w:divsChild>
                                                <w:div w:id="569313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135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63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0611010">
                                              <w:marLeft w:val="0"/>
                                              <w:marRight w:val="0"/>
                                              <w:marTop w:val="0"/>
                                              <w:marBottom w:val="0"/>
                                              <w:divBdr>
                                                <w:top w:val="none" w:sz="0" w:space="0" w:color="auto"/>
                                                <w:left w:val="none" w:sz="0" w:space="0" w:color="auto"/>
                                                <w:bottom w:val="none" w:sz="0" w:space="0" w:color="auto"/>
                                                <w:right w:val="none" w:sz="0" w:space="0" w:color="auto"/>
                                              </w:divBdr>
                                              <w:divsChild>
                                                <w:div w:id="550002502">
                                                  <w:marLeft w:val="0"/>
                                                  <w:marRight w:val="0"/>
                                                  <w:marTop w:val="0"/>
                                                  <w:marBottom w:val="0"/>
                                                  <w:divBdr>
                                                    <w:top w:val="none" w:sz="0" w:space="0" w:color="auto"/>
                                                    <w:left w:val="none" w:sz="0" w:space="0" w:color="auto"/>
                                                    <w:bottom w:val="none" w:sz="0" w:space="0" w:color="auto"/>
                                                    <w:right w:val="none" w:sz="0" w:space="0" w:color="auto"/>
                                                  </w:divBdr>
                                                </w:div>
                                              </w:divsChild>
                                            </w:div>
                                            <w:div w:id="19257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354656">
      <w:bodyDiv w:val="1"/>
      <w:marLeft w:val="0"/>
      <w:marRight w:val="0"/>
      <w:marTop w:val="0"/>
      <w:marBottom w:val="0"/>
      <w:divBdr>
        <w:top w:val="none" w:sz="0" w:space="0" w:color="auto"/>
        <w:left w:val="none" w:sz="0" w:space="0" w:color="auto"/>
        <w:bottom w:val="none" w:sz="0" w:space="0" w:color="auto"/>
        <w:right w:val="none" w:sz="0" w:space="0" w:color="auto"/>
      </w:divBdr>
    </w:div>
    <w:div w:id="1085805909">
      <w:bodyDiv w:val="1"/>
      <w:marLeft w:val="0"/>
      <w:marRight w:val="0"/>
      <w:marTop w:val="0"/>
      <w:marBottom w:val="0"/>
      <w:divBdr>
        <w:top w:val="none" w:sz="0" w:space="0" w:color="auto"/>
        <w:left w:val="none" w:sz="0" w:space="0" w:color="auto"/>
        <w:bottom w:val="none" w:sz="0" w:space="0" w:color="auto"/>
        <w:right w:val="none" w:sz="0" w:space="0" w:color="auto"/>
      </w:divBdr>
    </w:div>
    <w:div w:id="1086222143">
      <w:bodyDiv w:val="1"/>
      <w:marLeft w:val="0"/>
      <w:marRight w:val="0"/>
      <w:marTop w:val="0"/>
      <w:marBottom w:val="0"/>
      <w:divBdr>
        <w:top w:val="none" w:sz="0" w:space="0" w:color="auto"/>
        <w:left w:val="none" w:sz="0" w:space="0" w:color="auto"/>
        <w:bottom w:val="none" w:sz="0" w:space="0" w:color="auto"/>
        <w:right w:val="none" w:sz="0" w:space="0" w:color="auto"/>
      </w:divBdr>
      <w:divsChild>
        <w:div w:id="382408320">
          <w:marLeft w:val="0"/>
          <w:marRight w:val="0"/>
          <w:marTop w:val="0"/>
          <w:marBottom w:val="0"/>
          <w:divBdr>
            <w:top w:val="none" w:sz="0" w:space="0" w:color="auto"/>
            <w:left w:val="none" w:sz="0" w:space="0" w:color="auto"/>
            <w:bottom w:val="none" w:sz="0" w:space="0" w:color="auto"/>
            <w:right w:val="none" w:sz="0" w:space="0" w:color="auto"/>
          </w:divBdr>
          <w:divsChild>
            <w:div w:id="589891421">
              <w:marLeft w:val="0"/>
              <w:marRight w:val="0"/>
              <w:marTop w:val="0"/>
              <w:marBottom w:val="0"/>
              <w:divBdr>
                <w:top w:val="none" w:sz="0" w:space="0" w:color="auto"/>
                <w:left w:val="none" w:sz="0" w:space="0" w:color="auto"/>
                <w:bottom w:val="none" w:sz="0" w:space="0" w:color="auto"/>
                <w:right w:val="none" w:sz="0" w:space="0" w:color="auto"/>
              </w:divBdr>
              <w:divsChild>
                <w:div w:id="1048795313">
                  <w:marLeft w:val="0"/>
                  <w:marRight w:val="0"/>
                  <w:marTop w:val="0"/>
                  <w:marBottom w:val="0"/>
                  <w:divBdr>
                    <w:top w:val="none" w:sz="0" w:space="0" w:color="auto"/>
                    <w:left w:val="none" w:sz="0" w:space="0" w:color="auto"/>
                    <w:bottom w:val="none" w:sz="0" w:space="0" w:color="auto"/>
                    <w:right w:val="none" w:sz="0" w:space="0" w:color="auto"/>
                  </w:divBdr>
                  <w:divsChild>
                    <w:div w:id="1593664317">
                      <w:marLeft w:val="0"/>
                      <w:marRight w:val="0"/>
                      <w:marTop w:val="0"/>
                      <w:marBottom w:val="0"/>
                      <w:divBdr>
                        <w:top w:val="none" w:sz="0" w:space="0" w:color="auto"/>
                        <w:left w:val="none" w:sz="0" w:space="0" w:color="auto"/>
                        <w:bottom w:val="none" w:sz="0" w:space="0" w:color="auto"/>
                        <w:right w:val="none" w:sz="0" w:space="0" w:color="auto"/>
                      </w:divBdr>
                      <w:divsChild>
                        <w:div w:id="1157573671">
                          <w:marLeft w:val="0"/>
                          <w:marRight w:val="0"/>
                          <w:marTop w:val="0"/>
                          <w:marBottom w:val="0"/>
                          <w:divBdr>
                            <w:top w:val="none" w:sz="0" w:space="0" w:color="auto"/>
                            <w:left w:val="none" w:sz="0" w:space="0" w:color="auto"/>
                            <w:bottom w:val="none" w:sz="0" w:space="0" w:color="auto"/>
                            <w:right w:val="none" w:sz="0" w:space="0" w:color="auto"/>
                          </w:divBdr>
                          <w:divsChild>
                            <w:div w:id="871572421">
                              <w:marLeft w:val="0"/>
                              <w:marRight w:val="0"/>
                              <w:marTop w:val="0"/>
                              <w:marBottom w:val="0"/>
                              <w:divBdr>
                                <w:top w:val="none" w:sz="0" w:space="0" w:color="auto"/>
                                <w:left w:val="none" w:sz="0" w:space="0" w:color="auto"/>
                                <w:bottom w:val="none" w:sz="0" w:space="0" w:color="auto"/>
                                <w:right w:val="none" w:sz="0" w:space="0" w:color="auto"/>
                              </w:divBdr>
                              <w:divsChild>
                                <w:div w:id="463500758">
                                  <w:marLeft w:val="0"/>
                                  <w:marRight w:val="0"/>
                                  <w:marTop w:val="0"/>
                                  <w:marBottom w:val="0"/>
                                  <w:divBdr>
                                    <w:top w:val="none" w:sz="0" w:space="0" w:color="auto"/>
                                    <w:left w:val="none" w:sz="0" w:space="0" w:color="auto"/>
                                    <w:bottom w:val="none" w:sz="0" w:space="0" w:color="auto"/>
                                    <w:right w:val="none" w:sz="0" w:space="0" w:color="auto"/>
                                  </w:divBdr>
                                  <w:divsChild>
                                    <w:div w:id="1372607518">
                                      <w:marLeft w:val="0"/>
                                      <w:marRight w:val="0"/>
                                      <w:marTop w:val="0"/>
                                      <w:marBottom w:val="0"/>
                                      <w:divBdr>
                                        <w:top w:val="none" w:sz="0" w:space="0" w:color="auto"/>
                                        <w:left w:val="none" w:sz="0" w:space="0" w:color="auto"/>
                                        <w:bottom w:val="none" w:sz="0" w:space="0" w:color="auto"/>
                                        <w:right w:val="none" w:sz="0" w:space="0" w:color="auto"/>
                                      </w:divBdr>
                                      <w:divsChild>
                                        <w:div w:id="305549907">
                                          <w:marLeft w:val="0"/>
                                          <w:marRight w:val="0"/>
                                          <w:marTop w:val="0"/>
                                          <w:marBottom w:val="0"/>
                                          <w:divBdr>
                                            <w:top w:val="none" w:sz="0" w:space="0" w:color="auto"/>
                                            <w:left w:val="none" w:sz="0" w:space="0" w:color="auto"/>
                                            <w:bottom w:val="none" w:sz="0" w:space="0" w:color="auto"/>
                                            <w:right w:val="none" w:sz="0" w:space="0" w:color="auto"/>
                                          </w:divBdr>
                                          <w:divsChild>
                                            <w:div w:id="14941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8718735">
      <w:bodyDiv w:val="1"/>
      <w:marLeft w:val="0"/>
      <w:marRight w:val="0"/>
      <w:marTop w:val="0"/>
      <w:marBottom w:val="0"/>
      <w:divBdr>
        <w:top w:val="none" w:sz="0" w:space="0" w:color="auto"/>
        <w:left w:val="none" w:sz="0" w:space="0" w:color="auto"/>
        <w:bottom w:val="none" w:sz="0" w:space="0" w:color="auto"/>
        <w:right w:val="none" w:sz="0" w:space="0" w:color="auto"/>
      </w:divBdr>
    </w:div>
    <w:div w:id="1307470298">
      <w:bodyDiv w:val="1"/>
      <w:marLeft w:val="0"/>
      <w:marRight w:val="0"/>
      <w:marTop w:val="0"/>
      <w:marBottom w:val="0"/>
      <w:divBdr>
        <w:top w:val="none" w:sz="0" w:space="0" w:color="auto"/>
        <w:left w:val="none" w:sz="0" w:space="0" w:color="auto"/>
        <w:bottom w:val="none" w:sz="0" w:space="0" w:color="auto"/>
        <w:right w:val="none" w:sz="0" w:space="0" w:color="auto"/>
      </w:divBdr>
    </w:div>
    <w:div w:id="1336765517">
      <w:bodyDiv w:val="1"/>
      <w:marLeft w:val="0"/>
      <w:marRight w:val="0"/>
      <w:marTop w:val="0"/>
      <w:marBottom w:val="0"/>
      <w:divBdr>
        <w:top w:val="none" w:sz="0" w:space="0" w:color="auto"/>
        <w:left w:val="none" w:sz="0" w:space="0" w:color="auto"/>
        <w:bottom w:val="none" w:sz="0" w:space="0" w:color="auto"/>
        <w:right w:val="none" w:sz="0" w:space="0" w:color="auto"/>
      </w:divBdr>
    </w:div>
    <w:div w:id="1351957756">
      <w:bodyDiv w:val="1"/>
      <w:marLeft w:val="0"/>
      <w:marRight w:val="0"/>
      <w:marTop w:val="0"/>
      <w:marBottom w:val="0"/>
      <w:divBdr>
        <w:top w:val="none" w:sz="0" w:space="0" w:color="auto"/>
        <w:left w:val="none" w:sz="0" w:space="0" w:color="auto"/>
        <w:bottom w:val="none" w:sz="0" w:space="0" w:color="auto"/>
        <w:right w:val="none" w:sz="0" w:space="0" w:color="auto"/>
      </w:divBdr>
    </w:div>
    <w:div w:id="1428624120">
      <w:bodyDiv w:val="1"/>
      <w:marLeft w:val="0"/>
      <w:marRight w:val="0"/>
      <w:marTop w:val="0"/>
      <w:marBottom w:val="0"/>
      <w:divBdr>
        <w:top w:val="none" w:sz="0" w:space="0" w:color="auto"/>
        <w:left w:val="none" w:sz="0" w:space="0" w:color="auto"/>
        <w:bottom w:val="none" w:sz="0" w:space="0" w:color="auto"/>
        <w:right w:val="none" w:sz="0" w:space="0" w:color="auto"/>
      </w:divBdr>
    </w:div>
    <w:div w:id="1775706985">
      <w:bodyDiv w:val="1"/>
      <w:marLeft w:val="0"/>
      <w:marRight w:val="0"/>
      <w:marTop w:val="0"/>
      <w:marBottom w:val="0"/>
      <w:divBdr>
        <w:top w:val="none" w:sz="0" w:space="0" w:color="auto"/>
        <w:left w:val="none" w:sz="0" w:space="0" w:color="auto"/>
        <w:bottom w:val="none" w:sz="0" w:space="0" w:color="auto"/>
        <w:right w:val="none" w:sz="0" w:space="0" w:color="auto"/>
      </w:divBdr>
      <w:divsChild>
        <w:div w:id="1057434503">
          <w:marLeft w:val="0"/>
          <w:marRight w:val="0"/>
          <w:marTop w:val="0"/>
          <w:marBottom w:val="0"/>
          <w:divBdr>
            <w:top w:val="none" w:sz="0" w:space="0" w:color="auto"/>
            <w:left w:val="none" w:sz="0" w:space="0" w:color="auto"/>
            <w:bottom w:val="none" w:sz="0" w:space="0" w:color="auto"/>
            <w:right w:val="none" w:sz="0" w:space="0" w:color="auto"/>
          </w:divBdr>
          <w:divsChild>
            <w:div w:id="1044257348">
              <w:marLeft w:val="0"/>
              <w:marRight w:val="0"/>
              <w:marTop w:val="0"/>
              <w:marBottom w:val="0"/>
              <w:divBdr>
                <w:top w:val="none" w:sz="0" w:space="0" w:color="auto"/>
                <w:left w:val="none" w:sz="0" w:space="0" w:color="auto"/>
                <w:bottom w:val="none" w:sz="0" w:space="0" w:color="auto"/>
                <w:right w:val="none" w:sz="0" w:space="0" w:color="auto"/>
              </w:divBdr>
              <w:divsChild>
                <w:div w:id="1024403210">
                  <w:marLeft w:val="0"/>
                  <w:marRight w:val="0"/>
                  <w:marTop w:val="0"/>
                  <w:marBottom w:val="0"/>
                  <w:divBdr>
                    <w:top w:val="none" w:sz="0" w:space="0" w:color="auto"/>
                    <w:left w:val="none" w:sz="0" w:space="0" w:color="auto"/>
                    <w:bottom w:val="none" w:sz="0" w:space="0" w:color="auto"/>
                    <w:right w:val="none" w:sz="0" w:space="0" w:color="auto"/>
                  </w:divBdr>
                  <w:divsChild>
                    <w:div w:id="231621928">
                      <w:marLeft w:val="0"/>
                      <w:marRight w:val="0"/>
                      <w:marTop w:val="0"/>
                      <w:marBottom w:val="0"/>
                      <w:divBdr>
                        <w:top w:val="none" w:sz="0" w:space="0" w:color="auto"/>
                        <w:left w:val="none" w:sz="0" w:space="0" w:color="auto"/>
                        <w:bottom w:val="none" w:sz="0" w:space="0" w:color="auto"/>
                        <w:right w:val="none" w:sz="0" w:space="0" w:color="auto"/>
                      </w:divBdr>
                      <w:divsChild>
                        <w:div w:id="6687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5292">
      <w:bodyDiv w:val="1"/>
      <w:marLeft w:val="0"/>
      <w:marRight w:val="0"/>
      <w:marTop w:val="0"/>
      <w:marBottom w:val="0"/>
      <w:divBdr>
        <w:top w:val="none" w:sz="0" w:space="0" w:color="auto"/>
        <w:left w:val="none" w:sz="0" w:space="0" w:color="auto"/>
        <w:bottom w:val="none" w:sz="0" w:space="0" w:color="auto"/>
        <w:right w:val="none" w:sz="0" w:space="0" w:color="auto"/>
      </w:divBdr>
    </w:div>
    <w:div w:id="1904677866">
      <w:bodyDiv w:val="1"/>
      <w:marLeft w:val="0"/>
      <w:marRight w:val="0"/>
      <w:marTop w:val="0"/>
      <w:marBottom w:val="0"/>
      <w:divBdr>
        <w:top w:val="none" w:sz="0" w:space="0" w:color="auto"/>
        <w:left w:val="none" w:sz="0" w:space="0" w:color="auto"/>
        <w:bottom w:val="none" w:sz="0" w:space="0" w:color="auto"/>
        <w:right w:val="none" w:sz="0" w:space="0" w:color="auto"/>
      </w:divBdr>
    </w:div>
    <w:div w:id="19423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tsg_ran/TSGR_65/Docs/" TargetMode="External"/><Relationship Id="rId18" Type="http://schemas.openxmlformats.org/officeDocument/2006/relationships/hyperlink" Target="http://apps.fcc.gov/ecfs/comment/view?id=60001015305" TargetMode="External"/><Relationship Id="rId26" Type="http://schemas.openxmlformats.org/officeDocument/2006/relationships/hyperlink" Target="http://www.cio.com/article/2882873/wifi-backers-warn-about-unlicensed-lte-while-ericsson-claims-speed-boost.html" TargetMode="External"/><Relationship Id="rId39" Type="http://schemas.openxmlformats.org/officeDocument/2006/relationships/hyperlink" Target="http://apps.fcc.gov/ecfs/document/view?id=60001013807" TargetMode="External"/><Relationship Id="rId21" Type="http://schemas.openxmlformats.org/officeDocument/2006/relationships/image" Target="media/image4.png"/><Relationship Id="rId34" Type="http://schemas.openxmlformats.org/officeDocument/2006/relationships/hyperlink" Target="http://www.teleanalysis.com/infrastructure/license-assisted-access-is-live-in-ericsson-labs-12675.html" TargetMode="External"/><Relationship Id="rId42" Type="http://schemas.openxmlformats.org/officeDocument/2006/relationships/hyperlink" Target="http://apps.fcc.gov/ecfs/document/view?id=60001013926" TargetMode="External"/><Relationship Id="rId47" Type="http://schemas.openxmlformats.org/officeDocument/2006/relationships/hyperlink" Target="http://apps.fcc.gov/ecfs/document/view?id=60001013646" TargetMode="External"/><Relationship Id="rId50" Type="http://schemas.openxmlformats.org/officeDocument/2006/relationships/hyperlink" Target="http://apps.fcc.gov/ecfs/document/view?id=60001013849"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3gpp.org/ftp/tsg_ran/tsg_ran/TSGR_65/Docs/RP-141710.zip" TargetMode="External"/><Relationship Id="rId17" Type="http://schemas.openxmlformats.org/officeDocument/2006/relationships/hyperlink" Target="http://apps.fcc.gov/ecfs/proceeding/view?name=13-114" TargetMode="External"/><Relationship Id="rId25" Type="http://schemas.openxmlformats.org/officeDocument/2006/relationships/hyperlink" Target="https://www.wi-fi.org/news-events/newsroom/wi-fi-alliance-statement-on-license-assisted-access-laa" TargetMode="External"/><Relationship Id="rId33" Type="http://schemas.openxmlformats.org/officeDocument/2006/relationships/hyperlink" Target="http://androidheadlines.com/2015/02/work-progressing-unlicensed-fair-sharing-5-ghz-spectrum.html" TargetMode="External"/><Relationship Id="rId38" Type="http://schemas.openxmlformats.org/officeDocument/2006/relationships/hyperlink" Target="http://apps.fcc.gov/ecfs/document/view?id=60001013346" TargetMode="External"/><Relationship Id="rId46" Type="http://schemas.openxmlformats.org/officeDocument/2006/relationships/hyperlink" Target="http://apps.fcc.gov/ecfs/document/view?id=60001013785" TargetMode="External"/><Relationship Id="rId2" Type="http://schemas.openxmlformats.org/officeDocument/2006/relationships/numbering" Target="numbering.xml"/><Relationship Id="rId16" Type="http://schemas.openxmlformats.org/officeDocument/2006/relationships/hyperlink" Target="http://www.fcc.gov/fcc-items-circulation" TargetMode="External"/><Relationship Id="rId20" Type="http://schemas.openxmlformats.org/officeDocument/2006/relationships/hyperlink" Target="http://ir.gogoair.com/phoenix.zhtml?c=251827&amp;p=irol-newsArticle&amp;ID=1823375" TargetMode="External"/><Relationship Id="rId29" Type="http://schemas.openxmlformats.org/officeDocument/2006/relationships/hyperlink" Target="http://www.wirelessfederation.com/news/143020-wi-fi-alliance-warns-of-risks-of-licensed-assisted-access" TargetMode="External"/><Relationship Id="rId41" Type="http://schemas.openxmlformats.org/officeDocument/2006/relationships/hyperlink" Target="http://apps.fcc.gov/ecfs/document/view?id=6000101366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gc.ca/eic/site/smt-gst.nsf/eng/sf10930.html" TargetMode="External"/><Relationship Id="rId24" Type="http://schemas.openxmlformats.org/officeDocument/2006/relationships/hyperlink" Target="http://www.commlawmonitor.com/2014/11/articles/wireless-2/fcc-faces-propriety-of-management-of-wi-fi-systems-to-guard-against-radio-frequency-interference/?repeat=w3tc" TargetMode="External"/><Relationship Id="rId32" Type="http://schemas.openxmlformats.org/officeDocument/2006/relationships/hyperlink" Target="http://www.computerworld.com/article/2882024/verizon-t-mobile-and-sk-telecom-eye-lte-on-wi-fi-spectrum.html" TargetMode="External"/><Relationship Id="rId37" Type="http://schemas.openxmlformats.org/officeDocument/2006/relationships/hyperlink" Target="http://apps.fcc.gov/ecfs/document/view?id=60001013322" TargetMode="External"/><Relationship Id="rId40" Type="http://schemas.openxmlformats.org/officeDocument/2006/relationships/hyperlink" Target="http://apps.fcc.gov/ecfs/document/view?id=60001013857" TargetMode="External"/><Relationship Id="rId45" Type="http://schemas.openxmlformats.org/officeDocument/2006/relationships/hyperlink" Target="http://apps.fcc.gov/ecfs/document/view?id=60001013853"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transition.fcc.gov/Daily_Releases/Daily_Business/2015/db0213/DA-15-219A1.pdf" TargetMode="External"/><Relationship Id="rId28" Type="http://schemas.openxmlformats.org/officeDocument/2006/relationships/hyperlink" Target="http://www.infoworld.com/article/2882623/mobile-technology/wifi-backers-warn-about-unlicensed-lte-while-ericsson-claims-speed-boost.html" TargetMode="External"/><Relationship Id="rId36" Type="http://schemas.openxmlformats.org/officeDocument/2006/relationships/hyperlink" Target="https://www.faa.gov/uas/" TargetMode="External"/><Relationship Id="rId49" Type="http://schemas.openxmlformats.org/officeDocument/2006/relationships/hyperlink" Target="http://apps.fcc.gov/ecfs/document/view?id=60001013898" TargetMode="External"/><Relationship Id="rId10" Type="http://schemas.openxmlformats.org/officeDocument/2006/relationships/hyperlink" Target="http://www.fcc.gov/document/fcc-finds-us-broadband-deployment-not-keeping-pace" TargetMode="External"/><Relationship Id="rId19" Type="http://schemas.openxmlformats.org/officeDocument/2006/relationships/hyperlink" Target="http://gogoair.mediaroom.com/2015-01-29-Gogo-Vision-Now-Installed-on-More-than-1700-Commercial-Aircraft" TargetMode="External"/><Relationship Id="rId31" Type="http://schemas.openxmlformats.org/officeDocument/2006/relationships/hyperlink" Target="http://www.pcworld.com/article/2882392/verizon-tmobile-and-sk-telecom-have-the-hots-for-lte-on-wifi-spectrum.html" TargetMode="External"/><Relationship Id="rId44" Type="http://schemas.openxmlformats.org/officeDocument/2006/relationships/hyperlink" Target="http://apps.fcc.gov/ecfs/document/view?id=60001013871"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png"/><Relationship Id="rId22" Type="http://schemas.openxmlformats.org/officeDocument/2006/relationships/hyperlink" Target="http://transition.fcc.gov/Daily_Releases/Daily_Business/2015/db0202/DOC-331802A1.pdf" TargetMode="External"/><Relationship Id="rId27" Type="http://schemas.openxmlformats.org/officeDocument/2006/relationships/hyperlink" Target="http://www.pcworld.com/article/2882872/wifi-backers-warn-about-unlicensed-lte-while-ericsson-claims-speed-boost.html" TargetMode="External"/><Relationship Id="rId30" Type="http://schemas.openxmlformats.org/officeDocument/2006/relationships/hyperlink" Target="http://www.fiercewireless.com/story/verizon-sk-telecom-join-t-mobile-testing-unlicensed-lte-wi-fi-alliance-urge/2015-02-10" TargetMode="External"/><Relationship Id="rId35" Type="http://schemas.openxmlformats.org/officeDocument/2006/relationships/hyperlink" Target="http://www.lightreading.com/mobile/small-cells/ericsson-preps-lte-u-for-verizon-t-mob-and-sk-telecom/d/d-id/713636" TargetMode="External"/><Relationship Id="rId43" Type="http://schemas.openxmlformats.org/officeDocument/2006/relationships/hyperlink" Target="http://apps.fcc.gov/ecfs/document/view?id=60001013615" TargetMode="External"/><Relationship Id="rId48" Type="http://schemas.openxmlformats.org/officeDocument/2006/relationships/hyperlink" Target="http://apps.fcc.gov/ecfs/document/view?id=60001013874" TargetMode="External"/><Relationship Id="rId8" Type="http://schemas.openxmlformats.org/officeDocument/2006/relationships/endnotes" Target="endnotes.xml"/><Relationship Id="rId51" Type="http://schemas.openxmlformats.org/officeDocument/2006/relationships/hyperlink" Target="http://apps.fcc.gov/ecfs/comment_search/paginate?proceeding=14-177&amp;pageNumber=1&amp;pageSize=100&amp;sortColumn=dateDisseminated&amp;sortDirection=DESC&amp;pageView=Tabular"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221-1c\Lokale%20Einstellungen\Temporary%20Internet%20Files\Content.IE5\39AY32B9\FORM01_Input_contribution%5b1%5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B2D0-10FF-4730-90BE-420CF97E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FORM01_Input_contribution[1]</Template>
  <TotalTime>1</TotalTime>
  <Pages>10</Pages>
  <Words>4670</Words>
  <Characters>25689</Characters>
  <Application>Microsoft Office Word</Application>
  <DocSecurity>0</DocSecurity>
  <Lines>214</Lines>
  <Paragraphs>60</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Название</vt:lpstr>
      </vt:variant>
      <vt:variant>
        <vt:i4>1</vt:i4>
      </vt:variant>
    </vt:vector>
  </HeadingPairs>
  <TitlesOfParts>
    <vt:vector size="4" baseType="lpstr">
      <vt:lpstr>Cover page</vt:lpstr>
      <vt:lpstr>Cover page</vt:lpstr>
      <vt:lpstr>Cover page</vt:lpstr>
      <vt:lpstr>Cover page</vt:lpstr>
    </vt:vector>
  </TitlesOfParts>
  <Company>BNetzA</Company>
  <LinksUpToDate>false</LinksUpToDate>
  <CharactersWithSpaces>30299</CharactersWithSpaces>
  <SharedDoc>false</SharedDoc>
  <HLinks>
    <vt:vector size="108" baseType="variant">
      <vt:variant>
        <vt:i4>852063</vt:i4>
      </vt:variant>
      <vt:variant>
        <vt:i4>60</vt:i4>
      </vt:variant>
      <vt:variant>
        <vt:i4>0</vt:i4>
      </vt:variant>
      <vt:variant>
        <vt:i4>5</vt:i4>
      </vt:variant>
      <vt:variant>
        <vt:lpwstr>http://194.182.137.30/exchweb/bin/redir.asp?URL=https://docs.google.com/a/google.com/viewer?a=v%26pid=sites%26srcid=ZGVmYXVsdGRvbWFpbnx0dndzYWZyaWNhMjAxM3xneDoxODBhOTY5N2ZlZTFlMGM5</vt:lpwstr>
      </vt:variant>
      <vt:variant>
        <vt:lpwstr/>
      </vt:variant>
      <vt:variant>
        <vt:i4>6946924</vt:i4>
      </vt:variant>
      <vt:variant>
        <vt:i4>57</vt:i4>
      </vt:variant>
      <vt:variant>
        <vt:i4>0</vt:i4>
      </vt:variant>
      <vt:variant>
        <vt:i4>5</vt:i4>
      </vt:variant>
      <vt:variant>
        <vt:lpwstr>http://194.182.137.30/exchweb/bin/redir.asp?URL=http://www.tenet.ac.za/about-us/the-cape-town-tv-white-spaces-trial</vt:lpwstr>
      </vt:variant>
      <vt:variant>
        <vt:lpwstr/>
      </vt:variant>
      <vt:variant>
        <vt:i4>196684</vt:i4>
      </vt:variant>
      <vt:variant>
        <vt:i4>54</vt:i4>
      </vt:variant>
      <vt:variant>
        <vt:i4>0</vt:i4>
      </vt:variant>
      <vt:variant>
        <vt:i4>5</vt:i4>
      </vt:variant>
      <vt:variant>
        <vt:lpwstr>http://194.182.137.30/exchweb/bin/redir.asp?URL=https://docs.google.com/a/google.com/viewer?a=v%26pid=sites%26srcid=ZGVmYXVsdGRvbWFpbnx0dndzYWZyaWNhMjAxM3xneDo2MWY1ZjM0NTg4NmZmYTg5</vt:lpwstr>
      </vt:variant>
      <vt:variant>
        <vt:lpwstr/>
      </vt:variant>
      <vt:variant>
        <vt:i4>8192098</vt:i4>
      </vt:variant>
      <vt:variant>
        <vt:i4>51</vt:i4>
      </vt:variant>
      <vt:variant>
        <vt:i4>0</vt:i4>
      </vt:variant>
      <vt:variant>
        <vt:i4>5</vt:i4>
      </vt:variant>
      <vt:variant>
        <vt:lpwstr>http://194.182.137.30/exchweb/bin/redir.asp?URL=http://www.fiercebroadbandwireless.com/story/microsoft-unveils-tv-white-space-pilot-tanzania/2013-05-08</vt:lpwstr>
      </vt:variant>
      <vt:variant>
        <vt:lpwstr/>
      </vt:variant>
      <vt:variant>
        <vt:i4>7733298</vt:i4>
      </vt:variant>
      <vt:variant>
        <vt:i4>48</vt:i4>
      </vt:variant>
      <vt:variant>
        <vt:i4>0</vt:i4>
      </vt:variant>
      <vt:variant>
        <vt:i4>5</vt:i4>
      </vt:variant>
      <vt:variant>
        <vt:lpwstr>http://194.182.137.30/exchweb/bin/redir.asp?URL=https://sites.google.com/site/tvwsafrica2013/presentations</vt:lpwstr>
      </vt:variant>
      <vt:variant>
        <vt:lpwstr/>
      </vt:variant>
      <vt:variant>
        <vt:i4>4194384</vt:i4>
      </vt:variant>
      <vt:variant>
        <vt:i4>42</vt:i4>
      </vt:variant>
      <vt:variant>
        <vt:i4>0</vt:i4>
      </vt:variant>
      <vt:variant>
        <vt:i4>5</vt:i4>
      </vt:variant>
      <vt:variant>
        <vt:lpwstr>http://www.fcc.gov/document/expanding-access-broadband-and-encouraging-innovation</vt:lpwstr>
      </vt:variant>
      <vt:variant>
        <vt:lpwstr/>
      </vt:variant>
      <vt:variant>
        <vt:i4>1638468</vt:i4>
      </vt:variant>
      <vt:variant>
        <vt:i4>39</vt:i4>
      </vt:variant>
      <vt:variant>
        <vt:i4>0</vt:i4>
      </vt:variant>
      <vt:variant>
        <vt:i4>5</vt:i4>
      </vt:variant>
      <vt:variant>
        <vt:lpwstr>http://www.tra.gov.ae/news_UAE_TRA_ANNOUNCES_700_MHZ_BAND_PLAN_FOR_MOBILE_BROADBAND-514-1.php</vt:lpwstr>
      </vt:variant>
      <vt:variant>
        <vt:lpwstr/>
      </vt:variant>
      <vt:variant>
        <vt:i4>2818089</vt:i4>
      </vt:variant>
      <vt:variant>
        <vt:i4>33</vt:i4>
      </vt:variant>
      <vt:variant>
        <vt:i4>0</vt:i4>
      </vt:variant>
      <vt:variant>
        <vt:i4>5</vt:i4>
      </vt:variant>
      <vt:variant>
        <vt:lpwstr>http://www.apt.int/AFIS</vt:lpwstr>
      </vt:variant>
      <vt:variant>
        <vt:lpwstr/>
      </vt:variant>
      <vt:variant>
        <vt:i4>458865</vt:i4>
      </vt:variant>
      <vt:variant>
        <vt:i4>30</vt:i4>
      </vt:variant>
      <vt:variant>
        <vt:i4>0</vt:i4>
      </vt:variant>
      <vt:variant>
        <vt:i4>5</vt:i4>
      </vt:variant>
      <vt:variant>
        <vt:lpwstr>http://www.apt.int/sites/default/files/Upload-files/AWG/APT-AWG-REP-33-APT_Report_on_Satellite_Broadband_Applications.docx</vt:lpwstr>
      </vt:variant>
      <vt:variant>
        <vt:lpwstr/>
      </vt:variant>
      <vt:variant>
        <vt:i4>1245256</vt:i4>
      </vt:variant>
      <vt:variant>
        <vt:i4>27</vt:i4>
      </vt:variant>
      <vt:variant>
        <vt:i4>0</vt:i4>
      </vt:variant>
      <vt:variant>
        <vt:i4>5</vt:i4>
      </vt:variant>
      <vt:variant>
        <vt:lpwstr>http://www.apt.int/sites/default/files/Upload-files/AWG/APT-AWG-REP-34-APT_Report_on_Disaster_Mitigation.docx</vt:lpwstr>
      </vt:variant>
      <vt:variant>
        <vt:lpwstr/>
      </vt:variant>
      <vt:variant>
        <vt:i4>7995408</vt:i4>
      </vt:variant>
      <vt:variant>
        <vt:i4>24</vt:i4>
      </vt:variant>
      <vt:variant>
        <vt:i4>0</vt:i4>
      </vt:variant>
      <vt:variant>
        <vt:i4>5</vt:i4>
      </vt:variant>
      <vt:variant>
        <vt:lpwstr>http://www.apt.int/sites/default/files/Upload-files/AWG/APT-AWG-REP-18-R1-APT_Report_on_Usage_of_ITS.docx</vt:lpwstr>
      </vt:variant>
      <vt:variant>
        <vt:lpwstr/>
      </vt:variant>
      <vt:variant>
        <vt:i4>196691</vt:i4>
      </vt:variant>
      <vt:variant>
        <vt:i4>21</vt:i4>
      </vt:variant>
      <vt:variant>
        <vt:i4>0</vt:i4>
      </vt:variant>
      <vt:variant>
        <vt:i4>5</vt:i4>
      </vt:variant>
      <vt:variant>
        <vt:lpwstr>http://www.apt.int/sites/default/files/Upload-files/AWG/APT-AWG-REP-25-R1-APT_Report_on_Radio_Interference.docx</vt:lpwstr>
      </vt:variant>
      <vt:variant>
        <vt:lpwstr/>
      </vt:variant>
      <vt:variant>
        <vt:i4>6619144</vt:i4>
      </vt:variant>
      <vt:variant>
        <vt:i4>18</vt:i4>
      </vt:variant>
      <vt:variant>
        <vt:i4>0</vt:i4>
      </vt:variant>
      <vt:variant>
        <vt:i4>5</vt:i4>
      </vt:variant>
      <vt:variant>
        <vt:lpwstr>http://www.apt.int/sites/default/files/Upload-files/AWG/APT-AWG-REP-35-APT_Report_on_Frequency_bands_for_harmonized_use_of_SRDs.docx</vt:lpwstr>
      </vt:variant>
      <vt:variant>
        <vt:lpwstr/>
      </vt:variant>
      <vt:variant>
        <vt:i4>262239</vt:i4>
      </vt:variant>
      <vt:variant>
        <vt:i4>15</vt:i4>
      </vt:variant>
      <vt:variant>
        <vt:i4>0</vt:i4>
      </vt:variant>
      <vt:variant>
        <vt:i4>5</vt:i4>
      </vt:variant>
      <vt:variant>
        <vt:lpwstr>http://www.apt.int/sites/default/files/Upload-files/AWG/APT-AWG-REP-15-R1-APT_Report_on_Mobile_Freq-Tech-License.docx</vt:lpwstr>
      </vt:variant>
      <vt:variant>
        <vt:lpwstr/>
      </vt:variant>
      <vt:variant>
        <vt:i4>5636213</vt:i4>
      </vt:variant>
      <vt:variant>
        <vt:i4>12</vt:i4>
      </vt:variant>
      <vt:variant>
        <vt:i4>0</vt:i4>
      </vt:variant>
      <vt:variant>
        <vt:i4>5</vt:i4>
      </vt:variant>
      <vt:variant>
        <vt:lpwstr>http://www.apt.int/sites/default/files/Upload-files/AWG/APT-AWG-REP-37-APT_Report_on_3400-3600MHz.docx</vt:lpwstr>
      </vt:variant>
      <vt:variant>
        <vt:lpwstr/>
      </vt:variant>
      <vt:variant>
        <vt:i4>327722</vt:i4>
      </vt:variant>
      <vt:variant>
        <vt:i4>9</vt:i4>
      </vt:variant>
      <vt:variant>
        <vt:i4>0</vt:i4>
      </vt:variant>
      <vt:variant>
        <vt:i4>5</vt:i4>
      </vt:variant>
      <vt:variant>
        <vt:lpwstr>http://www.apt.int/sites/default/files/Upload-files/AWG/APT-AWG-REP-36-APT_Report_on_800MHz_Frequency_Arrangement.docx</vt:lpwstr>
      </vt:variant>
      <vt:variant>
        <vt:lpwstr/>
      </vt:variant>
      <vt:variant>
        <vt:i4>1966189</vt:i4>
      </vt:variant>
      <vt:variant>
        <vt:i4>3</vt:i4>
      </vt:variant>
      <vt:variant>
        <vt:i4>0</vt:i4>
      </vt:variant>
      <vt:variant>
        <vt:i4>5</vt:i4>
      </vt:variant>
      <vt:variant>
        <vt:lpwstr>http://194.182.137.30/exchweb/bin/redir.asp?URL=http://apps.fcc.gov/ecfs/comment_search/input.action?z=574gv</vt:lpwstr>
      </vt:variant>
      <vt:variant>
        <vt:lpwstr/>
      </vt:variant>
      <vt:variant>
        <vt:i4>3407922</vt:i4>
      </vt:variant>
      <vt:variant>
        <vt:i4>0</vt:i4>
      </vt:variant>
      <vt:variant>
        <vt:i4>0</vt:i4>
      </vt:variant>
      <vt:variant>
        <vt:i4>5</vt:i4>
      </vt:variant>
      <vt:variant>
        <vt:lpwstr>http://www.fcc.gov/document/5-ghz-unlicensed-spectrum-unii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ECC Template</dc:subject>
  <dc:creator>221-1c</dc:creator>
  <cp:keywords>ECC, CEPT, Template</cp:keywords>
  <cp:lastModifiedBy>France</cp:lastModifiedBy>
  <cp:revision>2</cp:revision>
  <cp:lastPrinted>1999-09-27T13:20:00Z</cp:lastPrinted>
  <dcterms:created xsi:type="dcterms:W3CDTF">2015-02-24T13:57:00Z</dcterms:created>
  <dcterms:modified xsi:type="dcterms:W3CDTF">2015-02-24T13:57:00Z</dcterms:modified>
</cp:coreProperties>
</file>