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6" w:type="dxa"/>
        <w:tblInd w:w="-923" w:type="dxa"/>
        <w:tblLayout w:type="fixed"/>
        <w:tblCellMar>
          <w:left w:w="70" w:type="dxa"/>
          <w:right w:w="70" w:type="dxa"/>
        </w:tblCellMar>
        <w:tblLook w:val="0000" w:firstRow="0" w:lastRow="0" w:firstColumn="0" w:lastColumn="0" w:noHBand="0" w:noVBand="0"/>
      </w:tblPr>
      <w:tblGrid>
        <w:gridCol w:w="1405"/>
        <w:gridCol w:w="1712"/>
        <w:gridCol w:w="3830"/>
        <w:gridCol w:w="3827"/>
        <w:gridCol w:w="142"/>
      </w:tblGrid>
      <w:tr w:rsidR="003621FE" w:rsidRPr="003621FE" w:rsidTr="003621FE">
        <w:trPr>
          <w:gridAfter w:val="1"/>
          <w:wAfter w:w="142" w:type="dxa"/>
          <w:cantSplit/>
        </w:trPr>
        <w:tc>
          <w:tcPr>
            <w:tcW w:w="3117" w:type="dxa"/>
            <w:gridSpan w:val="2"/>
          </w:tcPr>
          <w:p w:rsidR="003621FE" w:rsidRPr="003621FE" w:rsidRDefault="003621FE" w:rsidP="003621FE">
            <w:pPr>
              <w:autoSpaceDE w:val="0"/>
              <w:autoSpaceDN w:val="0"/>
              <w:spacing w:after="0" w:line="240" w:lineRule="auto"/>
              <w:ind w:right="282"/>
              <w:jc w:val="both"/>
              <w:rPr>
                <w:rFonts w:ascii="Arial" w:eastAsia="Times New Roman" w:hAnsi="Arial" w:cs="Arial"/>
                <w:sz w:val="24"/>
                <w:szCs w:val="24"/>
                <w:lang w:val="en-GB"/>
              </w:rPr>
            </w:pPr>
            <w:r>
              <w:rPr>
                <w:rFonts w:ascii="Times New Roman" w:eastAsia="Times New Roman" w:hAnsi="Times New Roman" w:cs="Times New Roman"/>
                <w:b/>
                <w:bCs/>
                <w:caps/>
                <w:noProof/>
                <w:sz w:val="24"/>
                <w:szCs w:val="24"/>
                <w:lang w:eastAsia="fr-FR"/>
              </w:rPr>
              <w:drawing>
                <wp:inline distT="0" distB="0" distL="0" distR="0" wp14:anchorId="2C5E1F9B" wp14:editId="31EF4684">
                  <wp:extent cx="1626870" cy="949325"/>
                  <wp:effectExtent l="0" t="0" r="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6870" cy="949325"/>
                          </a:xfrm>
                          <a:prstGeom prst="rect">
                            <a:avLst/>
                          </a:prstGeom>
                          <a:noFill/>
                          <a:ln>
                            <a:noFill/>
                          </a:ln>
                        </pic:spPr>
                      </pic:pic>
                    </a:graphicData>
                  </a:graphic>
                </wp:inline>
              </w:drawing>
            </w:r>
          </w:p>
        </w:tc>
        <w:tc>
          <w:tcPr>
            <w:tcW w:w="3830" w:type="dxa"/>
          </w:tcPr>
          <w:p w:rsidR="003621FE" w:rsidRPr="003621FE" w:rsidRDefault="003621FE" w:rsidP="003621FE">
            <w:pPr>
              <w:autoSpaceDE w:val="0"/>
              <w:autoSpaceDN w:val="0"/>
              <w:spacing w:after="0" w:line="240" w:lineRule="auto"/>
              <w:jc w:val="both"/>
              <w:rPr>
                <w:rFonts w:ascii="Arial" w:eastAsia="Times New Roman" w:hAnsi="Arial" w:cs="Arial"/>
                <w:i/>
                <w:iCs/>
                <w:sz w:val="24"/>
                <w:szCs w:val="24"/>
                <w:lang w:val="en-GB"/>
              </w:rPr>
            </w:pPr>
          </w:p>
          <w:p w:rsidR="003621FE" w:rsidRPr="003621FE" w:rsidRDefault="003621FE" w:rsidP="003621FE">
            <w:pPr>
              <w:autoSpaceDE w:val="0"/>
              <w:autoSpaceDN w:val="0"/>
              <w:spacing w:after="0" w:line="240" w:lineRule="auto"/>
              <w:jc w:val="both"/>
              <w:rPr>
                <w:rFonts w:ascii="Arial" w:eastAsia="Times New Roman" w:hAnsi="Arial" w:cs="Arial"/>
                <w:i/>
                <w:iCs/>
                <w:sz w:val="24"/>
                <w:szCs w:val="24"/>
                <w:lang w:val="en-GB"/>
              </w:rPr>
            </w:pPr>
          </w:p>
          <w:p w:rsidR="003621FE" w:rsidRPr="003621FE" w:rsidRDefault="003621FE" w:rsidP="003621FE">
            <w:pPr>
              <w:autoSpaceDE w:val="0"/>
              <w:autoSpaceDN w:val="0"/>
              <w:spacing w:after="0" w:line="240" w:lineRule="auto"/>
              <w:jc w:val="both"/>
              <w:rPr>
                <w:rFonts w:ascii="Arial" w:eastAsia="Times New Roman" w:hAnsi="Arial" w:cs="Arial"/>
                <w:b/>
                <w:bCs/>
                <w:i/>
                <w:iCs/>
                <w:sz w:val="24"/>
                <w:szCs w:val="24"/>
                <w:lang w:val="en-GB"/>
              </w:rPr>
            </w:pPr>
            <w:r w:rsidRPr="003621FE">
              <w:rPr>
                <w:rFonts w:ascii="Arial" w:eastAsia="Times New Roman" w:hAnsi="Arial" w:cs="Arial"/>
                <w:b/>
                <w:bCs/>
                <w:i/>
                <w:iCs/>
                <w:sz w:val="24"/>
                <w:szCs w:val="24"/>
                <w:lang w:val="en-GB"/>
              </w:rPr>
              <w:t>FM PT44</w:t>
            </w:r>
          </w:p>
          <w:p w:rsidR="003621FE" w:rsidRPr="00744FEC" w:rsidRDefault="00744FEC" w:rsidP="00744FEC">
            <w:pPr>
              <w:autoSpaceDE w:val="0"/>
              <w:autoSpaceDN w:val="0"/>
              <w:spacing w:after="0"/>
              <w:rPr>
                <w:rFonts w:cs="Arial"/>
                <w:b/>
                <w:i/>
                <w:iCs/>
                <w:sz w:val="24"/>
                <w:szCs w:val="24"/>
                <w:lang w:val="en-GB"/>
              </w:rPr>
            </w:pPr>
            <w:r w:rsidRPr="005F527E">
              <w:rPr>
                <w:rFonts w:cs="Arial"/>
                <w:b/>
                <w:i/>
                <w:iCs/>
                <w:sz w:val="24"/>
                <w:szCs w:val="24"/>
              </w:rPr>
              <w:t>20</w:t>
            </w:r>
            <w:r w:rsidRPr="005F527E">
              <w:rPr>
                <w:rFonts w:cs="Arial"/>
                <w:b/>
                <w:i/>
                <w:iCs/>
                <w:sz w:val="24"/>
                <w:szCs w:val="24"/>
                <w:vertAlign w:val="superscript"/>
              </w:rPr>
              <w:t>th</w:t>
            </w:r>
            <w:r w:rsidRPr="005F527E">
              <w:rPr>
                <w:rFonts w:cs="Arial"/>
                <w:b/>
                <w:i/>
                <w:iCs/>
                <w:sz w:val="24"/>
                <w:szCs w:val="24"/>
              </w:rPr>
              <w:t xml:space="preserve"> meeting</w:t>
            </w:r>
            <w:bookmarkStart w:id="0" w:name="_GoBack"/>
            <w:bookmarkEnd w:id="0"/>
          </w:p>
          <w:p w:rsidR="003621FE" w:rsidRPr="003621FE" w:rsidRDefault="003621FE" w:rsidP="003621FE">
            <w:pPr>
              <w:autoSpaceDE w:val="0"/>
              <w:autoSpaceDN w:val="0"/>
              <w:spacing w:after="0" w:line="240" w:lineRule="auto"/>
              <w:ind w:left="953" w:hanging="953"/>
              <w:jc w:val="both"/>
              <w:rPr>
                <w:rFonts w:ascii="Arial" w:eastAsia="Times New Roman" w:hAnsi="Arial" w:cs="Arial"/>
                <w:i/>
                <w:iCs/>
                <w:sz w:val="24"/>
                <w:szCs w:val="24"/>
                <w:lang w:val="en-GB"/>
              </w:rPr>
            </w:pPr>
          </w:p>
          <w:p w:rsidR="003621FE" w:rsidRPr="003621FE" w:rsidRDefault="003621FE" w:rsidP="003621FE">
            <w:pPr>
              <w:autoSpaceDE w:val="0"/>
              <w:autoSpaceDN w:val="0"/>
              <w:spacing w:after="0" w:line="240" w:lineRule="auto"/>
              <w:ind w:right="282"/>
              <w:jc w:val="both"/>
              <w:rPr>
                <w:rFonts w:ascii="Arial" w:eastAsia="Times New Roman" w:hAnsi="Arial" w:cs="Arial"/>
                <w:sz w:val="24"/>
                <w:szCs w:val="24"/>
                <w:lang w:val="en-GB"/>
              </w:rPr>
            </w:pPr>
          </w:p>
        </w:tc>
        <w:tc>
          <w:tcPr>
            <w:tcW w:w="3827" w:type="dxa"/>
          </w:tcPr>
          <w:p w:rsidR="003621FE" w:rsidRPr="003621FE" w:rsidRDefault="003621FE" w:rsidP="003621FE">
            <w:pPr>
              <w:autoSpaceDE w:val="0"/>
              <w:autoSpaceDN w:val="0"/>
              <w:spacing w:after="0" w:line="240" w:lineRule="auto"/>
              <w:ind w:right="282"/>
              <w:jc w:val="both"/>
              <w:rPr>
                <w:rFonts w:ascii="Arial" w:eastAsia="Times New Roman" w:hAnsi="Arial" w:cs="Arial"/>
                <w:b/>
                <w:bCs/>
                <w:sz w:val="24"/>
                <w:szCs w:val="24"/>
                <w:lang w:val="en-GB"/>
              </w:rPr>
            </w:pPr>
          </w:p>
          <w:p w:rsidR="003621FE" w:rsidRPr="003621FE" w:rsidRDefault="003621FE" w:rsidP="003621FE">
            <w:pPr>
              <w:autoSpaceDE w:val="0"/>
              <w:autoSpaceDN w:val="0"/>
              <w:spacing w:after="0" w:line="240" w:lineRule="auto"/>
              <w:ind w:right="282"/>
              <w:jc w:val="right"/>
              <w:rPr>
                <w:rFonts w:ascii="Arial" w:eastAsia="Times New Roman" w:hAnsi="Arial" w:cs="Arial"/>
                <w:b/>
                <w:bCs/>
                <w:sz w:val="24"/>
                <w:szCs w:val="24"/>
                <w:lang w:val="en-GB"/>
              </w:rPr>
            </w:pPr>
            <w:r w:rsidRPr="003621FE">
              <w:rPr>
                <w:rFonts w:ascii="Arial" w:eastAsia="Times New Roman" w:hAnsi="Arial" w:cs="Arial"/>
                <w:b/>
                <w:bCs/>
                <w:sz w:val="24"/>
                <w:szCs w:val="24"/>
                <w:lang w:val="en-GB"/>
              </w:rPr>
              <w:t>FM44(12)00</w:t>
            </w:r>
            <w:r>
              <w:rPr>
                <w:rFonts w:ascii="Arial" w:eastAsia="Times New Roman" w:hAnsi="Arial" w:cs="Arial"/>
                <w:b/>
                <w:bCs/>
                <w:sz w:val="24"/>
                <w:szCs w:val="24"/>
                <w:lang w:val="en-GB"/>
              </w:rPr>
              <w:t>5</w:t>
            </w:r>
          </w:p>
          <w:p w:rsidR="003621FE" w:rsidRPr="003621FE" w:rsidRDefault="003621FE" w:rsidP="003621FE">
            <w:pPr>
              <w:autoSpaceDE w:val="0"/>
              <w:autoSpaceDN w:val="0"/>
              <w:spacing w:after="0" w:line="240" w:lineRule="auto"/>
              <w:ind w:right="282"/>
              <w:jc w:val="both"/>
              <w:rPr>
                <w:rFonts w:ascii="Arial" w:eastAsia="Times New Roman" w:hAnsi="Arial" w:cs="Arial"/>
                <w:b/>
                <w:bCs/>
                <w:sz w:val="24"/>
                <w:szCs w:val="24"/>
                <w:lang w:val="en-GB"/>
              </w:rPr>
            </w:pPr>
          </w:p>
          <w:p w:rsidR="003621FE" w:rsidRPr="003621FE" w:rsidRDefault="003621FE" w:rsidP="003621FE">
            <w:pPr>
              <w:autoSpaceDE w:val="0"/>
              <w:autoSpaceDN w:val="0"/>
              <w:spacing w:after="0" w:line="240" w:lineRule="auto"/>
              <w:ind w:right="282"/>
              <w:jc w:val="right"/>
              <w:rPr>
                <w:rFonts w:ascii="Arial" w:eastAsia="Times New Roman" w:hAnsi="Arial" w:cs="Arial"/>
                <w:b/>
                <w:bCs/>
                <w:sz w:val="24"/>
                <w:szCs w:val="24"/>
                <w:lang w:val="fi-FI"/>
              </w:rPr>
            </w:pPr>
          </w:p>
        </w:tc>
      </w:tr>
      <w:tr w:rsidR="003621FE" w:rsidRPr="003621FE" w:rsidTr="003621FE">
        <w:trPr>
          <w:gridAfter w:val="2"/>
          <w:wAfter w:w="3969" w:type="dxa"/>
          <w:cantSplit/>
        </w:trPr>
        <w:tc>
          <w:tcPr>
            <w:tcW w:w="6947" w:type="dxa"/>
            <w:gridSpan w:val="3"/>
          </w:tcPr>
          <w:p w:rsidR="003621FE" w:rsidRPr="003621FE" w:rsidRDefault="003621FE" w:rsidP="003621FE">
            <w:pPr>
              <w:autoSpaceDE w:val="0"/>
              <w:autoSpaceDN w:val="0"/>
              <w:spacing w:after="0" w:line="240" w:lineRule="auto"/>
              <w:jc w:val="both"/>
              <w:rPr>
                <w:rFonts w:ascii="Arial" w:eastAsia="Times New Roman" w:hAnsi="Arial" w:cs="Arial"/>
                <w:b/>
                <w:bCs/>
                <w:sz w:val="24"/>
                <w:szCs w:val="24"/>
                <w:lang w:val="fi-FI"/>
              </w:rPr>
            </w:pPr>
            <w:r w:rsidRPr="003621FE">
              <w:rPr>
                <w:rFonts w:ascii="Arial" w:eastAsia="Times New Roman" w:hAnsi="Arial" w:cs="Arial"/>
                <w:b/>
                <w:bCs/>
                <w:sz w:val="24"/>
                <w:szCs w:val="24"/>
                <w:lang w:val="fi-FI"/>
              </w:rPr>
              <w:t>14-16 March 2012, London, United Kingdom</w:t>
            </w:r>
          </w:p>
        </w:tc>
      </w:tr>
      <w:tr w:rsidR="003621FE" w:rsidRPr="003621FE" w:rsidTr="003621FE">
        <w:trPr>
          <w:cantSplit/>
        </w:trPr>
        <w:tc>
          <w:tcPr>
            <w:tcW w:w="1405" w:type="dxa"/>
          </w:tcPr>
          <w:p w:rsidR="003621FE" w:rsidRPr="003621FE" w:rsidRDefault="003621FE" w:rsidP="003621FE">
            <w:pPr>
              <w:autoSpaceDE w:val="0"/>
              <w:autoSpaceDN w:val="0"/>
              <w:spacing w:after="0" w:line="240" w:lineRule="auto"/>
              <w:ind w:right="282"/>
              <w:jc w:val="both"/>
              <w:rPr>
                <w:rFonts w:ascii="Arial" w:eastAsia="Times New Roman" w:hAnsi="Arial" w:cs="Arial"/>
                <w:b/>
                <w:bCs/>
                <w:sz w:val="24"/>
                <w:szCs w:val="24"/>
                <w:lang w:val="fi-FI"/>
              </w:rPr>
            </w:pPr>
          </w:p>
        </w:tc>
        <w:tc>
          <w:tcPr>
            <w:tcW w:w="9511" w:type="dxa"/>
            <w:gridSpan w:val="4"/>
          </w:tcPr>
          <w:p w:rsidR="003621FE" w:rsidRPr="003621FE" w:rsidRDefault="003621FE" w:rsidP="003621FE">
            <w:pPr>
              <w:autoSpaceDE w:val="0"/>
              <w:autoSpaceDN w:val="0"/>
              <w:spacing w:after="0" w:line="240" w:lineRule="auto"/>
              <w:ind w:right="282"/>
              <w:jc w:val="both"/>
              <w:rPr>
                <w:rFonts w:ascii="Arial" w:eastAsia="Times New Roman" w:hAnsi="Arial" w:cs="Arial"/>
                <w:b/>
                <w:bCs/>
                <w:sz w:val="24"/>
                <w:szCs w:val="24"/>
                <w:lang w:val="fi-FI"/>
              </w:rPr>
            </w:pPr>
          </w:p>
        </w:tc>
      </w:tr>
      <w:tr w:rsidR="003621FE" w:rsidRPr="00744FEC" w:rsidTr="003621FE">
        <w:trPr>
          <w:cantSplit/>
        </w:trPr>
        <w:tc>
          <w:tcPr>
            <w:tcW w:w="1405" w:type="dxa"/>
          </w:tcPr>
          <w:p w:rsidR="003621FE" w:rsidRPr="003621FE" w:rsidRDefault="003621FE" w:rsidP="003621FE">
            <w:pPr>
              <w:autoSpaceDE w:val="0"/>
              <w:autoSpaceDN w:val="0"/>
              <w:spacing w:after="0" w:line="240" w:lineRule="auto"/>
              <w:ind w:right="282"/>
              <w:jc w:val="both"/>
              <w:rPr>
                <w:rFonts w:ascii="Arial" w:eastAsia="Times New Roman" w:hAnsi="Arial" w:cs="Arial"/>
                <w:b/>
                <w:bCs/>
                <w:sz w:val="24"/>
                <w:szCs w:val="24"/>
                <w:lang w:val="en-GB"/>
              </w:rPr>
            </w:pPr>
            <w:r w:rsidRPr="003621FE">
              <w:rPr>
                <w:rFonts w:ascii="Arial" w:eastAsia="Times New Roman" w:hAnsi="Arial" w:cs="Arial"/>
                <w:b/>
                <w:bCs/>
                <w:sz w:val="24"/>
                <w:szCs w:val="24"/>
                <w:lang w:val="en-GB"/>
              </w:rPr>
              <w:t>Subject:</w:t>
            </w:r>
          </w:p>
        </w:tc>
        <w:tc>
          <w:tcPr>
            <w:tcW w:w="9511" w:type="dxa"/>
            <w:gridSpan w:val="4"/>
          </w:tcPr>
          <w:p w:rsidR="003621FE" w:rsidRPr="003621FE" w:rsidRDefault="003621FE" w:rsidP="003621FE">
            <w:pPr>
              <w:autoSpaceDE w:val="0"/>
              <w:autoSpaceDN w:val="0"/>
              <w:spacing w:after="0" w:line="240" w:lineRule="auto"/>
              <w:ind w:right="282"/>
              <w:jc w:val="both"/>
              <w:rPr>
                <w:rFonts w:ascii="Arial" w:eastAsia="Times New Roman" w:hAnsi="Arial" w:cs="Arial"/>
                <w:b/>
                <w:bCs/>
                <w:sz w:val="24"/>
                <w:szCs w:val="24"/>
                <w:lang w:val="en-GB"/>
              </w:rPr>
            </w:pPr>
            <w:r w:rsidRPr="003621FE">
              <w:rPr>
                <w:rFonts w:ascii="Arial" w:eastAsia="Times New Roman" w:hAnsi="Arial" w:cs="Arial"/>
                <w:b/>
                <w:bCs/>
                <w:sz w:val="24"/>
                <w:szCs w:val="24"/>
                <w:lang w:val="en-GB"/>
              </w:rPr>
              <w:t>Extract from the Report of the 30</w:t>
            </w:r>
            <w:r w:rsidRPr="003621FE">
              <w:rPr>
                <w:rFonts w:ascii="Arial" w:eastAsia="Times New Roman" w:hAnsi="Arial" w:cs="Arial"/>
                <w:b/>
                <w:bCs/>
                <w:sz w:val="24"/>
                <w:szCs w:val="24"/>
                <w:vertAlign w:val="superscript"/>
                <w:lang w:val="en-GB"/>
              </w:rPr>
              <w:t>th</w:t>
            </w:r>
            <w:r w:rsidRPr="003621FE">
              <w:rPr>
                <w:rFonts w:ascii="Arial" w:eastAsia="Times New Roman" w:hAnsi="Arial" w:cs="Arial"/>
                <w:b/>
                <w:bCs/>
                <w:sz w:val="24"/>
                <w:szCs w:val="24"/>
                <w:lang w:val="en-GB"/>
              </w:rPr>
              <w:t xml:space="preserve"> ECC meeting, Kazan, 6</w:t>
            </w:r>
            <w:r w:rsidRPr="003621FE">
              <w:rPr>
                <w:rFonts w:ascii="Arial" w:eastAsia="Times New Roman" w:hAnsi="Arial" w:cs="Arial"/>
                <w:b/>
                <w:bCs/>
                <w:sz w:val="24"/>
                <w:szCs w:val="24"/>
                <w:vertAlign w:val="superscript"/>
                <w:lang w:val="en-GB"/>
              </w:rPr>
              <w:t>th</w:t>
            </w:r>
            <w:r w:rsidRPr="003621FE">
              <w:rPr>
                <w:rFonts w:ascii="Arial" w:eastAsia="Times New Roman" w:hAnsi="Arial" w:cs="Arial"/>
                <w:b/>
                <w:bCs/>
                <w:sz w:val="24"/>
                <w:szCs w:val="24"/>
                <w:lang w:val="en-GB"/>
              </w:rPr>
              <w:t xml:space="preserve"> - 9</w:t>
            </w:r>
            <w:r w:rsidRPr="003621FE">
              <w:rPr>
                <w:rFonts w:ascii="Arial" w:eastAsia="Times New Roman" w:hAnsi="Arial" w:cs="Arial"/>
                <w:b/>
                <w:bCs/>
                <w:sz w:val="24"/>
                <w:szCs w:val="24"/>
                <w:vertAlign w:val="superscript"/>
                <w:lang w:val="en-GB"/>
              </w:rPr>
              <w:t>th</w:t>
            </w:r>
            <w:r w:rsidRPr="003621FE">
              <w:rPr>
                <w:rFonts w:ascii="Arial" w:eastAsia="Times New Roman" w:hAnsi="Arial" w:cs="Arial"/>
                <w:b/>
                <w:bCs/>
                <w:sz w:val="24"/>
                <w:szCs w:val="24"/>
                <w:lang w:val="en-GB"/>
              </w:rPr>
              <w:t xml:space="preserve"> December 2011</w:t>
            </w:r>
          </w:p>
          <w:p w:rsidR="003621FE" w:rsidRPr="003621FE" w:rsidRDefault="003621FE" w:rsidP="003621FE">
            <w:pPr>
              <w:autoSpaceDE w:val="0"/>
              <w:autoSpaceDN w:val="0"/>
              <w:spacing w:after="0" w:line="240" w:lineRule="auto"/>
              <w:ind w:right="282"/>
              <w:jc w:val="both"/>
              <w:rPr>
                <w:rFonts w:ascii="Arial" w:eastAsia="Times New Roman" w:hAnsi="Arial" w:cs="Arial"/>
                <w:b/>
                <w:bCs/>
                <w:sz w:val="24"/>
                <w:szCs w:val="24"/>
                <w:lang w:val="en-GB"/>
              </w:rPr>
            </w:pPr>
          </w:p>
        </w:tc>
      </w:tr>
      <w:tr w:rsidR="003621FE" w:rsidRPr="003621FE" w:rsidTr="003621FE">
        <w:trPr>
          <w:cantSplit/>
        </w:trPr>
        <w:tc>
          <w:tcPr>
            <w:tcW w:w="1405" w:type="dxa"/>
          </w:tcPr>
          <w:p w:rsidR="003621FE" w:rsidRPr="003621FE" w:rsidRDefault="003621FE" w:rsidP="003621FE">
            <w:pPr>
              <w:autoSpaceDE w:val="0"/>
              <w:autoSpaceDN w:val="0"/>
              <w:spacing w:after="0" w:line="240" w:lineRule="auto"/>
              <w:ind w:right="282"/>
              <w:jc w:val="both"/>
              <w:rPr>
                <w:rFonts w:ascii="Arial" w:eastAsia="Times New Roman" w:hAnsi="Arial" w:cs="Arial"/>
                <w:b/>
                <w:bCs/>
                <w:sz w:val="24"/>
                <w:szCs w:val="24"/>
                <w:lang w:val="en-GB"/>
              </w:rPr>
            </w:pPr>
            <w:r w:rsidRPr="003621FE">
              <w:rPr>
                <w:rFonts w:ascii="Arial" w:eastAsia="Times New Roman" w:hAnsi="Arial" w:cs="Arial"/>
                <w:b/>
                <w:bCs/>
                <w:sz w:val="24"/>
                <w:szCs w:val="24"/>
                <w:lang w:val="en-GB"/>
              </w:rPr>
              <w:t xml:space="preserve">Date: </w:t>
            </w:r>
          </w:p>
        </w:tc>
        <w:tc>
          <w:tcPr>
            <w:tcW w:w="9511" w:type="dxa"/>
            <w:gridSpan w:val="4"/>
          </w:tcPr>
          <w:p w:rsidR="003621FE" w:rsidRPr="003621FE" w:rsidRDefault="003621FE" w:rsidP="003621FE">
            <w:pPr>
              <w:autoSpaceDE w:val="0"/>
              <w:autoSpaceDN w:val="0"/>
              <w:spacing w:after="0" w:line="240" w:lineRule="auto"/>
              <w:ind w:right="282"/>
              <w:jc w:val="both"/>
              <w:rPr>
                <w:rFonts w:ascii="Arial" w:eastAsia="Times New Roman" w:hAnsi="Arial" w:cs="Arial"/>
                <w:b/>
                <w:bCs/>
                <w:sz w:val="24"/>
                <w:szCs w:val="24"/>
                <w:lang w:val="en-GB"/>
              </w:rPr>
            </w:pPr>
            <w:r w:rsidRPr="003621FE">
              <w:rPr>
                <w:rFonts w:ascii="Arial" w:eastAsia="Times New Roman" w:hAnsi="Arial" w:cs="Arial"/>
                <w:b/>
                <w:bCs/>
                <w:sz w:val="24"/>
                <w:szCs w:val="24"/>
                <w:lang w:val="en-GB"/>
              </w:rPr>
              <w:t>2</w:t>
            </w:r>
            <w:r w:rsidRPr="003621FE">
              <w:rPr>
                <w:rFonts w:ascii="Arial" w:eastAsia="Times New Roman" w:hAnsi="Arial" w:cs="Arial"/>
                <w:b/>
                <w:bCs/>
                <w:sz w:val="24"/>
                <w:szCs w:val="24"/>
                <w:vertAlign w:val="superscript"/>
                <w:lang w:val="en-GB"/>
              </w:rPr>
              <w:t>nd</w:t>
            </w:r>
            <w:r w:rsidRPr="003621FE">
              <w:rPr>
                <w:rFonts w:ascii="Arial" w:eastAsia="Times New Roman" w:hAnsi="Arial" w:cs="Arial"/>
                <w:b/>
                <w:bCs/>
                <w:sz w:val="24"/>
                <w:szCs w:val="24"/>
                <w:lang w:val="en-GB"/>
              </w:rPr>
              <w:t xml:space="preserve"> February 2012</w:t>
            </w:r>
          </w:p>
          <w:p w:rsidR="003621FE" w:rsidRPr="003621FE" w:rsidRDefault="003621FE" w:rsidP="003621FE">
            <w:pPr>
              <w:autoSpaceDE w:val="0"/>
              <w:autoSpaceDN w:val="0"/>
              <w:spacing w:after="0" w:line="240" w:lineRule="auto"/>
              <w:ind w:right="282"/>
              <w:jc w:val="both"/>
              <w:rPr>
                <w:rFonts w:ascii="Arial" w:eastAsia="Times New Roman" w:hAnsi="Arial" w:cs="Arial"/>
                <w:b/>
                <w:bCs/>
                <w:sz w:val="24"/>
                <w:szCs w:val="24"/>
                <w:lang w:val="en-GB"/>
              </w:rPr>
            </w:pPr>
          </w:p>
        </w:tc>
      </w:tr>
      <w:tr w:rsidR="003621FE" w:rsidRPr="003621FE" w:rsidTr="003621FE">
        <w:trPr>
          <w:cantSplit/>
        </w:trPr>
        <w:tc>
          <w:tcPr>
            <w:tcW w:w="1405" w:type="dxa"/>
          </w:tcPr>
          <w:p w:rsidR="003621FE" w:rsidRPr="003621FE" w:rsidRDefault="003621FE" w:rsidP="003621FE">
            <w:pPr>
              <w:autoSpaceDE w:val="0"/>
              <w:autoSpaceDN w:val="0"/>
              <w:spacing w:after="0" w:line="240" w:lineRule="auto"/>
              <w:ind w:right="282"/>
              <w:jc w:val="both"/>
              <w:rPr>
                <w:rFonts w:ascii="Arial" w:eastAsia="Times New Roman" w:hAnsi="Arial" w:cs="Arial"/>
                <w:b/>
                <w:bCs/>
                <w:sz w:val="24"/>
                <w:szCs w:val="24"/>
                <w:lang w:val="en-GB"/>
              </w:rPr>
            </w:pPr>
            <w:r w:rsidRPr="003621FE">
              <w:rPr>
                <w:rFonts w:ascii="Arial" w:eastAsia="Times New Roman" w:hAnsi="Arial" w:cs="Arial"/>
                <w:b/>
                <w:bCs/>
                <w:sz w:val="24"/>
                <w:szCs w:val="24"/>
                <w:lang w:val="en-GB"/>
              </w:rPr>
              <w:t>Origin:</w:t>
            </w:r>
          </w:p>
        </w:tc>
        <w:tc>
          <w:tcPr>
            <w:tcW w:w="9511" w:type="dxa"/>
            <w:gridSpan w:val="4"/>
          </w:tcPr>
          <w:p w:rsidR="003621FE" w:rsidRPr="003621FE" w:rsidRDefault="003621FE" w:rsidP="003621FE">
            <w:pPr>
              <w:autoSpaceDE w:val="0"/>
              <w:autoSpaceDN w:val="0"/>
              <w:spacing w:after="0" w:line="240" w:lineRule="auto"/>
              <w:ind w:right="282"/>
              <w:jc w:val="both"/>
              <w:rPr>
                <w:rFonts w:ascii="Arial" w:eastAsia="Times New Roman" w:hAnsi="Arial" w:cs="Arial"/>
                <w:b/>
                <w:bCs/>
                <w:sz w:val="24"/>
                <w:szCs w:val="24"/>
                <w:lang w:val="en-GB"/>
              </w:rPr>
            </w:pPr>
            <w:r>
              <w:rPr>
                <w:rFonts w:ascii="Arial" w:eastAsia="Times New Roman" w:hAnsi="Arial" w:cs="Arial"/>
                <w:b/>
                <w:bCs/>
                <w:sz w:val="24"/>
                <w:szCs w:val="24"/>
                <w:lang w:val="en-GB"/>
              </w:rPr>
              <w:t>ECC</w:t>
            </w:r>
          </w:p>
          <w:p w:rsidR="003621FE" w:rsidRPr="003621FE" w:rsidRDefault="003621FE" w:rsidP="003621FE">
            <w:pPr>
              <w:autoSpaceDE w:val="0"/>
              <w:autoSpaceDN w:val="0"/>
              <w:spacing w:after="0" w:line="240" w:lineRule="auto"/>
              <w:ind w:right="282"/>
              <w:jc w:val="both"/>
              <w:rPr>
                <w:rFonts w:ascii="Arial" w:eastAsia="Times New Roman" w:hAnsi="Arial" w:cs="Arial"/>
                <w:b/>
                <w:bCs/>
                <w:sz w:val="24"/>
                <w:szCs w:val="24"/>
                <w:lang w:val="en-GB"/>
              </w:rPr>
            </w:pPr>
          </w:p>
        </w:tc>
      </w:tr>
    </w:tbl>
    <w:p w:rsidR="003621FE" w:rsidRDefault="003621FE"/>
    <w:p w:rsidR="003621FE" w:rsidRDefault="003621FE"/>
    <w:p w:rsidR="003621FE" w:rsidRPr="003621FE" w:rsidRDefault="003621FE" w:rsidP="003621FE">
      <w:pPr>
        <w:keepNext/>
        <w:keepLines/>
        <w:numPr>
          <w:ilvl w:val="1"/>
          <w:numId w:val="0"/>
        </w:numPr>
        <w:tabs>
          <w:tab w:val="left" w:pos="709"/>
          <w:tab w:val="num" w:pos="1844"/>
        </w:tabs>
        <w:spacing w:before="240" w:after="60" w:line="240" w:lineRule="auto"/>
        <w:ind w:left="709" w:hanging="709"/>
        <w:outlineLvl w:val="1"/>
        <w:rPr>
          <w:rFonts w:ascii="Arial" w:eastAsia="Times New Roman" w:hAnsi="Arial" w:cs="Arial"/>
          <w:b/>
          <w:bCs/>
          <w:color w:val="000000"/>
          <w:kern w:val="32"/>
          <w:sz w:val="24"/>
          <w:szCs w:val="24"/>
          <w:lang w:val="en-GB" w:eastAsia="de-DE"/>
        </w:rPr>
      </w:pPr>
      <w:r>
        <w:rPr>
          <w:rFonts w:ascii="Arial" w:eastAsia="Times New Roman" w:hAnsi="Arial" w:cs="Arial"/>
          <w:b/>
          <w:bCs/>
          <w:color w:val="000000"/>
          <w:kern w:val="32"/>
          <w:sz w:val="24"/>
          <w:szCs w:val="24"/>
          <w:lang w:val="en-GB" w:eastAsia="de-DE"/>
        </w:rPr>
        <w:t>4.9</w:t>
      </w:r>
      <w:r>
        <w:rPr>
          <w:rFonts w:ascii="Arial" w:eastAsia="Times New Roman" w:hAnsi="Arial" w:cs="Arial"/>
          <w:b/>
          <w:bCs/>
          <w:color w:val="000000"/>
          <w:kern w:val="32"/>
          <w:sz w:val="24"/>
          <w:szCs w:val="24"/>
          <w:lang w:val="en-GB" w:eastAsia="de-DE"/>
        </w:rPr>
        <w:tab/>
      </w:r>
      <w:r w:rsidRPr="003621FE">
        <w:rPr>
          <w:rFonts w:ascii="Arial" w:eastAsia="Times New Roman" w:hAnsi="Arial" w:cs="Arial"/>
          <w:b/>
          <w:bCs/>
          <w:color w:val="000000"/>
          <w:kern w:val="32"/>
          <w:sz w:val="24"/>
          <w:szCs w:val="24"/>
          <w:lang w:val="en-GB" w:eastAsia="de-DE"/>
        </w:rPr>
        <w:t>Approval for Public Consultation of draft ECC/DEC/(12)AA on “Exemption from individual licensing and free circulation and use of terrestrial and satellite mobile terminals operating under the control of networks”.</w:t>
      </w:r>
    </w:p>
    <w:p w:rsidR="003621FE" w:rsidRPr="003621FE" w:rsidRDefault="003621FE" w:rsidP="003621FE">
      <w:pPr>
        <w:spacing w:after="100" w:line="264" w:lineRule="auto"/>
        <w:jc w:val="both"/>
        <w:rPr>
          <w:rFonts w:ascii="Arial" w:eastAsia="Times New Roman" w:hAnsi="Arial" w:cs="Times New Roman"/>
          <w:color w:val="000000"/>
          <w:szCs w:val="20"/>
          <w:lang w:val="en-GB" w:eastAsia="de-DE"/>
        </w:rPr>
      </w:pPr>
      <w:r w:rsidRPr="003621FE">
        <w:rPr>
          <w:rFonts w:ascii="Arial" w:eastAsia="Times New Roman" w:hAnsi="Arial" w:cs="Times New Roman"/>
          <w:color w:val="000000"/>
          <w:szCs w:val="20"/>
          <w:lang w:val="en-GB" w:eastAsia="de-DE"/>
        </w:rPr>
        <w:t xml:space="preserve">The Chairman of WG RA introduced </w:t>
      </w:r>
      <w:r w:rsidRPr="003621FE">
        <w:rPr>
          <w:rFonts w:ascii="Arial" w:eastAsia="Times New Roman" w:hAnsi="Arial" w:cs="Times New Roman"/>
          <w:b/>
          <w:color w:val="000000"/>
          <w:szCs w:val="20"/>
          <w:lang w:val="en-GB" w:eastAsia="de-DE"/>
        </w:rPr>
        <w:t>section 1.2 of ECC(11)059</w:t>
      </w:r>
      <w:r w:rsidRPr="003621FE">
        <w:rPr>
          <w:rFonts w:ascii="Arial" w:eastAsia="Times New Roman" w:hAnsi="Arial" w:cs="Times New Roman"/>
          <w:color w:val="000000"/>
          <w:szCs w:val="20"/>
          <w:lang w:val="en-GB" w:eastAsia="de-DE"/>
        </w:rPr>
        <w:t xml:space="preserve"> and referred to the history of the development of the draft new ECC Decision ECC/DEC/(12)AA on “exemption from individual licensing and free circulation and use of terrestrial and satellite mobile terminals operating under the control of networks”, which was approved by the 24</w:t>
      </w:r>
      <w:r w:rsidRPr="003621FE">
        <w:rPr>
          <w:rFonts w:ascii="Arial" w:eastAsia="Times New Roman" w:hAnsi="Arial" w:cs="Times New Roman"/>
          <w:color w:val="000000"/>
          <w:szCs w:val="20"/>
          <w:vertAlign w:val="superscript"/>
          <w:lang w:val="en-GB" w:eastAsia="de-DE"/>
        </w:rPr>
        <w:t>th</w:t>
      </w:r>
      <w:r w:rsidRPr="003621FE">
        <w:rPr>
          <w:rFonts w:ascii="Arial" w:eastAsia="Times New Roman" w:hAnsi="Arial" w:cs="Times New Roman"/>
          <w:color w:val="000000"/>
          <w:szCs w:val="20"/>
          <w:lang w:val="en-GB" w:eastAsia="de-DE"/>
        </w:rPr>
        <w:t xml:space="preserve"> WG RA meeting for Public Consultation. </w:t>
      </w:r>
    </w:p>
    <w:p w:rsidR="003621FE" w:rsidRPr="003621FE" w:rsidRDefault="003621FE" w:rsidP="003621FE">
      <w:pPr>
        <w:spacing w:after="100" w:line="264" w:lineRule="auto"/>
        <w:jc w:val="both"/>
        <w:rPr>
          <w:rFonts w:ascii="Arial" w:eastAsia="Times New Roman" w:hAnsi="Arial" w:cs="Times New Roman"/>
          <w:color w:val="000000"/>
          <w:szCs w:val="20"/>
          <w:lang w:val="en-GB" w:eastAsia="de-DE"/>
        </w:rPr>
      </w:pPr>
      <w:r w:rsidRPr="003621FE">
        <w:rPr>
          <w:rFonts w:ascii="Arial" w:eastAsia="Times New Roman" w:hAnsi="Arial" w:cs="Times New Roman"/>
          <w:color w:val="000000"/>
          <w:szCs w:val="20"/>
          <w:lang w:val="en-GB" w:eastAsia="de-DE"/>
        </w:rPr>
        <w:t>He then invited the ECC to decide on the next steps in relation to the review of ECC Decision ECC/DEC/(12)AA in the light of the objection from the United Kingdom, that was raised during the two-weeks pre-consultation phase.</w:t>
      </w:r>
    </w:p>
    <w:p w:rsidR="003621FE" w:rsidRPr="003621FE" w:rsidRDefault="003621FE" w:rsidP="003621FE">
      <w:pPr>
        <w:spacing w:after="100" w:line="264" w:lineRule="auto"/>
        <w:jc w:val="both"/>
        <w:rPr>
          <w:rFonts w:ascii="Arial" w:eastAsia="Times New Roman" w:hAnsi="Arial" w:cs="Times New Roman"/>
          <w:color w:val="000000"/>
          <w:szCs w:val="20"/>
          <w:lang w:val="en-GB" w:eastAsia="de-DE"/>
        </w:rPr>
      </w:pPr>
      <w:r w:rsidRPr="003621FE">
        <w:rPr>
          <w:rFonts w:ascii="Arial" w:eastAsia="Times New Roman" w:hAnsi="Arial" w:cs="Times New Roman"/>
          <w:color w:val="000000"/>
          <w:szCs w:val="20"/>
          <w:lang w:val="en-GB" w:eastAsia="de-DE"/>
        </w:rPr>
        <w:t xml:space="preserve">The United Kingdom introduced Document </w:t>
      </w:r>
      <w:r w:rsidRPr="003621FE">
        <w:rPr>
          <w:rFonts w:ascii="Arial" w:eastAsia="Times New Roman" w:hAnsi="Arial" w:cs="Times New Roman"/>
          <w:b/>
          <w:color w:val="000000"/>
          <w:szCs w:val="20"/>
          <w:lang w:val="en-GB" w:eastAsia="de-DE"/>
        </w:rPr>
        <w:t>ECC(11)070</w:t>
      </w:r>
      <w:r w:rsidRPr="003621FE">
        <w:rPr>
          <w:rFonts w:ascii="Arial" w:eastAsia="Times New Roman" w:hAnsi="Arial" w:cs="Times New Roman"/>
          <w:color w:val="000000"/>
          <w:szCs w:val="20"/>
          <w:lang w:val="en-GB" w:eastAsia="de-DE"/>
        </w:rPr>
        <w:t xml:space="preserve"> explaining the reasons for their objection, suggesting that the issue could either be discussed at this ECC meeting, or referred to the relevant subordinate entity.</w:t>
      </w:r>
    </w:p>
    <w:p w:rsidR="003621FE" w:rsidRPr="003621FE" w:rsidRDefault="003621FE" w:rsidP="003621FE">
      <w:pPr>
        <w:spacing w:after="100" w:line="264" w:lineRule="auto"/>
        <w:jc w:val="both"/>
        <w:rPr>
          <w:rFonts w:ascii="Arial" w:eastAsia="Times New Roman" w:hAnsi="Arial" w:cs="Times New Roman"/>
          <w:color w:val="000000"/>
          <w:szCs w:val="20"/>
          <w:lang w:val="en-GB" w:eastAsia="de-DE"/>
        </w:rPr>
      </w:pPr>
      <w:r w:rsidRPr="003621FE">
        <w:rPr>
          <w:rFonts w:ascii="Arial" w:eastAsia="Times New Roman" w:hAnsi="Arial" w:cs="Times New Roman"/>
          <w:color w:val="000000"/>
          <w:szCs w:val="20"/>
          <w:lang w:val="en-GB" w:eastAsia="de-DE"/>
        </w:rPr>
        <w:t>Following some debate the meeting invited the Chairman of WG RA to consult with all interested parties, aiming at agreeing to an acceptable text that could be sent to Public Consultation. The drafting group agreed to certain amendments to the draft text provided by WG RA and presented it to the meeting for approval.</w:t>
      </w:r>
    </w:p>
    <w:p w:rsidR="003621FE" w:rsidRPr="003621FE" w:rsidRDefault="003621FE" w:rsidP="003621FE">
      <w:pPr>
        <w:keepLines/>
        <w:pBdr>
          <w:top w:val="single" w:sz="12" w:space="4" w:color="auto"/>
          <w:left w:val="single" w:sz="12" w:space="4" w:color="auto"/>
          <w:bottom w:val="single" w:sz="12" w:space="4" w:color="auto"/>
          <w:right w:val="single" w:sz="12" w:space="4" w:color="auto"/>
        </w:pBdr>
        <w:spacing w:after="100" w:line="264" w:lineRule="auto"/>
        <w:jc w:val="both"/>
        <w:rPr>
          <w:rFonts w:ascii="Arial" w:hAnsi="Arial" w:cs="Arial"/>
          <w:color w:val="000000"/>
          <w:lang w:val="en-GB" w:eastAsia="de-DE"/>
        </w:rPr>
      </w:pPr>
      <w:r w:rsidRPr="003621FE">
        <w:rPr>
          <w:rFonts w:ascii="Arial" w:hAnsi="Arial" w:cs="Arial"/>
          <w:color w:val="000000"/>
          <w:lang w:val="en-GB" w:eastAsia="de-DE"/>
        </w:rPr>
        <w:t>The ECC approved the draft new ECC Decision ECC/DEC/(12)AA (</w:t>
      </w:r>
      <w:r w:rsidRPr="003621FE">
        <w:rPr>
          <w:rFonts w:ascii="Arial" w:hAnsi="Arial" w:cs="Times New Roman"/>
          <w:b/>
          <w:color w:val="000000"/>
          <w:lang w:val="en-GB" w:eastAsia="de-DE"/>
        </w:rPr>
        <w:t>ANNEX14</w:t>
      </w:r>
      <w:r w:rsidRPr="003621FE">
        <w:rPr>
          <w:rFonts w:ascii="Arial" w:hAnsi="Arial" w:cs="Arial"/>
          <w:color w:val="000000"/>
          <w:lang w:val="en-GB" w:eastAsia="de-DE"/>
        </w:rPr>
        <w:t>) for Public Consultation. The duration of the Public Consultation should be three months.</w:t>
      </w:r>
    </w:p>
    <w:p w:rsidR="003621FE" w:rsidRPr="003621FE" w:rsidRDefault="003621FE" w:rsidP="003621FE">
      <w:pPr>
        <w:spacing w:after="100" w:line="264" w:lineRule="auto"/>
        <w:jc w:val="both"/>
        <w:rPr>
          <w:rFonts w:ascii="Arial" w:eastAsia="Times New Roman" w:hAnsi="Arial" w:cs="Times New Roman"/>
          <w:color w:val="000000"/>
          <w:szCs w:val="20"/>
          <w:lang w:val="en-GB" w:eastAsia="de-DE"/>
        </w:rPr>
      </w:pPr>
      <w:r w:rsidRPr="003621FE">
        <w:rPr>
          <w:rFonts w:ascii="Arial" w:eastAsia="Times New Roman" w:hAnsi="Arial" w:cs="Times New Roman"/>
          <w:color w:val="000000"/>
          <w:szCs w:val="20"/>
          <w:lang w:val="en-GB" w:eastAsia="de-DE"/>
        </w:rPr>
        <w:t>In the cover note, the Office is invited to include the following text:</w:t>
      </w:r>
    </w:p>
    <w:p w:rsidR="003621FE" w:rsidRPr="003621FE" w:rsidRDefault="003621FE" w:rsidP="003621FE">
      <w:pPr>
        <w:spacing w:after="100" w:line="264" w:lineRule="auto"/>
        <w:jc w:val="both"/>
        <w:rPr>
          <w:rFonts w:ascii="Arial" w:eastAsia="Times New Roman" w:hAnsi="Arial" w:cs="Times New Roman"/>
          <w:color w:val="000000"/>
          <w:szCs w:val="20"/>
          <w:lang w:val="en-GB" w:eastAsia="de-DE"/>
        </w:rPr>
      </w:pPr>
      <w:r w:rsidRPr="003621FE">
        <w:rPr>
          <w:rFonts w:ascii="Arial" w:eastAsia="Times New Roman" w:hAnsi="Arial" w:cs="Times New Roman"/>
          <w:color w:val="000000"/>
          <w:szCs w:val="20"/>
          <w:lang w:val="en-GB" w:eastAsia="de-DE"/>
        </w:rPr>
        <w:t>“The aim of this Decision is to reduce the number of Decisions on exemption from individual licensing and free circulation and use of terrestrial and satellite mobile terminals operating under the control of networks. The proposed approach which combines terrestrial and satellite terminals in a single Decision would need to be assessed by all relevant stakeholders. Comments are therefore, in particular, invited on the pros and cons of this approach”.</w:t>
      </w:r>
    </w:p>
    <w:p w:rsidR="003621FE" w:rsidRPr="003621FE" w:rsidRDefault="003621FE" w:rsidP="003621FE">
      <w:pPr>
        <w:spacing w:after="100" w:line="264" w:lineRule="auto"/>
        <w:jc w:val="both"/>
        <w:rPr>
          <w:rFonts w:ascii="Arial" w:hAnsi="Arial" w:cs="Arial"/>
          <w:i/>
          <w:color w:val="000000"/>
          <w:lang w:val="en-GB" w:eastAsia="de-DE"/>
        </w:rPr>
      </w:pPr>
      <w:r w:rsidRPr="003621FE">
        <w:rPr>
          <w:rFonts w:ascii="Arial" w:hAnsi="Arial" w:cs="Arial"/>
          <w:i/>
          <w:color w:val="000000"/>
          <w:lang w:val="en-GB" w:eastAsia="de-DE"/>
        </w:rPr>
        <w:t>Statement of Portugal:</w:t>
      </w:r>
    </w:p>
    <w:p w:rsidR="003621FE" w:rsidRPr="003621FE" w:rsidRDefault="003621FE" w:rsidP="003621FE">
      <w:pPr>
        <w:spacing w:after="100" w:line="264" w:lineRule="auto"/>
        <w:jc w:val="both"/>
        <w:rPr>
          <w:rFonts w:ascii="Arial" w:hAnsi="Arial" w:cs="Arial"/>
          <w:i/>
          <w:color w:val="000000"/>
          <w:lang w:val="en-GB" w:eastAsia="de-DE"/>
        </w:rPr>
      </w:pPr>
      <w:r w:rsidRPr="003621FE">
        <w:rPr>
          <w:rFonts w:ascii="Arial" w:hAnsi="Arial" w:cs="Arial"/>
          <w:i/>
          <w:color w:val="000000"/>
          <w:lang w:val="en-GB" w:eastAsia="de-DE"/>
        </w:rPr>
        <w:lastRenderedPageBreak/>
        <w:t>Portugal informed that they will have problems with the application of this draft Decision to one particular band mentioned in the annex 1, the band 1518 - 1525 MHz.</w:t>
      </w:r>
    </w:p>
    <w:p w:rsidR="003621FE" w:rsidRDefault="003621FE">
      <w:pPr>
        <w:rPr>
          <w:lang w:val="en-GB"/>
        </w:rPr>
      </w:pPr>
    </w:p>
    <w:p w:rsidR="003621FE" w:rsidRPr="003621FE" w:rsidRDefault="003621FE" w:rsidP="003621FE">
      <w:pPr>
        <w:keepNext/>
        <w:keepLines/>
        <w:numPr>
          <w:ilvl w:val="1"/>
          <w:numId w:val="0"/>
        </w:numPr>
        <w:tabs>
          <w:tab w:val="left" w:pos="709"/>
          <w:tab w:val="num" w:pos="1844"/>
        </w:tabs>
        <w:spacing w:before="240" w:after="60" w:line="240" w:lineRule="auto"/>
        <w:ind w:left="709" w:hanging="709"/>
        <w:outlineLvl w:val="1"/>
        <w:rPr>
          <w:rFonts w:ascii="Arial" w:eastAsia="Times New Roman" w:hAnsi="Arial" w:cs="Arial"/>
          <w:b/>
          <w:bCs/>
          <w:color w:val="000000"/>
          <w:kern w:val="32"/>
          <w:sz w:val="24"/>
          <w:szCs w:val="24"/>
          <w:lang w:val="en-GB" w:eastAsia="de-DE"/>
        </w:rPr>
      </w:pPr>
      <w:r>
        <w:rPr>
          <w:rFonts w:ascii="Arial" w:eastAsia="Times New Roman" w:hAnsi="Arial" w:cs="Arial"/>
          <w:b/>
          <w:bCs/>
          <w:color w:val="000000"/>
          <w:kern w:val="32"/>
          <w:sz w:val="24"/>
          <w:szCs w:val="24"/>
          <w:lang w:val="en-GB" w:eastAsia="de-DE"/>
        </w:rPr>
        <w:t>7.2</w:t>
      </w:r>
      <w:r>
        <w:rPr>
          <w:rFonts w:ascii="Arial" w:eastAsia="Times New Roman" w:hAnsi="Arial" w:cs="Arial"/>
          <w:b/>
          <w:bCs/>
          <w:color w:val="000000"/>
          <w:kern w:val="32"/>
          <w:sz w:val="24"/>
          <w:szCs w:val="24"/>
          <w:lang w:val="en-GB" w:eastAsia="de-DE"/>
        </w:rPr>
        <w:tab/>
      </w:r>
      <w:r w:rsidRPr="003621FE">
        <w:rPr>
          <w:rFonts w:ascii="Arial" w:eastAsia="Times New Roman" w:hAnsi="Arial" w:cs="Arial"/>
          <w:b/>
          <w:bCs/>
          <w:color w:val="000000"/>
          <w:kern w:val="32"/>
          <w:sz w:val="24"/>
          <w:szCs w:val="24"/>
          <w:lang w:val="en-GB" w:eastAsia="de-DE"/>
        </w:rPr>
        <w:t>Proposal to withdraw ECC Recommendation ECC/REC (06)05</w:t>
      </w:r>
    </w:p>
    <w:p w:rsidR="003621FE" w:rsidRPr="003621FE" w:rsidRDefault="003621FE" w:rsidP="003621FE">
      <w:pPr>
        <w:spacing w:after="100" w:line="264" w:lineRule="auto"/>
        <w:jc w:val="both"/>
        <w:rPr>
          <w:rFonts w:ascii="Arial" w:eastAsia="Times New Roman" w:hAnsi="Arial" w:cs="Times New Roman"/>
          <w:color w:val="000000"/>
          <w:szCs w:val="20"/>
          <w:lang w:val="en-GB" w:eastAsia="de-DE"/>
        </w:rPr>
      </w:pPr>
      <w:r w:rsidRPr="003621FE">
        <w:rPr>
          <w:rFonts w:ascii="Arial" w:eastAsia="Times New Roman" w:hAnsi="Arial" w:cs="Times New Roman"/>
          <w:color w:val="000000"/>
          <w:szCs w:val="20"/>
          <w:lang w:val="en-GB" w:eastAsia="de-DE"/>
        </w:rPr>
        <w:t>The Chairman of WG FM informed the meeting that during the last ECC meeting the proposal of WG FM to withdraw ECC Recommendation (06)05 was not agreed as concerns were raised by one administration. WG FM considered the issue at its last meeting in October 2011 and agreed that the Recommendation can be withdrawn.</w:t>
      </w:r>
    </w:p>
    <w:p w:rsidR="003621FE" w:rsidRPr="003621FE" w:rsidRDefault="003621FE" w:rsidP="003621FE">
      <w:pPr>
        <w:keepLines/>
        <w:pBdr>
          <w:top w:val="single" w:sz="12" w:space="4" w:color="auto"/>
          <w:left w:val="single" w:sz="12" w:space="4" w:color="auto"/>
          <w:bottom w:val="single" w:sz="12" w:space="4" w:color="auto"/>
          <w:right w:val="single" w:sz="12" w:space="4" w:color="auto"/>
        </w:pBdr>
        <w:spacing w:after="100" w:line="264" w:lineRule="auto"/>
        <w:jc w:val="both"/>
        <w:rPr>
          <w:rFonts w:ascii="Arial" w:hAnsi="Arial" w:cs="Arial"/>
          <w:color w:val="000000"/>
          <w:lang w:val="en-GB" w:eastAsia="de-DE"/>
        </w:rPr>
      </w:pPr>
      <w:r w:rsidRPr="003621FE">
        <w:rPr>
          <w:rFonts w:ascii="Arial" w:hAnsi="Arial" w:cs="Arial"/>
          <w:color w:val="000000"/>
          <w:lang w:val="en-GB" w:eastAsia="de-DE"/>
        </w:rPr>
        <w:t xml:space="preserve">The ECC agreed to withdraw ECC Recommendation ECC/REC (06)05. </w:t>
      </w:r>
    </w:p>
    <w:p w:rsidR="003621FE" w:rsidRDefault="003621FE">
      <w:pPr>
        <w:rPr>
          <w:lang w:val="en-GB"/>
        </w:rPr>
      </w:pPr>
    </w:p>
    <w:p w:rsidR="003621FE" w:rsidRPr="003621FE" w:rsidRDefault="003621FE" w:rsidP="003621FE">
      <w:pPr>
        <w:keepNext/>
        <w:keepLines/>
        <w:numPr>
          <w:ilvl w:val="1"/>
          <w:numId w:val="0"/>
        </w:numPr>
        <w:tabs>
          <w:tab w:val="left" w:pos="709"/>
          <w:tab w:val="num" w:pos="1844"/>
        </w:tabs>
        <w:spacing w:before="240" w:after="60" w:line="240" w:lineRule="auto"/>
        <w:ind w:left="709" w:hanging="709"/>
        <w:outlineLvl w:val="1"/>
        <w:rPr>
          <w:rFonts w:ascii="Arial" w:eastAsia="Times New Roman" w:hAnsi="Arial" w:cs="Arial"/>
          <w:b/>
          <w:bCs/>
          <w:color w:val="000000"/>
          <w:kern w:val="32"/>
          <w:sz w:val="24"/>
          <w:szCs w:val="24"/>
          <w:lang w:val="en-GB" w:eastAsia="de-DE"/>
        </w:rPr>
      </w:pPr>
      <w:r>
        <w:rPr>
          <w:rFonts w:ascii="Arial" w:eastAsia="Times New Roman" w:hAnsi="Arial" w:cs="Arial"/>
          <w:b/>
          <w:bCs/>
          <w:color w:val="000000"/>
          <w:kern w:val="32"/>
          <w:sz w:val="24"/>
          <w:szCs w:val="24"/>
          <w:lang w:val="en-GB" w:eastAsia="de-DE"/>
        </w:rPr>
        <w:t>7.3</w:t>
      </w:r>
      <w:r>
        <w:rPr>
          <w:rFonts w:ascii="Arial" w:eastAsia="Times New Roman" w:hAnsi="Arial" w:cs="Arial"/>
          <w:b/>
          <w:bCs/>
          <w:color w:val="000000"/>
          <w:kern w:val="32"/>
          <w:sz w:val="24"/>
          <w:szCs w:val="24"/>
          <w:lang w:val="en-GB" w:eastAsia="de-DE"/>
        </w:rPr>
        <w:tab/>
      </w:r>
      <w:r w:rsidRPr="003621FE">
        <w:rPr>
          <w:rFonts w:ascii="Arial" w:eastAsia="Times New Roman" w:hAnsi="Arial" w:cs="Arial"/>
          <w:b/>
          <w:bCs/>
          <w:color w:val="000000"/>
          <w:kern w:val="32"/>
          <w:sz w:val="24"/>
          <w:szCs w:val="24"/>
          <w:lang w:val="en-GB" w:eastAsia="de-DE"/>
        </w:rPr>
        <w:t>Proposal to amend ECC/DEC/(05)01 on the use of the band 27.5 - 29.5 GHz by the Fixed Service and uncoordinated Earth stations of the Fixed-Satellite Service (Earth-to-space)</w:t>
      </w:r>
    </w:p>
    <w:p w:rsidR="003621FE" w:rsidRPr="003621FE" w:rsidRDefault="003621FE" w:rsidP="003621FE">
      <w:pPr>
        <w:spacing w:after="100" w:line="264" w:lineRule="auto"/>
        <w:jc w:val="both"/>
        <w:rPr>
          <w:rFonts w:ascii="Arial" w:eastAsia="Times New Roman" w:hAnsi="Arial" w:cs="Times New Roman"/>
          <w:color w:val="000000"/>
          <w:szCs w:val="20"/>
          <w:lang w:val="en-GB" w:eastAsia="de-DE"/>
        </w:rPr>
      </w:pPr>
      <w:r w:rsidRPr="003621FE">
        <w:rPr>
          <w:rFonts w:ascii="Arial" w:eastAsia="Times New Roman" w:hAnsi="Arial" w:cs="Times New Roman"/>
          <w:color w:val="000000"/>
          <w:szCs w:val="20"/>
          <w:lang w:val="en-GB" w:eastAsia="de-DE"/>
        </w:rPr>
        <w:t>The Chairman of WG FM informed the meeting that in response to a questionnaire regarding the FS use of the band 28.8365 - 28.9485 GHz 42 answers of CEPT administrations were received. He also stressed, in accordance with ECC’s guidance, that frequency-related ECC Decisions should also cover license exemption and free circulation aspects. Therefore WG FM proposed to revise ECC/DEC/(05)01.</w:t>
      </w:r>
    </w:p>
    <w:p w:rsidR="003621FE" w:rsidRPr="003621FE" w:rsidRDefault="003621FE" w:rsidP="003621FE">
      <w:pPr>
        <w:spacing w:after="100" w:line="264" w:lineRule="auto"/>
        <w:jc w:val="both"/>
        <w:rPr>
          <w:rFonts w:ascii="Arial" w:eastAsia="Times New Roman" w:hAnsi="Arial" w:cs="Times New Roman"/>
          <w:color w:val="000000"/>
          <w:szCs w:val="20"/>
          <w:lang w:val="en-GB" w:eastAsia="de-DE"/>
        </w:rPr>
      </w:pPr>
      <w:r w:rsidRPr="003621FE">
        <w:rPr>
          <w:rFonts w:ascii="Arial" w:eastAsia="Times New Roman" w:hAnsi="Arial" w:cs="Times New Roman"/>
          <w:color w:val="000000"/>
          <w:szCs w:val="20"/>
          <w:lang w:val="en-GB" w:eastAsia="de-DE"/>
        </w:rPr>
        <w:t xml:space="preserve">A number of Administrations expressed concerns about possible changes to the band segmentation between FS and FSS in the band 27.5 - 29.5 GHz as this band is or will be extensively used by FS stations. These administrations suggested that the revision of this ECC Decision should not lead to additional restrictions to the existing or forthcoming FS. ETNO also informed the meeting that in accordance with the ECC Report 003 the use of the band 27.5 - 29.5 GHz by FS is growing. </w:t>
      </w:r>
    </w:p>
    <w:p w:rsidR="003621FE" w:rsidRPr="003621FE" w:rsidRDefault="003621FE" w:rsidP="003621FE">
      <w:pPr>
        <w:spacing w:after="100" w:line="264" w:lineRule="auto"/>
        <w:jc w:val="both"/>
        <w:rPr>
          <w:rFonts w:ascii="Arial" w:eastAsia="Times New Roman" w:hAnsi="Arial" w:cs="Times New Roman"/>
          <w:color w:val="000000"/>
          <w:szCs w:val="20"/>
          <w:lang w:val="en-GB" w:eastAsia="de-DE"/>
        </w:rPr>
      </w:pPr>
      <w:r w:rsidRPr="003621FE">
        <w:rPr>
          <w:rFonts w:ascii="Arial" w:eastAsia="Times New Roman" w:hAnsi="Arial" w:cs="Times New Roman"/>
          <w:color w:val="000000"/>
          <w:szCs w:val="20"/>
          <w:lang w:val="en-GB" w:eastAsia="de-DE"/>
        </w:rPr>
        <w:t>Other administrations supported the proposal of WG FM to revise Decision ECC/DEC/(05)01 taking into account not only license exemption and free circulation aspects but also the result of the questionnaire.</w:t>
      </w:r>
    </w:p>
    <w:p w:rsidR="003621FE" w:rsidRPr="003621FE" w:rsidRDefault="003621FE" w:rsidP="003621FE">
      <w:pPr>
        <w:keepLines/>
        <w:pBdr>
          <w:top w:val="single" w:sz="12" w:space="4" w:color="auto"/>
          <w:left w:val="single" w:sz="12" w:space="4" w:color="auto"/>
          <w:bottom w:val="single" w:sz="12" w:space="4" w:color="auto"/>
          <w:right w:val="single" w:sz="12" w:space="4" w:color="auto"/>
        </w:pBdr>
        <w:spacing w:after="100" w:line="264" w:lineRule="auto"/>
        <w:jc w:val="both"/>
        <w:rPr>
          <w:rFonts w:ascii="Arial" w:hAnsi="Arial" w:cs="Arial"/>
          <w:color w:val="000000"/>
          <w:lang w:val="en-GB" w:eastAsia="de-DE"/>
        </w:rPr>
      </w:pPr>
      <w:r w:rsidRPr="003621FE">
        <w:rPr>
          <w:rFonts w:ascii="Arial" w:hAnsi="Arial" w:cs="Arial"/>
          <w:color w:val="000000"/>
          <w:lang w:val="en-GB" w:eastAsia="de-DE"/>
        </w:rPr>
        <w:t>After some further discussion ECC endorsed the proposal of WG FM and concluded that the revision of ECC/DEC/(05)01 should keep the high harmonisation level of this frequency band and the implementation status of the Decision.</w:t>
      </w:r>
    </w:p>
    <w:p w:rsidR="003621FE" w:rsidRDefault="003621FE" w:rsidP="003621FE">
      <w:pPr>
        <w:rPr>
          <w:rFonts w:ascii="Arial" w:eastAsia="Times New Roman" w:hAnsi="Arial" w:cs="Times New Roman"/>
          <w:color w:val="000000"/>
          <w:szCs w:val="20"/>
          <w:lang w:val="en-GB" w:eastAsia="de-DE"/>
        </w:rPr>
      </w:pPr>
      <w:r w:rsidRPr="003621FE">
        <w:rPr>
          <w:rFonts w:ascii="Arial" w:eastAsia="Times New Roman" w:hAnsi="Arial" w:cs="Times New Roman"/>
          <w:color w:val="000000"/>
          <w:szCs w:val="20"/>
          <w:lang w:val="en-GB" w:eastAsia="de-DE"/>
        </w:rPr>
        <w:t>The WI was supported by the Administrations of France, Germany, Luxembourg and the Russian Federation.</w:t>
      </w:r>
    </w:p>
    <w:p w:rsidR="003621FE" w:rsidRDefault="003621FE" w:rsidP="003621FE">
      <w:pPr>
        <w:rPr>
          <w:rFonts w:ascii="Arial" w:eastAsia="Times New Roman" w:hAnsi="Arial" w:cs="Times New Roman"/>
          <w:color w:val="000000"/>
          <w:szCs w:val="20"/>
          <w:lang w:val="en-GB" w:eastAsia="de-DE"/>
        </w:rPr>
      </w:pPr>
    </w:p>
    <w:p w:rsidR="003621FE" w:rsidRPr="003621FE" w:rsidRDefault="003621FE" w:rsidP="003621FE">
      <w:pPr>
        <w:keepNext/>
        <w:keepLines/>
        <w:numPr>
          <w:ilvl w:val="1"/>
          <w:numId w:val="0"/>
        </w:numPr>
        <w:tabs>
          <w:tab w:val="left" w:pos="709"/>
          <w:tab w:val="num" w:pos="1844"/>
        </w:tabs>
        <w:spacing w:before="240" w:after="60" w:line="240" w:lineRule="auto"/>
        <w:ind w:left="709" w:hanging="709"/>
        <w:outlineLvl w:val="1"/>
        <w:rPr>
          <w:rFonts w:ascii="Arial" w:eastAsia="Times New Roman" w:hAnsi="Arial" w:cs="Arial"/>
          <w:b/>
          <w:bCs/>
          <w:color w:val="000000"/>
          <w:kern w:val="32"/>
          <w:sz w:val="24"/>
          <w:szCs w:val="24"/>
          <w:lang w:val="en-GB" w:eastAsia="de-DE"/>
        </w:rPr>
      </w:pPr>
      <w:r>
        <w:rPr>
          <w:rFonts w:ascii="Arial" w:eastAsia="Times New Roman" w:hAnsi="Arial" w:cs="Arial"/>
          <w:b/>
          <w:bCs/>
          <w:color w:val="000000"/>
          <w:kern w:val="32"/>
          <w:sz w:val="24"/>
          <w:szCs w:val="24"/>
          <w:lang w:val="en-GB" w:eastAsia="de-DE"/>
        </w:rPr>
        <w:t>7.6</w:t>
      </w:r>
      <w:r>
        <w:rPr>
          <w:rFonts w:ascii="Arial" w:eastAsia="Times New Roman" w:hAnsi="Arial" w:cs="Arial"/>
          <w:b/>
          <w:bCs/>
          <w:color w:val="000000"/>
          <w:kern w:val="32"/>
          <w:sz w:val="24"/>
          <w:szCs w:val="24"/>
          <w:lang w:val="en-GB" w:eastAsia="de-DE"/>
        </w:rPr>
        <w:tab/>
      </w:r>
      <w:r w:rsidRPr="003621FE">
        <w:rPr>
          <w:rFonts w:ascii="Arial" w:eastAsia="Times New Roman" w:hAnsi="Arial" w:cs="Arial"/>
          <w:b/>
          <w:bCs/>
          <w:color w:val="000000"/>
          <w:kern w:val="32"/>
          <w:sz w:val="24"/>
          <w:szCs w:val="24"/>
          <w:lang w:val="en-GB" w:eastAsia="de-DE"/>
        </w:rPr>
        <w:t>Proposal to revise ECC/DEC/(09)02 on “The harmonisation of the bands 1610 - 1626.5 MHz and 2483.5 - 2500 MHz for use by systems in the Mobile-Satellite Service” based on the outcome of WG SE as described in ECC Report 171</w:t>
      </w:r>
    </w:p>
    <w:p w:rsidR="003621FE" w:rsidRPr="003621FE" w:rsidRDefault="003621FE" w:rsidP="003621FE">
      <w:pPr>
        <w:spacing w:after="100" w:line="264" w:lineRule="auto"/>
        <w:jc w:val="both"/>
        <w:rPr>
          <w:rFonts w:ascii="Arial" w:eastAsia="Times New Roman" w:hAnsi="Arial" w:cs="Times New Roman"/>
          <w:color w:val="000000"/>
          <w:szCs w:val="20"/>
          <w:lang w:val="en-GB" w:eastAsia="de-DE"/>
        </w:rPr>
      </w:pPr>
      <w:r w:rsidRPr="003621FE">
        <w:rPr>
          <w:rFonts w:ascii="Arial" w:eastAsia="Times New Roman" w:hAnsi="Arial" w:cs="Times New Roman"/>
          <w:color w:val="000000"/>
          <w:szCs w:val="20"/>
          <w:lang w:val="en-GB" w:eastAsia="de-DE"/>
        </w:rPr>
        <w:t>The Chairman of WG SE informed the meeting about the publication of ECC Report 171 on “The impact of unwanted emissions of IRIDIUM satellites on radio astronomy operations in the band 1610.6 - 1613.8 MHz”. This Report provides results of measurements of IRIDIUM unwanted emissions falling into the radio astronomy band 1610.6 - 1613.8 MHz and it complements the already published ECC Report 112.</w:t>
      </w:r>
    </w:p>
    <w:p w:rsidR="003621FE" w:rsidRPr="003621FE" w:rsidRDefault="003621FE" w:rsidP="003621FE">
      <w:pPr>
        <w:spacing w:after="100" w:line="264" w:lineRule="auto"/>
        <w:jc w:val="both"/>
        <w:rPr>
          <w:rFonts w:ascii="Arial" w:eastAsia="Times New Roman" w:hAnsi="Arial" w:cs="Times New Roman"/>
          <w:color w:val="000000"/>
          <w:szCs w:val="20"/>
          <w:lang w:val="en-GB" w:eastAsia="de-DE"/>
        </w:rPr>
      </w:pPr>
      <w:r w:rsidRPr="003621FE">
        <w:rPr>
          <w:rFonts w:ascii="Arial" w:eastAsia="Times New Roman" w:hAnsi="Arial" w:cs="Times New Roman"/>
          <w:color w:val="000000"/>
          <w:szCs w:val="20"/>
          <w:lang w:val="en-GB" w:eastAsia="de-DE"/>
        </w:rPr>
        <w:lastRenderedPageBreak/>
        <w:t xml:space="preserve">The Chairman of WG FM informed the meeting that ECC/DEC/(09)02 makes several references to ECC Report 112 in some </w:t>
      </w:r>
      <w:r w:rsidRPr="003621FE">
        <w:rPr>
          <w:rFonts w:ascii="Arial" w:eastAsia="Times New Roman" w:hAnsi="Arial" w:cs="Times New Roman"/>
          <w:i/>
          <w:color w:val="000000"/>
          <w:szCs w:val="20"/>
          <w:lang w:val="en-GB" w:eastAsia="de-DE"/>
        </w:rPr>
        <w:t>considerings</w:t>
      </w:r>
      <w:r w:rsidRPr="003621FE">
        <w:rPr>
          <w:rFonts w:ascii="Arial" w:eastAsia="Times New Roman" w:hAnsi="Arial" w:cs="Times New Roman"/>
          <w:color w:val="000000"/>
          <w:szCs w:val="20"/>
          <w:lang w:val="en-GB" w:eastAsia="de-DE"/>
        </w:rPr>
        <w:t xml:space="preserve"> and </w:t>
      </w:r>
      <w:r w:rsidRPr="003621FE">
        <w:rPr>
          <w:rFonts w:ascii="Arial" w:eastAsia="Times New Roman" w:hAnsi="Arial" w:cs="Times New Roman"/>
          <w:i/>
          <w:color w:val="000000"/>
          <w:szCs w:val="20"/>
          <w:lang w:val="en-GB" w:eastAsia="de-DE"/>
        </w:rPr>
        <w:t>decides</w:t>
      </w:r>
      <w:r w:rsidRPr="003621FE">
        <w:rPr>
          <w:rFonts w:ascii="Arial" w:eastAsia="Times New Roman" w:hAnsi="Arial" w:cs="Times New Roman"/>
          <w:color w:val="000000"/>
          <w:szCs w:val="20"/>
          <w:lang w:val="en-GB" w:eastAsia="de-DE"/>
        </w:rPr>
        <w:t xml:space="preserve">, and that the data contained in ECC Report 171 suppresses the large measurement uncertainties appearing in ECC Report 112. ECC was invited to authorise WG FM to amend Decision ECC/DEC/(09)02 on the basis of ECC Report 171, namely on the impact of IRIDIUM unwanted emissions falling into the radio astronomy band 1610.6 - 1613.8 MHz. </w:t>
      </w:r>
    </w:p>
    <w:p w:rsidR="003621FE" w:rsidRPr="003621FE" w:rsidRDefault="003621FE" w:rsidP="003621FE">
      <w:pPr>
        <w:keepLines/>
        <w:pBdr>
          <w:top w:val="single" w:sz="12" w:space="4" w:color="auto"/>
          <w:left w:val="single" w:sz="12" w:space="4" w:color="auto"/>
          <w:bottom w:val="single" w:sz="12" w:space="4" w:color="auto"/>
          <w:right w:val="single" w:sz="12" w:space="4" w:color="auto"/>
        </w:pBdr>
        <w:spacing w:after="100" w:line="264" w:lineRule="auto"/>
        <w:jc w:val="both"/>
        <w:rPr>
          <w:rFonts w:ascii="Arial" w:hAnsi="Arial" w:cs="Arial"/>
          <w:color w:val="000000"/>
          <w:lang w:val="en-GB" w:eastAsia="de-DE"/>
        </w:rPr>
      </w:pPr>
      <w:r w:rsidRPr="003621FE">
        <w:rPr>
          <w:rFonts w:ascii="Arial" w:hAnsi="Arial" w:cs="Arial"/>
          <w:color w:val="000000"/>
          <w:lang w:val="en-GB" w:eastAsia="de-DE"/>
        </w:rPr>
        <w:t>The ECC agreed to proceed with the amendment of Decision ECC/DEC/(09)02 on the basis of the ECC Report 171</w:t>
      </w:r>
    </w:p>
    <w:p w:rsidR="003621FE" w:rsidRPr="003621FE" w:rsidRDefault="003621FE" w:rsidP="003621FE">
      <w:pPr>
        <w:spacing w:after="100" w:line="264" w:lineRule="auto"/>
        <w:jc w:val="both"/>
        <w:rPr>
          <w:rFonts w:ascii="Arial" w:eastAsia="Times New Roman" w:hAnsi="Arial" w:cs="Times New Roman"/>
          <w:color w:val="000000"/>
          <w:szCs w:val="20"/>
          <w:lang w:val="en-GB" w:eastAsia="de-DE"/>
        </w:rPr>
      </w:pPr>
      <w:r w:rsidRPr="003621FE">
        <w:rPr>
          <w:rFonts w:ascii="Arial" w:eastAsia="Times New Roman" w:hAnsi="Arial" w:cs="Times New Roman"/>
          <w:color w:val="000000"/>
          <w:szCs w:val="20"/>
          <w:lang w:val="en-GB" w:eastAsia="de-DE"/>
        </w:rPr>
        <w:t>The WI was supported by the Administrations of Italy, France, Germany, Switzerland, the Netherlands and the Russian Federation.</w:t>
      </w:r>
    </w:p>
    <w:p w:rsidR="003621FE" w:rsidRPr="003621FE" w:rsidRDefault="003621FE" w:rsidP="003621FE">
      <w:pPr>
        <w:spacing w:after="100" w:line="264" w:lineRule="auto"/>
        <w:jc w:val="both"/>
        <w:rPr>
          <w:rFonts w:ascii="Arial" w:eastAsia="Times New Roman" w:hAnsi="Arial" w:cs="Times New Roman"/>
          <w:color w:val="000000"/>
          <w:szCs w:val="20"/>
          <w:lang w:val="en-GB" w:eastAsia="de-DE"/>
        </w:rPr>
      </w:pPr>
      <w:r w:rsidRPr="003621FE">
        <w:rPr>
          <w:rFonts w:ascii="Arial" w:eastAsia="Times New Roman" w:hAnsi="Arial" w:cs="Times New Roman"/>
          <w:color w:val="000000"/>
          <w:szCs w:val="20"/>
          <w:lang w:val="en-GB" w:eastAsia="de-DE"/>
        </w:rPr>
        <w:t>On behalf of the Administrations of Germany, Italy, the Netherlands, Switzerland, the United Kingdom and on behalf of CRAF, Germany presented a proposal for sending a letter from ECC to the FCC (</w:t>
      </w:r>
      <w:r w:rsidRPr="003621FE">
        <w:rPr>
          <w:rFonts w:ascii="Arial" w:eastAsia="Times New Roman" w:hAnsi="Arial" w:cs="Times New Roman"/>
          <w:b/>
          <w:color w:val="000000"/>
          <w:szCs w:val="20"/>
          <w:lang w:val="en-GB" w:eastAsia="de-DE"/>
        </w:rPr>
        <w:t>ECC(11)082R1</w:t>
      </w:r>
      <w:r w:rsidRPr="003621FE">
        <w:rPr>
          <w:rFonts w:ascii="Arial" w:eastAsia="Times New Roman" w:hAnsi="Arial" w:cs="Times New Roman"/>
          <w:color w:val="000000"/>
          <w:szCs w:val="20"/>
          <w:lang w:val="en-GB" w:eastAsia="de-DE"/>
        </w:rPr>
        <w:t>) in order to request appropriate actions to eliminate the harmful interference caused by unwanted emissions of the current HIBLEO-2 system and to take measures to ensure that future new MSS systems will not cause such interference.</w:t>
      </w:r>
    </w:p>
    <w:p w:rsidR="003621FE" w:rsidRPr="003621FE" w:rsidRDefault="003621FE" w:rsidP="003621FE">
      <w:pPr>
        <w:spacing w:after="100" w:line="264" w:lineRule="auto"/>
        <w:jc w:val="both"/>
        <w:rPr>
          <w:rFonts w:ascii="Arial" w:eastAsia="Times New Roman" w:hAnsi="Arial" w:cs="Times New Roman"/>
          <w:color w:val="000000"/>
          <w:szCs w:val="20"/>
          <w:lang w:val="en-GB" w:eastAsia="de-DE"/>
        </w:rPr>
      </w:pPr>
      <w:r w:rsidRPr="003621FE">
        <w:rPr>
          <w:rFonts w:ascii="Arial" w:eastAsia="Times New Roman" w:hAnsi="Arial" w:cs="Times New Roman"/>
          <w:color w:val="000000"/>
          <w:szCs w:val="20"/>
          <w:lang w:val="en-GB" w:eastAsia="de-DE"/>
        </w:rPr>
        <w:t xml:space="preserve">Some administrations expressed doubts that the proposed letter to FCC is a right way to discuss the interference issue as this issue is normally solved by ITU Member states and not by regional organisations like CEPT. </w:t>
      </w:r>
    </w:p>
    <w:p w:rsidR="003621FE" w:rsidRPr="003621FE" w:rsidRDefault="003621FE" w:rsidP="003621FE">
      <w:pPr>
        <w:spacing w:after="100" w:line="264" w:lineRule="auto"/>
        <w:jc w:val="both"/>
        <w:rPr>
          <w:rFonts w:ascii="Arial" w:eastAsia="Times New Roman" w:hAnsi="Arial" w:cs="Times New Roman"/>
          <w:color w:val="000000"/>
          <w:szCs w:val="20"/>
          <w:lang w:val="en-GB" w:eastAsia="de-DE"/>
        </w:rPr>
      </w:pPr>
      <w:r w:rsidRPr="003621FE">
        <w:rPr>
          <w:rFonts w:ascii="Arial" w:eastAsia="Times New Roman" w:hAnsi="Arial" w:cs="Times New Roman"/>
          <w:color w:val="000000"/>
          <w:szCs w:val="20"/>
          <w:lang w:val="en-GB" w:eastAsia="de-DE"/>
        </w:rPr>
        <w:t>After some further discussion it was decided to amend the proposed letter in order to avoid any overlapping with issues which should better be dealt on national level.</w:t>
      </w:r>
    </w:p>
    <w:p w:rsidR="003621FE" w:rsidRPr="003621FE" w:rsidRDefault="003621FE" w:rsidP="003621FE">
      <w:pPr>
        <w:keepLines/>
        <w:pBdr>
          <w:top w:val="single" w:sz="12" w:space="4" w:color="auto"/>
          <w:left w:val="single" w:sz="12" w:space="4" w:color="auto"/>
          <w:bottom w:val="single" w:sz="12" w:space="4" w:color="auto"/>
          <w:right w:val="single" w:sz="12" w:space="4" w:color="auto"/>
        </w:pBdr>
        <w:spacing w:after="100" w:line="264" w:lineRule="auto"/>
        <w:jc w:val="both"/>
        <w:rPr>
          <w:rFonts w:ascii="Arial" w:hAnsi="Arial" w:cs="Arial"/>
          <w:color w:val="000000"/>
          <w:lang w:val="en-GB" w:eastAsia="de-DE"/>
        </w:rPr>
      </w:pPr>
      <w:r w:rsidRPr="003621FE">
        <w:rPr>
          <w:rFonts w:ascii="Arial" w:hAnsi="Arial" w:cs="Arial"/>
          <w:color w:val="000000"/>
          <w:lang w:val="en-GB" w:eastAsia="de-DE"/>
        </w:rPr>
        <w:t>The ECC adopted the letter to the FCC (</w:t>
      </w:r>
      <w:r w:rsidRPr="003621FE">
        <w:rPr>
          <w:rFonts w:ascii="Arial" w:hAnsi="Arial" w:cs="Times New Roman"/>
          <w:b/>
          <w:color w:val="000000"/>
          <w:lang w:val="en-GB" w:eastAsia="de-DE"/>
        </w:rPr>
        <w:t>ANNEX18</w:t>
      </w:r>
      <w:r w:rsidRPr="003621FE">
        <w:rPr>
          <w:rFonts w:ascii="Arial" w:hAnsi="Arial" w:cs="Arial"/>
          <w:color w:val="000000"/>
          <w:lang w:val="en-GB" w:eastAsia="de-DE"/>
        </w:rPr>
        <w:t xml:space="preserve">). </w:t>
      </w:r>
    </w:p>
    <w:p w:rsidR="003621FE" w:rsidRPr="003621FE" w:rsidRDefault="003621FE" w:rsidP="003621FE">
      <w:pPr>
        <w:spacing w:after="100" w:line="264" w:lineRule="auto"/>
        <w:jc w:val="both"/>
        <w:rPr>
          <w:rFonts w:ascii="Arial" w:eastAsia="Times New Roman" w:hAnsi="Arial" w:cs="Times New Roman"/>
          <w:color w:val="000000"/>
          <w:szCs w:val="20"/>
          <w:lang w:val="en-GB" w:eastAsia="de-DE"/>
        </w:rPr>
      </w:pPr>
      <w:r w:rsidRPr="003621FE">
        <w:rPr>
          <w:rFonts w:ascii="Arial" w:eastAsia="Times New Roman" w:hAnsi="Arial" w:cs="Times New Roman"/>
          <w:color w:val="000000"/>
          <w:szCs w:val="20"/>
          <w:lang w:val="en-GB" w:eastAsia="de-DE"/>
        </w:rPr>
        <w:t xml:space="preserve">The meeting also decided that the CEPT administrations will be informed after the meeting via ECC List B1 on the possibility to send individual letters to the FCC by using the example of Document </w:t>
      </w:r>
      <w:r w:rsidRPr="003621FE">
        <w:rPr>
          <w:rFonts w:ascii="Arial" w:eastAsia="Times New Roman" w:hAnsi="Arial" w:cs="Times New Roman"/>
          <w:b/>
          <w:color w:val="000000"/>
          <w:szCs w:val="20"/>
          <w:lang w:val="en-GB" w:eastAsia="de-DE"/>
        </w:rPr>
        <w:t>ECC(11)082R1</w:t>
      </w:r>
      <w:r w:rsidRPr="003621FE">
        <w:rPr>
          <w:rFonts w:ascii="Arial" w:eastAsia="Times New Roman" w:hAnsi="Arial" w:cs="Times New Roman"/>
          <w:color w:val="000000"/>
          <w:szCs w:val="20"/>
          <w:lang w:val="en-GB" w:eastAsia="de-DE"/>
        </w:rPr>
        <w:t>.</w:t>
      </w:r>
    </w:p>
    <w:p w:rsidR="003621FE" w:rsidRPr="003621FE" w:rsidRDefault="003621FE" w:rsidP="003621FE">
      <w:pPr>
        <w:rPr>
          <w:lang w:val="en-GB"/>
        </w:rPr>
      </w:pPr>
    </w:p>
    <w:sectPr w:rsidR="003621FE" w:rsidRPr="003621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1FE"/>
    <w:rsid w:val="003621FE"/>
    <w:rsid w:val="00744FEC"/>
    <w:rsid w:val="00DD41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621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621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621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621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50869">
      <w:bodyDiv w:val="1"/>
      <w:marLeft w:val="0"/>
      <w:marRight w:val="0"/>
      <w:marTop w:val="0"/>
      <w:marBottom w:val="0"/>
      <w:divBdr>
        <w:top w:val="none" w:sz="0" w:space="0" w:color="auto"/>
        <w:left w:val="none" w:sz="0" w:space="0" w:color="auto"/>
        <w:bottom w:val="none" w:sz="0" w:space="0" w:color="auto"/>
        <w:right w:val="none" w:sz="0" w:space="0" w:color="auto"/>
      </w:divBdr>
    </w:div>
    <w:div w:id="647903994">
      <w:bodyDiv w:val="1"/>
      <w:marLeft w:val="0"/>
      <w:marRight w:val="0"/>
      <w:marTop w:val="0"/>
      <w:marBottom w:val="0"/>
      <w:divBdr>
        <w:top w:val="none" w:sz="0" w:space="0" w:color="auto"/>
        <w:left w:val="none" w:sz="0" w:space="0" w:color="auto"/>
        <w:bottom w:val="none" w:sz="0" w:space="0" w:color="auto"/>
        <w:right w:val="none" w:sz="0" w:space="0" w:color="auto"/>
      </w:divBdr>
    </w:div>
    <w:div w:id="858856820">
      <w:bodyDiv w:val="1"/>
      <w:marLeft w:val="0"/>
      <w:marRight w:val="0"/>
      <w:marTop w:val="0"/>
      <w:marBottom w:val="0"/>
      <w:divBdr>
        <w:top w:val="none" w:sz="0" w:space="0" w:color="auto"/>
        <w:left w:val="none" w:sz="0" w:space="0" w:color="auto"/>
        <w:bottom w:val="none" w:sz="0" w:space="0" w:color="auto"/>
        <w:right w:val="none" w:sz="0" w:space="0" w:color="auto"/>
      </w:divBdr>
    </w:div>
    <w:div w:id="891310482">
      <w:bodyDiv w:val="1"/>
      <w:marLeft w:val="0"/>
      <w:marRight w:val="0"/>
      <w:marTop w:val="0"/>
      <w:marBottom w:val="0"/>
      <w:divBdr>
        <w:top w:val="none" w:sz="0" w:space="0" w:color="auto"/>
        <w:left w:val="none" w:sz="0" w:space="0" w:color="auto"/>
        <w:bottom w:val="none" w:sz="0" w:space="0" w:color="auto"/>
        <w:right w:val="none" w:sz="0" w:space="0" w:color="auto"/>
      </w:divBdr>
    </w:div>
    <w:div w:id="902107590">
      <w:bodyDiv w:val="1"/>
      <w:marLeft w:val="0"/>
      <w:marRight w:val="0"/>
      <w:marTop w:val="0"/>
      <w:marBottom w:val="0"/>
      <w:divBdr>
        <w:top w:val="none" w:sz="0" w:space="0" w:color="auto"/>
        <w:left w:val="none" w:sz="0" w:space="0" w:color="auto"/>
        <w:bottom w:val="none" w:sz="0" w:space="0" w:color="auto"/>
        <w:right w:val="none" w:sz="0" w:space="0" w:color="auto"/>
      </w:divBdr>
    </w:div>
    <w:div w:id="1018195255">
      <w:bodyDiv w:val="1"/>
      <w:marLeft w:val="0"/>
      <w:marRight w:val="0"/>
      <w:marTop w:val="0"/>
      <w:marBottom w:val="0"/>
      <w:divBdr>
        <w:top w:val="none" w:sz="0" w:space="0" w:color="auto"/>
        <w:left w:val="none" w:sz="0" w:space="0" w:color="auto"/>
        <w:bottom w:val="none" w:sz="0" w:space="0" w:color="auto"/>
        <w:right w:val="none" w:sz="0" w:space="0" w:color="auto"/>
      </w:divBdr>
    </w:div>
    <w:div w:id="1360936228">
      <w:bodyDiv w:val="1"/>
      <w:marLeft w:val="0"/>
      <w:marRight w:val="0"/>
      <w:marTop w:val="0"/>
      <w:marBottom w:val="0"/>
      <w:divBdr>
        <w:top w:val="none" w:sz="0" w:space="0" w:color="auto"/>
        <w:left w:val="none" w:sz="0" w:space="0" w:color="auto"/>
        <w:bottom w:val="none" w:sz="0" w:space="0" w:color="auto"/>
        <w:right w:val="none" w:sz="0" w:space="0" w:color="auto"/>
      </w:divBdr>
    </w:div>
    <w:div w:id="1804688074">
      <w:bodyDiv w:val="1"/>
      <w:marLeft w:val="0"/>
      <w:marRight w:val="0"/>
      <w:marTop w:val="0"/>
      <w:marBottom w:val="0"/>
      <w:divBdr>
        <w:top w:val="none" w:sz="0" w:space="0" w:color="auto"/>
        <w:left w:val="none" w:sz="0" w:space="0" w:color="auto"/>
        <w:bottom w:val="none" w:sz="0" w:space="0" w:color="auto"/>
        <w:right w:val="none" w:sz="0" w:space="0" w:color="auto"/>
      </w:divBdr>
    </w:div>
    <w:div w:id="190572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1060</Words>
  <Characters>5832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ANFR</Company>
  <LinksUpToDate>false</LinksUpToDate>
  <CharactersWithSpaces>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DESCHAMPS Benoist</dc:creator>
  <cp:lastModifiedBy>DESCHAMPS Benoist</cp:lastModifiedBy>
  <cp:revision>2</cp:revision>
  <dcterms:created xsi:type="dcterms:W3CDTF">2012-02-02T09:10:00Z</dcterms:created>
  <dcterms:modified xsi:type="dcterms:W3CDTF">2012-02-02T10:39:00Z</dcterms:modified>
</cp:coreProperties>
</file>