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923" w:type="dxa"/>
        <w:tblLayout w:type="fixed"/>
        <w:tblCellMar>
          <w:left w:w="70" w:type="dxa"/>
          <w:right w:w="70" w:type="dxa"/>
        </w:tblCellMar>
        <w:tblLook w:val="0000"/>
      </w:tblPr>
      <w:tblGrid>
        <w:gridCol w:w="1405"/>
        <w:gridCol w:w="1712"/>
        <w:gridCol w:w="3830"/>
        <w:gridCol w:w="1326"/>
        <w:gridCol w:w="2501"/>
      </w:tblGrid>
      <w:tr w:rsidR="00644751" w:rsidTr="002419C1">
        <w:tblPrEx>
          <w:tblCellMar>
            <w:top w:w="0" w:type="dxa"/>
            <w:bottom w:w="0" w:type="dxa"/>
          </w:tblCellMar>
        </w:tblPrEx>
        <w:trPr>
          <w:cantSplit/>
        </w:trPr>
        <w:tc>
          <w:tcPr>
            <w:tcW w:w="3117" w:type="dxa"/>
            <w:gridSpan w:val="2"/>
          </w:tcPr>
          <w:p w:rsidR="00644751" w:rsidRDefault="00644751" w:rsidP="002419C1">
            <w:pPr>
              <w:ind w:right="282"/>
              <w:rPr>
                <w:rFonts w:ascii="Arial" w:hAnsi="Arial" w:cs="Arial"/>
              </w:rPr>
            </w:pPr>
            <w:r>
              <w:rPr>
                <w:b/>
                <w:bCs w:val="0"/>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74.25pt">
                  <v:imagedata r:id="rId4" o:title=""/>
                </v:shape>
              </w:pict>
            </w:r>
          </w:p>
        </w:tc>
        <w:tc>
          <w:tcPr>
            <w:tcW w:w="3830" w:type="dxa"/>
          </w:tcPr>
          <w:p w:rsidR="00644751" w:rsidRDefault="00644751" w:rsidP="002419C1">
            <w:pPr>
              <w:rPr>
                <w:rFonts w:ascii="Arial" w:hAnsi="Arial" w:cs="Arial"/>
                <w:i/>
                <w:iCs/>
              </w:rPr>
            </w:pPr>
          </w:p>
          <w:p w:rsidR="00644751" w:rsidRDefault="00644751" w:rsidP="002419C1">
            <w:pPr>
              <w:rPr>
                <w:rFonts w:ascii="Arial" w:hAnsi="Arial" w:cs="Arial"/>
                <w:i/>
                <w:iCs/>
              </w:rPr>
            </w:pPr>
          </w:p>
          <w:p w:rsidR="00644751" w:rsidRDefault="00644751" w:rsidP="002419C1">
            <w:pPr>
              <w:rPr>
                <w:rFonts w:ascii="Arial" w:hAnsi="Arial" w:cs="Arial"/>
                <w:b/>
                <w:bCs w:val="0"/>
                <w:i/>
                <w:iCs/>
              </w:rPr>
            </w:pPr>
            <w:r>
              <w:rPr>
                <w:rFonts w:ascii="Arial" w:hAnsi="Arial" w:cs="Arial"/>
                <w:b/>
                <w:bCs w:val="0"/>
                <w:i/>
                <w:iCs/>
              </w:rPr>
              <w:t>FM PT44</w:t>
            </w:r>
          </w:p>
          <w:p w:rsidR="00644751" w:rsidRDefault="00644751" w:rsidP="002419C1">
            <w:pPr>
              <w:rPr>
                <w:rFonts w:ascii="Arial" w:hAnsi="Arial" w:cs="Arial"/>
                <w:i/>
                <w:iCs/>
              </w:rPr>
            </w:pPr>
          </w:p>
          <w:p w:rsidR="00644751" w:rsidRDefault="00644751" w:rsidP="002419C1">
            <w:pPr>
              <w:ind w:left="953" w:hanging="953"/>
              <w:rPr>
                <w:rFonts w:ascii="Arial" w:hAnsi="Arial" w:cs="Arial"/>
                <w:i/>
                <w:iCs/>
              </w:rPr>
            </w:pPr>
          </w:p>
          <w:p w:rsidR="00644751" w:rsidRDefault="00644751" w:rsidP="002419C1">
            <w:pPr>
              <w:ind w:right="282"/>
              <w:rPr>
                <w:rFonts w:ascii="Arial" w:hAnsi="Arial" w:cs="Arial"/>
              </w:rPr>
            </w:pPr>
          </w:p>
        </w:tc>
        <w:tc>
          <w:tcPr>
            <w:tcW w:w="3827" w:type="dxa"/>
            <w:gridSpan w:val="2"/>
          </w:tcPr>
          <w:p w:rsidR="00644751" w:rsidRPr="007B2AC5" w:rsidRDefault="00644751" w:rsidP="002419C1">
            <w:pPr>
              <w:ind w:right="282"/>
              <w:rPr>
                <w:rFonts w:ascii="Arial" w:hAnsi="Arial" w:cs="Arial"/>
                <w:b/>
                <w:bCs w:val="0"/>
              </w:rPr>
            </w:pPr>
          </w:p>
          <w:p w:rsidR="00644751" w:rsidRPr="007B2AC5" w:rsidRDefault="00644751" w:rsidP="002419C1">
            <w:pPr>
              <w:ind w:right="282"/>
              <w:jc w:val="right"/>
              <w:rPr>
                <w:rFonts w:ascii="Arial" w:hAnsi="Arial" w:cs="Arial"/>
                <w:b/>
                <w:bCs w:val="0"/>
              </w:rPr>
            </w:pPr>
            <w:r>
              <w:rPr>
                <w:rFonts w:ascii="Arial" w:hAnsi="Arial" w:cs="Arial"/>
                <w:b/>
                <w:bCs w:val="0"/>
              </w:rPr>
              <w:t>FM44(11)038</w:t>
            </w:r>
          </w:p>
          <w:p w:rsidR="00644751" w:rsidRPr="007B2AC5" w:rsidRDefault="00644751" w:rsidP="002419C1">
            <w:pPr>
              <w:ind w:right="282"/>
              <w:rPr>
                <w:rFonts w:ascii="Arial" w:hAnsi="Arial" w:cs="Arial"/>
                <w:b/>
                <w:bCs w:val="0"/>
              </w:rPr>
            </w:pPr>
          </w:p>
          <w:p w:rsidR="00644751" w:rsidRDefault="00644751" w:rsidP="002419C1">
            <w:pPr>
              <w:ind w:right="282"/>
              <w:jc w:val="right"/>
              <w:rPr>
                <w:rFonts w:ascii="Arial" w:hAnsi="Arial" w:cs="Arial"/>
                <w:b/>
                <w:bCs w:val="0"/>
                <w:lang w:val="fi-FI"/>
              </w:rPr>
            </w:pPr>
          </w:p>
        </w:tc>
      </w:tr>
      <w:tr w:rsidR="00644751" w:rsidTr="002419C1">
        <w:tblPrEx>
          <w:tblCellMar>
            <w:top w:w="0" w:type="dxa"/>
            <w:bottom w:w="0" w:type="dxa"/>
          </w:tblCellMar>
        </w:tblPrEx>
        <w:trPr>
          <w:gridAfter w:val="2"/>
          <w:wAfter w:w="3827" w:type="dxa"/>
          <w:cantSplit/>
        </w:trPr>
        <w:tc>
          <w:tcPr>
            <w:tcW w:w="6947" w:type="dxa"/>
            <w:gridSpan w:val="3"/>
          </w:tcPr>
          <w:p w:rsidR="00644751" w:rsidRPr="00060C2C" w:rsidRDefault="00644751" w:rsidP="002419C1">
            <w:pPr>
              <w:rPr>
                <w:rFonts w:ascii="Arial" w:hAnsi="Arial" w:cs="Arial"/>
                <w:b/>
                <w:bCs w:val="0"/>
                <w:lang w:val="fi-FI"/>
              </w:rPr>
            </w:pPr>
            <w:r>
              <w:rPr>
                <w:rFonts w:ascii="Arial" w:hAnsi="Arial" w:cs="Arial"/>
                <w:b/>
                <w:bCs w:val="0"/>
                <w:lang w:val="fi-FI"/>
              </w:rPr>
              <w:t>6-8 July 2011, Biel, Switzerland</w:t>
            </w:r>
          </w:p>
        </w:tc>
      </w:tr>
      <w:tr w:rsidR="00644751" w:rsidTr="002419C1">
        <w:tblPrEx>
          <w:tblCellMar>
            <w:top w:w="0" w:type="dxa"/>
            <w:bottom w:w="0" w:type="dxa"/>
          </w:tblCellMar>
        </w:tblPrEx>
        <w:trPr>
          <w:gridAfter w:val="1"/>
          <w:wAfter w:w="2501" w:type="dxa"/>
          <w:cantSplit/>
        </w:trPr>
        <w:tc>
          <w:tcPr>
            <w:tcW w:w="1405" w:type="dxa"/>
          </w:tcPr>
          <w:p w:rsidR="00644751" w:rsidRDefault="00644751" w:rsidP="002419C1">
            <w:pPr>
              <w:ind w:right="282"/>
              <w:rPr>
                <w:rFonts w:ascii="Arial" w:hAnsi="Arial" w:cs="Arial"/>
                <w:b/>
                <w:bCs w:val="0"/>
                <w:lang w:val="fi-FI"/>
              </w:rPr>
            </w:pPr>
          </w:p>
        </w:tc>
        <w:tc>
          <w:tcPr>
            <w:tcW w:w="6868" w:type="dxa"/>
            <w:gridSpan w:val="3"/>
          </w:tcPr>
          <w:p w:rsidR="00644751" w:rsidRDefault="00644751" w:rsidP="002419C1">
            <w:pPr>
              <w:ind w:right="282"/>
              <w:rPr>
                <w:rFonts w:ascii="Arial" w:hAnsi="Arial" w:cs="Arial"/>
                <w:b/>
                <w:bCs w:val="0"/>
                <w:lang w:val="fi-FI"/>
              </w:rPr>
            </w:pPr>
          </w:p>
        </w:tc>
      </w:tr>
      <w:tr w:rsidR="00644751" w:rsidRPr="003937D9" w:rsidTr="002419C1">
        <w:tblPrEx>
          <w:tblCellMar>
            <w:top w:w="0" w:type="dxa"/>
            <w:bottom w:w="0" w:type="dxa"/>
          </w:tblCellMar>
        </w:tblPrEx>
        <w:trPr>
          <w:gridAfter w:val="1"/>
          <w:wAfter w:w="2501" w:type="dxa"/>
          <w:cantSplit/>
        </w:trPr>
        <w:tc>
          <w:tcPr>
            <w:tcW w:w="1405" w:type="dxa"/>
          </w:tcPr>
          <w:p w:rsidR="00644751" w:rsidRPr="0008695E" w:rsidRDefault="00644751" w:rsidP="002419C1">
            <w:pPr>
              <w:ind w:right="282"/>
              <w:rPr>
                <w:rFonts w:ascii="Arial" w:hAnsi="Arial" w:cs="Arial"/>
                <w:b/>
                <w:bCs w:val="0"/>
              </w:rPr>
            </w:pPr>
            <w:r w:rsidRPr="0008695E">
              <w:rPr>
                <w:rFonts w:ascii="Arial" w:hAnsi="Arial" w:cs="Arial"/>
                <w:b/>
                <w:bCs w:val="0"/>
              </w:rPr>
              <w:t>Subject:</w:t>
            </w:r>
          </w:p>
        </w:tc>
        <w:tc>
          <w:tcPr>
            <w:tcW w:w="6868" w:type="dxa"/>
            <w:gridSpan w:val="3"/>
          </w:tcPr>
          <w:p w:rsidR="00644751" w:rsidRPr="00752BBA" w:rsidRDefault="00644751" w:rsidP="002419C1">
            <w:pPr>
              <w:ind w:right="282"/>
              <w:rPr>
                <w:rFonts w:ascii="Arial" w:hAnsi="Arial" w:cs="Arial"/>
                <w:b/>
                <w:bCs w:val="0"/>
              </w:rPr>
            </w:pPr>
            <w:r w:rsidRPr="00752BBA">
              <w:rPr>
                <w:rFonts w:ascii="Arial" w:hAnsi="Arial" w:cs="Arial"/>
                <w:b/>
                <w:bCs w:val="0"/>
              </w:rPr>
              <w:t>Deployment scenarios for outdoor GNSS pseudolites</w:t>
            </w:r>
          </w:p>
          <w:p w:rsidR="00644751" w:rsidRPr="003937D9" w:rsidRDefault="00644751" w:rsidP="002419C1">
            <w:pPr>
              <w:ind w:right="282"/>
              <w:rPr>
                <w:rFonts w:ascii="Arial" w:hAnsi="Arial" w:cs="Arial"/>
                <w:b/>
                <w:bCs w:val="0"/>
              </w:rPr>
            </w:pPr>
          </w:p>
        </w:tc>
      </w:tr>
      <w:tr w:rsidR="00644751" w:rsidRPr="003937D9" w:rsidTr="002419C1">
        <w:tblPrEx>
          <w:tblCellMar>
            <w:top w:w="0" w:type="dxa"/>
            <w:bottom w:w="0" w:type="dxa"/>
          </w:tblCellMar>
        </w:tblPrEx>
        <w:trPr>
          <w:gridAfter w:val="1"/>
          <w:wAfter w:w="2501" w:type="dxa"/>
          <w:cantSplit/>
        </w:trPr>
        <w:tc>
          <w:tcPr>
            <w:tcW w:w="1405" w:type="dxa"/>
          </w:tcPr>
          <w:p w:rsidR="00644751" w:rsidRPr="003937D9" w:rsidRDefault="00644751" w:rsidP="002419C1">
            <w:pPr>
              <w:ind w:right="282"/>
              <w:rPr>
                <w:rFonts w:ascii="Arial" w:hAnsi="Arial" w:cs="Arial"/>
                <w:b/>
                <w:bCs w:val="0"/>
              </w:rPr>
            </w:pPr>
            <w:r>
              <w:rPr>
                <w:rFonts w:ascii="Arial" w:hAnsi="Arial" w:cs="Arial"/>
                <w:b/>
                <w:bCs w:val="0"/>
              </w:rPr>
              <w:t xml:space="preserve">Date: </w:t>
            </w:r>
          </w:p>
        </w:tc>
        <w:tc>
          <w:tcPr>
            <w:tcW w:w="6868" w:type="dxa"/>
            <w:gridSpan w:val="3"/>
          </w:tcPr>
          <w:p w:rsidR="00644751" w:rsidRDefault="00644751" w:rsidP="002419C1">
            <w:pPr>
              <w:ind w:right="282"/>
              <w:rPr>
                <w:rFonts w:ascii="Arial" w:hAnsi="Arial" w:cs="Arial"/>
                <w:b/>
                <w:bCs w:val="0"/>
              </w:rPr>
            </w:pPr>
            <w:r>
              <w:rPr>
                <w:rFonts w:ascii="Arial" w:hAnsi="Arial" w:cs="Arial"/>
                <w:b/>
                <w:bCs w:val="0"/>
              </w:rPr>
              <w:t>30</w:t>
            </w:r>
            <w:r w:rsidRPr="00C117A7">
              <w:rPr>
                <w:rFonts w:ascii="Arial" w:hAnsi="Arial" w:cs="Arial"/>
                <w:b/>
                <w:bCs w:val="0"/>
                <w:vertAlign w:val="superscript"/>
              </w:rPr>
              <w:t>th</w:t>
            </w:r>
            <w:r w:rsidRPr="00C117A7">
              <w:rPr>
                <w:rFonts w:ascii="Arial" w:hAnsi="Arial" w:cs="Arial"/>
                <w:b/>
                <w:bCs w:val="0"/>
              </w:rPr>
              <w:t xml:space="preserve"> </w:t>
            </w:r>
            <w:r>
              <w:rPr>
                <w:rFonts w:ascii="Arial" w:hAnsi="Arial" w:cs="Arial"/>
                <w:b/>
                <w:bCs w:val="0"/>
              </w:rPr>
              <w:t>June 2011</w:t>
            </w:r>
          </w:p>
          <w:p w:rsidR="00644751" w:rsidRPr="003937D9" w:rsidRDefault="00644751" w:rsidP="002419C1">
            <w:pPr>
              <w:ind w:right="282"/>
              <w:rPr>
                <w:rFonts w:ascii="Arial" w:hAnsi="Arial" w:cs="Arial"/>
                <w:b/>
                <w:bCs w:val="0"/>
              </w:rPr>
            </w:pPr>
          </w:p>
        </w:tc>
      </w:tr>
      <w:tr w:rsidR="00644751" w:rsidRPr="009C3625" w:rsidTr="002419C1">
        <w:tblPrEx>
          <w:tblCellMar>
            <w:top w:w="0" w:type="dxa"/>
            <w:bottom w:w="0" w:type="dxa"/>
          </w:tblCellMar>
        </w:tblPrEx>
        <w:trPr>
          <w:gridAfter w:val="1"/>
          <w:wAfter w:w="2501" w:type="dxa"/>
          <w:cantSplit/>
        </w:trPr>
        <w:tc>
          <w:tcPr>
            <w:tcW w:w="1405" w:type="dxa"/>
          </w:tcPr>
          <w:p w:rsidR="00644751" w:rsidRPr="0008695E" w:rsidRDefault="00644751" w:rsidP="002419C1">
            <w:pPr>
              <w:ind w:right="282"/>
              <w:rPr>
                <w:rFonts w:ascii="Arial" w:hAnsi="Arial" w:cs="Arial"/>
                <w:b/>
                <w:bCs w:val="0"/>
              </w:rPr>
            </w:pPr>
            <w:r w:rsidRPr="0008695E">
              <w:rPr>
                <w:rFonts w:ascii="Arial" w:hAnsi="Arial" w:cs="Arial"/>
                <w:b/>
                <w:bCs w:val="0"/>
              </w:rPr>
              <w:t>Origin:</w:t>
            </w:r>
          </w:p>
        </w:tc>
        <w:tc>
          <w:tcPr>
            <w:tcW w:w="6868" w:type="dxa"/>
            <w:gridSpan w:val="3"/>
          </w:tcPr>
          <w:p w:rsidR="00644751" w:rsidRPr="00752BBA" w:rsidRDefault="00644751" w:rsidP="002419C1">
            <w:pPr>
              <w:ind w:right="282"/>
              <w:rPr>
                <w:rFonts w:ascii="Arial" w:hAnsi="Arial" w:cs="Arial"/>
                <w:b/>
                <w:bCs w:val="0"/>
              </w:rPr>
            </w:pPr>
            <w:smartTag w:uri="urn:schemas-microsoft-com:office:smarttags" w:element="place">
              <w:smartTag w:uri="urn:schemas-microsoft-com:office:smarttags" w:element="country-region">
                <w:r w:rsidRPr="00752BBA">
                  <w:rPr>
                    <w:rFonts w:ascii="Arial" w:hAnsi="Arial" w:cs="Arial"/>
                    <w:b/>
                    <w:bCs w:val="0"/>
                  </w:rPr>
                  <w:t>Finland</w:t>
                </w:r>
              </w:smartTag>
            </w:smartTag>
          </w:p>
        </w:tc>
      </w:tr>
    </w:tbl>
    <w:p w:rsidR="00644751" w:rsidRDefault="00644751" w:rsidP="00752BBA">
      <w:pPr>
        <w:pStyle w:val="SimonsStyle"/>
        <w:rPr>
          <w:rFonts w:ascii="Arial" w:hAnsi="Arial" w:cs="Arial"/>
          <w:bCs/>
          <w:sz w:val="22"/>
          <w:szCs w:val="22"/>
        </w:rPr>
      </w:pPr>
    </w:p>
    <w:p w:rsidR="00644751" w:rsidRPr="00A71306" w:rsidRDefault="00644751" w:rsidP="00A71306">
      <w:pPr>
        <w:pStyle w:val="Heading1"/>
      </w:pPr>
      <w:r w:rsidRPr="00A71306">
        <w:rPr>
          <w:rStyle w:val="Heading3Char"/>
          <w:color w:val="365F91"/>
          <w:sz w:val="28"/>
        </w:rPr>
        <w:t>Deployment scenarios</w:t>
      </w:r>
    </w:p>
    <w:p w:rsidR="00644751" w:rsidRDefault="00644751" w:rsidP="00A71306">
      <w:pPr>
        <w:pStyle w:val="Heading2"/>
      </w:pPr>
      <w:r>
        <w:t>Container port logistics</w:t>
      </w:r>
    </w:p>
    <w:p w:rsidR="00644751" w:rsidRPr="003213F9" w:rsidRDefault="00644751" w:rsidP="003213F9"/>
    <w:p w:rsidR="00644751" w:rsidRPr="00C679D8" w:rsidRDefault="00644751" w:rsidP="00C679D8">
      <w:pPr>
        <w:pStyle w:val="Text"/>
      </w:pPr>
      <w:r w:rsidRPr="00C679D8">
        <w:t xml:space="preserve">The operation of a modern container port is dependent on positioning of moving machinery, containers, and people. The driving forces for positioning are container tracking, autosteering and personnel safety. </w:t>
      </w:r>
    </w:p>
    <w:p w:rsidR="00644751" w:rsidRPr="00C679D8" w:rsidRDefault="00644751" w:rsidP="00C679D8">
      <w:pPr>
        <w:pStyle w:val="Text"/>
      </w:pPr>
      <w:r w:rsidRPr="00C679D8">
        <w:t>Straddle carriers are used in container terminals to transport containers between port cranes and the container storage area. They are today driven manually but use GPS for positioning to give the operator driving instructions where to pick and release the container. A common problem is that the GPS position fix is lost under the port crane because the sky view is obstructed by the crane and the ship. When leaving the crane, the vehicle must be run 10-30 seconds without a GPS fix, wasting time and causing errors.</w:t>
      </w:r>
    </w:p>
    <w:p w:rsidR="00644751" w:rsidRPr="00C679D8" w:rsidRDefault="00644751" w:rsidP="00C679D8">
      <w:pPr>
        <w:pStyle w:val="Text"/>
      </w:pPr>
      <w:r w:rsidRPr="00C679D8">
        <w:t>The accuracy requirement for container positioning corresponds to the size of the container slot, in the order of one meter. GPS based methods satisfy the accuracy requirement and are quite cost effective but suffer from patchy availability: there are gaps in the coverage in critical locations.</w:t>
      </w:r>
    </w:p>
    <w:p w:rsidR="00644751" w:rsidRPr="00C679D8" w:rsidRDefault="00644751" w:rsidP="00C679D8">
      <w:pPr>
        <w:pStyle w:val="Text"/>
      </w:pPr>
      <w:r w:rsidRPr="00C679D8">
        <w:t xml:space="preserve">The gaps in satellite coverage can be filled by installing pseudolites to critical areas. For example, the area under each crane could be covered by 2-6 pseudolite signals to ensure near 100% coverage. The total number of pseudolites </w:t>
      </w:r>
      <w:r>
        <w:t xml:space="preserve">in the port area </w:t>
      </w:r>
      <w:r w:rsidRPr="00C679D8">
        <w:t xml:space="preserve">depends on the number of cranes </w:t>
      </w:r>
      <w:r>
        <w:t>and other</w:t>
      </w:r>
      <w:r w:rsidRPr="00C679D8">
        <w:t xml:space="preserve"> satellite coverage gaps. However, the transmit powers for the pseudolite signals can be limited so that the coverage areas of each group of pseudolites do not overlap.</w:t>
      </w:r>
    </w:p>
    <w:p w:rsidR="00644751" w:rsidRDefault="00644751" w:rsidP="00A71306">
      <w:pPr>
        <w:pStyle w:val="Heading2"/>
      </w:pPr>
      <w:r>
        <w:t>Open pit mining</w:t>
      </w:r>
    </w:p>
    <w:p w:rsidR="00644751" w:rsidRPr="003213F9" w:rsidRDefault="00644751" w:rsidP="00A71306"/>
    <w:p w:rsidR="00644751" w:rsidRPr="00C679D8" w:rsidRDefault="00644751" w:rsidP="002D57B2">
      <w:pPr>
        <w:pStyle w:val="Text"/>
      </w:pPr>
      <w:r w:rsidRPr="00C679D8">
        <w:t>A large open pit mine has tens or sometimes more than a hundred haul trucks and 100-200 light vehicles operating in a confined area day and night. Because of the trucks’ large dimensions (extreme case: 10x15x7 m, 600 tons loaded weight), collision avoidance systems are vital. Current systems are based on proximity detection using one or several of RFID, camera or radar technologies.</w:t>
      </w:r>
    </w:p>
    <w:p w:rsidR="00644751" w:rsidRPr="00C679D8" w:rsidRDefault="00644751" w:rsidP="002D57B2">
      <w:pPr>
        <w:pStyle w:val="Text"/>
      </w:pPr>
      <w:r w:rsidRPr="00C679D8">
        <w:t>One possible solution is to use GPS equipment that is already fitted on the trucks and many of the lighter vehicles, and implement a situational awareness / collision avoidance system that keeps track of each vehicle’s trajectory and predicts collisions. In deep mines or if high availability is required, GPS only solutions are not sufficient, because the GPS coverage is not enough. The coverage problem can be solved by installing 4-6 pseudolite transmitters around the rim of a single pit. As the purpose of pseudolites is to complement satellite constellation inside the pit, the transmit antennas can be designed to minimize radiation outside the pit.</w:t>
      </w:r>
    </w:p>
    <w:p w:rsidR="00644751" w:rsidRPr="00C679D8" w:rsidRDefault="00644751" w:rsidP="00C679D8">
      <w:pPr>
        <w:pStyle w:val="Text"/>
      </w:pPr>
    </w:p>
    <w:sectPr w:rsidR="00644751" w:rsidRPr="00C679D8" w:rsidSect="00291056">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rpid C1s Regular">
    <w:altName w:val="Malgun Gothic"/>
    <w:panose1 w:val="00000000000000000000"/>
    <w:charset w:val="00"/>
    <w:family w:val="swiss"/>
    <w:notTrueType/>
    <w:pitch w:val="variable"/>
    <w:sig w:usb0="00000003" w:usb1="00000000" w:usb2="00000000" w:usb3="00000000" w:csb0="00000001" w:csb1="00000000"/>
  </w:font>
  <w:font w:name="Antique Olv (W1)">
    <w:altName w:val="Arial"/>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67E"/>
    <w:rsid w:val="00060C2C"/>
    <w:rsid w:val="0006567E"/>
    <w:rsid w:val="0008695E"/>
    <w:rsid w:val="00184EDE"/>
    <w:rsid w:val="001D66AE"/>
    <w:rsid w:val="001F7241"/>
    <w:rsid w:val="00237ADA"/>
    <w:rsid w:val="002419C1"/>
    <w:rsid w:val="00246907"/>
    <w:rsid w:val="00291056"/>
    <w:rsid w:val="002D3560"/>
    <w:rsid w:val="002D57B2"/>
    <w:rsid w:val="00311968"/>
    <w:rsid w:val="003213F9"/>
    <w:rsid w:val="00342ADF"/>
    <w:rsid w:val="003937D9"/>
    <w:rsid w:val="003B1C32"/>
    <w:rsid w:val="003C173C"/>
    <w:rsid w:val="003F30CF"/>
    <w:rsid w:val="004545AB"/>
    <w:rsid w:val="00536791"/>
    <w:rsid w:val="00552AD1"/>
    <w:rsid w:val="0059390E"/>
    <w:rsid w:val="00644751"/>
    <w:rsid w:val="00752BBA"/>
    <w:rsid w:val="007B2AC5"/>
    <w:rsid w:val="009C3625"/>
    <w:rsid w:val="00A71306"/>
    <w:rsid w:val="00C117A7"/>
    <w:rsid w:val="00C679D8"/>
    <w:rsid w:val="00D25C58"/>
    <w:rsid w:val="00DB0C7C"/>
    <w:rsid w:val="00FD4F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6567E"/>
    <w:pPr>
      <w:autoSpaceDE w:val="0"/>
      <w:autoSpaceDN w:val="0"/>
      <w:adjustRightInd w:val="0"/>
      <w:jc w:val="both"/>
    </w:pPr>
    <w:rPr>
      <w:rFonts w:ascii="Times New Roman" w:eastAsia="Times New Roman" w:hAnsi="Times New Roman"/>
      <w:bCs/>
      <w:sz w:val="20"/>
      <w:szCs w:val="20"/>
      <w:lang w:val="en-GB" w:eastAsia="en-GB"/>
    </w:rPr>
  </w:style>
  <w:style w:type="paragraph" w:styleId="Heading1">
    <w:name w:val="heading 1"/>
    <w:basedOn w:val="Normal"/>
    <w:next w:val="Normal"/>
    <w:link w:val="Heading1Char"/>
    <w:uiPriority w:val="99"/>
    <w:qFormat/>
    <w:rsid w:val="003213F9"/>
    <w:pPr>
      <w:keepNext/>
      <w:keepLines/>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3213F9"/>
    <w:pPr>
      <w:keepNext/>
      <w:keepLines/>
      <w:spacing w:before="200"/>
      <w:outlineLvl w:val="1"/>
    </w:pPr>
    <w:rPr>
      <w:rFonts w:ascii="Cambria" w:hAnsi="Cambria"/>
      <w:b/>
      <w:bCs w:val="0"/>
      <w:color w:val="4F81BD"/>
      <w:sz w:val="26"/>
      <w:szCs w:val="26"/>
    </w:rPr>
  </w:style>
  <w:style w:type="paragraph" w:styleId="Heading3">
    <w:name w:val="heading 3"/>
    <w:aliases w:val="h3,3"/>
    <w:basedOn w:val="Normal"/>
    <w:next w:val="Normal"/>
    <w:link w:val="Heading3Char1"/>
    <w:autoRedefine/>
    <w:uiPriority w:val="99"/>
    <w:qFormat/>
    <w:rsid w:val="0006567E"/>
    <w:pPr>
      <w:keepNext/>
      <w:spacing w:before="360" w:after="240"/>
      <w:ind w:left="360"/>
      <w:jc w:val="left"/>
      <w:outlineLvl w:val="2"/>
    </w:pPr>
    <w:rPr>
      <w:rFonts w:ascii="Arial" w:hAnsi="Arial" w:cs="Arial"/>
      <w:b/>
      <w:bCs w:val="0"/>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13F9"/>
    <w:rPr>
      <w:rFonts w:ascii="Cambria" w:hAnsi="Cambria" w:cs="Times New Roman"/>
      <w:b/>
      <w:color w:val="365F91"/>
      <w:sz w:val="28"/>
      <w:szCs w:val="28"/>
      <w:lang w:val="en-GB" w:eastAsia="en-GB"/>
    </w:rPr>
  </w:style>
  <w:style w:type="character" w:customStyle="1" w:styleId="Heading2Char">
    <w:name w:val="Heading 2 Char"/>
    <w:basedOn w:val="DefaultParagraphFont"/>
    <w:link w:val="Heading2"/>
    <w:uiPriority w:val="99"/>
    <w:locked/>
    <w:rsid w:val="003213F9"/>
    <w:rPr>
      <w:rFonts w:ascii="Cambria" w:hAnsi="Cambria" w:cs="Times New Roman"/>
      <w:b/>
      <w:color w:val="4F81BD"/>
      <w:sz w:val="26"/>
      <w:szCs w:val="26"/>
      <w:lang w:val="en-GB" w:eastAsia="en-GB"/>
    </w:rPr>
  </w:style>
  <w:style w:type="character" w:customStyle="1" w:styleId="Heading3Char">
    <w:name w:val="Heading 3 Char"/>
    <w:aliases w:val="h3 Char,3 Char"/>
    <w:basedOn w:val="DefaultParagraphFont"/>
    <w:link w:val="Heading3"/>
    <w:uiPriority w:val="99"/>
    <w:locked/>
    <w:rsid w:val="0006567E"/>
    <w:rPr>
      <w:rFonts w:ascii="Cambria" w:hAnsi="Cambria" w:cs="Times New Roman"/>
      <w:b/>
      <w:color w:val="4F81BD"/>
      <w:sz w:val="20"/>
      <w:szCs w:val="20"/>
      <w:lang w:val="en-GB" w:eastAsia="en-GB"/>
    </w:rPr>
  </w:style>
  <w:style w:type="character" w:customStyle="1" w:styleId="Heading3Char1">
    <w:name w:val="Heading 3 Char1"/>
    <w:aliases w:val="h3 Char1,3 Char1"/>
    <w:basedOn w:val="DefaultParagraphFont"/>
    <w:link w:val="Heading3"/>
    <w:uiPriority w:val="99"/>
    <w:locked/>
    <w:rsid w:val="0006567E"/>
    <w:rPr>
      <w:rFonts w:ascii="Arial" w:hAnsi="Arial" w:cs="Arial"/>
      <w:b/>
      <w:sz w:val="20"/>
      <w:szCs w:val="20"/>
      <w:lang w:val="fr-FR" w:eastAsia="fr-FR"/>
    </w:rPr>
  </w:style>
  <w:style w:type="paragraph" w:customStyle="1" w:styleId="Text">
    <w:name w:val="Text"/>
    <w:basedOn w:val="Normal"/>
    <w:link w:val="TextChar"/>
    <w:uiPriority w:val="99"/>
    <w:rsid w:val="003213F9"/>
    <w:pPr>
      <w:autoSpaceDE/>
      <w:autoSpaceDN/>
      <w:adjustRightInd/>
      <w:spacing w:after="120" w:line="288" w:lineRule="auto"/>
    </w:pPr>
    <w:rPr>
      <w:rFonts w:ascii="Corpid C1s Regular" w:hAnsi="Corpid C1s Regular"/>
      <w:bCs w:val="0"/>
      <w:lang w:eastAsia="en-US"/>
    </w:rPr>
  </w:style>
  <w:style w:type="character" w:customStyle="1" w:styleId="TextChar">
    <w:name w:val="Text Char"/>
    <w:basedOn w:val="DefaultParagraphFont"/>
    <w:link w:val="Text"/>
    <w:uiPriority w:val="99"/>
    <w:locked/>
    <w:rsid w:val="003213F9"/>
    <w:rPr>
      <w:rFonts w:ascii="Corpid C1s Regular" w:hAnsi="Corpid C1s Regular" w:cs="Times New Roman"/>
      <w:sz w:val="20"/>
      <w:szCs w:val="20"/>
      <w:lang w:val="en-GB"/>
    </w:rPr>
  </w:style>
  <w:style w:type="paragraph" w:styleId="Title">
    <w:name w:val="Title"/>
    <w:basedOn w:val="Normal"/>
    <w:next w:val="Normal"/>
    <w:link w:val="TitleChar"/>
    <w:uiPriority w:val="99"/>
    <w:qFormat/>
    <w:rsid w:val="003213F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3213F9"/>
    <w:rPr>
      <w:rFonts w:ascii="Cambria" w:hAnsi="Cambria" w:cs="Times New Roman"/>
      <w:bCs/>
      <w:color w:val="17365D"/>
      <w:spacing w:val="5"/>
      <w:kern w:val="28"/>
      <w:sz w:val="52"/>
      <w:szCs w:val="52"/>
      <w:lang w:val="en-GB" w:eastAsia="en-GB"/>
    </w:rPr>
  </w:style>
  <w:style w:type="character" w:styleId="Hyperlink">
    <w:name w:val="Hyperlink"/>
    <w:basedOn w:val="DefaultParagraphFont"/>
    <w:uiPriority w:val="99"/>
    <w:rsid w:val="001D66AE"/>
    <w:rPr>
      <w:rFonts w:ascii="Corpid C1s Regular" w:hAnsi="Corpid C1s Regular" w:cs="Times New Roman"/>
      <w:color w:val="0000FF"/>
      <w:sz w:val="20"/>
      <w:u w:val="single"/>
    </w:rPr>
  </w:style>
  <w:style w:type="paragraph" w:customStyle="1" w:styleId="SimonsStyle">
    <w:name w:val="Simon's Style"/>
    <w:basedOn w:val="Normal"/>
    <w:uiPriority w:val="99"/>
    <w:rsid w:val="00752BBA"/>
    <w:pPr>
      <w:autoSpaceDE/>
      <w:autoSpaceDN/>
      <w:adjustRightInd/>
      <w:jc w:val="left"/>
    </w:pPr>
    <w:rPr>
      <w:rFonts w:ascii="Antique Olv (W1)" w:eastAsia="Calibri" w:hAnsi="Antique Olv (W1)" w:cs="Antique Olv (W1)"/>
      <w:bCs w:val="0"/>
      <w:lang w:eastAsia="en-US"/>
    </w:rPr>
  </w:style>
</w:styles>
</file>

<file path=word/webSettings.xml><?xml version="1.0" encoding="utf-8"?>
<w:webSettings xmlns:r="http://schemas.openxmlformats.org/officeDocument/2006/relationships" xmlns:w="http://schemas.openxmlformats.org/wordprocessingml/2006/main">
  <w:divs>
    <w:div w:id="1779981557">
      <w:marLeft w:val="0"/>
      <w:marRight w:val="0"/>
      <w:marTop w:val="0"/>
      <w:marBottom w:val="0"/>
      <w:divBdr>
        <w:top w:val="none" w:sz="0" w:space="0" w:color="auto"/>
        <w:left w:val="none" w:sz="0" w:space="0" w:color="auto"/>
        <w:bottom w:val="none" w:sz="0" w:space="0" w:color="auto"/>
        <w:right w:val="none" w:sz="0" w:space="0" w:color="auto"/>
      </w:divBdr>
    </w:div>
    <w:div w:id="1779981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377</TotalTime>
  <Pages>2</Pages>
  <Words>425</Words>
  <Characters>2340</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hlaitine</dc:creator>
  <cp:keywords/>
  <dc:description/>
  <cp:lastModifiedBy>deschamps</cp:lastModifiedBy>
  <cp:revision>11</cp:revision>
  <dcterms:created xsi:type="dcterms:W3CDTF">2011-06-16T11:27:00Z</dcterms:created>
  <dcterms:modified xsi:type="dcterms:W3CDTF">2011-06-30T09:26:00Z</dcterms:modified>
</cp:coreProperties>
</file>