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89A13" w14:textId="77777777" w:rsidR="00AE264C" w:rsidRDefault="00AE264C"/>
    <w:tbl>
      <w:tblPr>
        <w:tblW w:w="9923" w:type="dxa"/>
        <w:tblInd w:w="-497" w:type="dxa"/>
        <w:tblLayout w:type="fixed"/>
        <w:tblCellMar>
          <w:left w:w="70" w:type="dxa"/>
          <w:right w:w="70" w:type="dxa"/>
        </w:tblCellMar>
        <w:tblLook w:val="0000" w:firstRow="0" w:lastRow="0" w:firstColumn="0" w:lastColumn="0" w:noHBand="0" w:noVBand="0"/>
      </w:tblPr>
      <w:tblGrid>
        <w:gridCol w:w="5670"/>
        <w:gridCol w:w="4253"/>
      </w:tblGrid>
      <w:tr w:rsidR="00AE264C" w14:paraId="30D18C94" w14:textId="77777777" w:rsidTr="006778AE">
        <w:trPr>
          <w:cantSplit/>
        </w:trPr>
        <w:tc>
          <w:tcPr>
            <w:tcW w:w="5670" w:type="dxa"/>
          </w:tcPr>
          <w:p w14:paraId="106BB634" w14:textId="77777777" w:rsidR="00AE264C" w:rsidRDefault="00DE78C4" w:rsidP="00321049">
            <w:pPr>
              <w:ind w:right="282"/>
            </w:pPr>
            <w:r>
              <w:rPr>
                <w:b/>
                <w:bCs/>
                <w:noProof/>
                <w:lang w:eastAsia="en-GB"/>
              </w:rPr>
              <w:drawing>
                <wp:inline distT="0" distB="0" distL="0" distR="0" wp14:anchorId="749CF4E8" wp14:editId="446C6363">
                  <wp:extent cx="1628140" cy="83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8140" cy="833755"/>
                          </a:xfrm>
                          <a:prstGeom prst="rect">
                            <a:avLst/>
                          </a:prstGeom>
                          <a:noFill/>
                          <a:ln w="9525">
                            <a:noFill/>
                            <a:miter lim="800000"/>
                            <a:headEnd/>
                            <a:tailEnd/>
                          </a:ln>
                        </pic:spPr>
                      </pic:pic>
                    </a:graphicData>
                  </a:graphic>
                </wp:inline>
              </w:drawing>
            </w:r>
          </w:p>
        </w:tc>
        <w:tc>
          <w:tcPr>
            <w:tcW w:w="4253" w:type="dxa"/>
          </w:tcPr>
          <w:p w14:paraId="0F39A091" w14:textId="77777777" w:rsidR="00AE264C" w:rsidRDefault="00AE264C" w:rsidP="00321049">
            <w:pPr>
              <w:ind w:right="282"/>
              <w:jc w:val="right"/>
            </w:pPr>
          </w:p>
        </w:tc>
      </w:tr>
      <w:tr w:rsidR="00AE264C" w14:paraId="08DFB614" w14:textId="77777777" w:rsidTr="006778AE">
        <w:tblPrEx>
          <w:tblCellMar>
            <w:left w:w="108" w:type="dxa"/>
            <w:right w:w="108" w:type="dxa"/>
          </w:tblCellMar>
        </w:tblPrEx>
        <w:tc>
          <w:tcPr>
            <w:tcW w:w="5670" w:type="dxa"/>
          </w:tcPr>
          <w:p w14:paraId="720AE28E" w14:textId="2A1A9C14" w:rsidR="00AE264C" w:rsidRPr="00A3369E" w:rsidRDefault="00AE264C" w:rsidP="00321049">
            <w:pPr>
              <w:pStyle w:val="berschrift4"/>
              <w:ind w:right="-321"/>
              <w:rPr>
                <w:color w:val="808080"/>
              </w:rPr>
            </w:pPr>
          </w:p>
          <w:p w14:paraId="26A244CB" w14:textId="49EDD022" w:rsidR="00AE264C" w:rsidRPr="00A3369E" w:rsidRDefault="00DF6807" w:rsidP="00321049">
            <w:pPr>
              <w:pStyle w:val="berschrift4"/>
              <w:ind w:right="-321"/>
              <w:rPr>
                <w:color w:val="808080"/>
              </w:rPr>
            </w:pPr>
            <w:r>
              <w:rPr>
                <w:color w:val="808080"/>
              </w:rPr>
              <w:t>Project Team</w:t>
            </w:r>
            <w:r w:rsidR="00AE264C" w:rsidRPr="00A3369E">
              <w:rPr>
                <w:color w:val="808080"/>
              </w:rPr>
              <w:t xml:space="preserve"> FM</w:t>
            </w:r>
            <w:r>
              <w:rPr>
                <w:color w:val="808080"/>
              </w:rPr>
              <w:t xml:space="preserve"> PT 48</w:t>
            </w:r>
          </w:p>
        </w:tc>
        <w:tc>
          <w:tcPr>
            <w:tcW w:w="4253" w:type="dxa"/>
          </w:tcPr>
          <w:p w14:paraId="3A35E61B" w14:textId="77777777" w:rsidR="00AE264C" w:rsidRDefault="00AE264C" w:rsidP="00321049">
            <w:pPr>
              <w:ind w:right="282"/>
              <w:rPr>
                <w:sz w:val="12"/>
              </w:rPr>
            </w:pPr>
          </w:p>
          <w:p w14:paraId="40C962CA" w14:textId="77777777" w:rsidR="00AE264C" w:rsidRDefault="00AE264C" w:rsidP="00321049">
            <w:pPr>
              <w:pStyle w:val="berschrift4"/>
              <w:ind w:right="-321"/>
            </w:pPr>
          </w:p>
        </w:tc>
      </w:tr>
      <w:tr w:rsidR="00AE264C" w14:paraId="16B63933" w14:textId="77777777" w:rsidTr="006778AE">
        <w:tblPrEx>
          <w:tblCellMar>
            <w:left w:w="108" w:type="dxa"/>
            <w:right w:w="108" w:type="dxa"/>
          </w:tblCellMar>
        </w:tblPrEx>
        <w:tc>
          <w:tcPr>
            <w:tcW w:w="5670" w:type="dxa"/>
          </w:tcPr>
          <w:p w14:paraId="0958D6D0" w14:textId="77777777" w:rsidR="00AE264C" w:rsidRDefault="00AE264C" w:rsidP="00321049">
            <w:pPr>
              <w:pStyle w:val="berschrift4"/>
              <w:ind w:right="-321"/>
            </w:pPr>
          </w:p>
        </w:tc>
        <w:tc>
          <w:tcPr>
            <w:tcW w:w="4253" w:type="dxa"/>
          </w:tcPr>
          <w:p w14:paraId="3035B039" w14:textId="77777777" w:rsidR="00AE264C" w:rsidRDefault="00AE264C" w:rsidP="00321049">
            <w:pPr>
              <w:pStyle w:val="berschrift4"/>
              <w:ind w:right="-321"/>
            </w:pPr>
          </w:p>
        </w:tc>
      </w:tr>
      <w:tr w:rsidR="00AE264C" w:rsidRPr="004C43DC" w14:paraId="1399A5C4" w14:textId="77777777" w:rsidTr="006778AE">
        <w:tblPrEx>
          <w:tblCellMar>
            <w:left w:w="108" w:type="dxa"/>
            <w:right w:w="108" w:type="dxa"/>
          </w:tblCellMar>
        </w:tblPrEx>
        <w:trPr>
          <w:trHeight w:val="377"/>
        </w:trPr>
        <w:tc>
          <w:tcPr>
            <w:tcW w:w="5670" w:type="dxa"/>
          </w:tcPr>
          <w:p w14:paraId="67BD1FBC" w14:textId="11762767" w:rsidR="00AE264C" w:rsidRPr="004C43DC" w:rsidRDefault="00E0690D" w:rsidP="002055CD">
            <w:pPr>
              <w:spacing w:before="60"/>
              <w:rPr>
                <w:rFonts w:ascii="Arial" w:hAnsi="Arial" w:cs="Arial"/>
                <w:b/>
                <w:sz w:val="24"/>
                <w:szCs w:val="24"/>
              </w:rPr>
            </w:pPr>
            <w:r>
              <w:rPr>
                <w:rFonts w:ascii="Arial" w:hAnsi="Arial" w:cs="Arial"/>
                <w:b/>
                <w:sz w:val="24"/>
                <w:szCs w:val="24"/>
              </w:rPr>
              <w:t>3</w:t>
            </w:r>
            <w:r w:rsidR="00DF6807" w:rsidRPr="00DF6807">
              <w:rPr>
                <w:rFonts w:ascii="Arial" w:hAnsi="Arial" w:cs="Arial"/>
                <w:b/>
                <w:sz w:val="24"/>
                <w:szCs w:val="24"/>
                <w:vertAlign w:val="superscript"/>
              </w:rPr>
              <w:t>rd</w:t>
            </w:r>
            <w:r w:rsidR="00DF6807">
              <w:rPr>
                <w:rFonts w:ascii="Arial" w:hAnsi="Arial" w:cs="Arial"/>
                <w:b/>
                <w:sz w:val="24"/>
                <w:szCs w:val="24"/>
              </w:rPr>
              <w:t xml:space="preserve"> Meeting of FM PT 48</w:t>
            </w:r>
            <w:bookmarkStart w:id="0" w:name="_GoBack"/>
            <w:bookmarkEnd w:id="0"/>
          </w:p>
          <w:p w14:paraId="5D7750B4" w14:textId="6EF14BCF" w:rsidR="00AE264C" w:rsidRPr="004C43DC" w:rsidRDefault="00DF6807" w:rsidP="00A73F12">
            <w:pPr>
              <w:spacing w:before="60"/>
              <w:rPr>
                <w:rFonts w:ascii="Arial" w:hAnsi="Arial" w:cs="Arial"/>
                <w:b/>
                <w:sz w:val="24"/>
                <w:szCs w:val="24"/>
              </w:rPr>
            </w:pPr>
            <w:r>
              <w:rPr>
                <w:rFonts w:ascii="Arial" w:hAnsi="Arial"/>
                <w:b/>
                <w:sz w:val="24"/>
              </w:rPr>
              <w:t>Maisons-Alfort</w:t>
            </w:r>
            <w:r w:rsidR="0003633D" w:rsidRPr="00A73F12">
              <w:rPr>
                <w:rFonts w:ascii="Arial" w:hAnsi="Arial"/>
                <w:b/>
                <w:sz w:val="24"/>
              </w:rPr>
              <w:t xml:space="preserve">, </w:t>
            </w:r>
            <w:r>
              <w:rPr>
                <w:rFonts w:ascii="Arial" w:hAnsi="Arial"/>
                <w:b/>
                <w:sz w:val="24"/>
              </w:rPr>
              <w:t>13–</w:t>
            </w:r>
            <w:r w:rsidR="00E0690D">
              <w:rPr>
                <w:rFonts w:ascii="Arial" w:hAnsi="Arial"/>
                <w:b/>
                <w:sz w:val="24"/>
              </w:rPr>
              <w:t>14 September</w:t>
            </w:r>
            <w:r w:rsidR="00A73F12">
              <w:rPr>
                <w:rFonts w:ascii="Arial" w:hAnsi="Arial"/>
                <w:b/>
                <w:sz w:val="24"/>
              </w:rPr>
              <w:t xml:space="preserve"> 2011</w:t>
            </w:r>
          </w:p>
        </w:tc>
        <w:tc>
          <w:tcPr>
            <w:tcW w:w="4253" w:type="dxa"/>
          </w:tcPr>
          <w:p w14:paraId="455FE853" w14:textId="1CD64373" w:rsidR="00AE264C" w:rsidRPr="004C43DC" w:rsidRDefault="009A522E" w:rsidP="00D90C62">
            <w:pPr>
              <w:spacing w:before="60"/>
              <w:jc w:val="right"/>
              <w:rPr>
                <w:rFonts w:ascii="Arial" w:hAnsi="Arial" w:cs="Arial"/>
                <w:b/>
                <w:sz w:val="24"/>
                <w:szCs w:val="24"/>
              </w:rPr>
            </w:pPr>
            <w:r>
              <w:rPr>
                <w:rFonts w:ascii="Arial" w:hAnsi="Arial" w:cs="Arial"/>
                <w:b/>
                <w:sz w:val="24"/>
                <w:szCs w:val="24"/>
              </w:rPr>
              <w:t>FM48(11)</w:t>
            </w:r>
            <w:r w:rsidR="00DF6807">
              <w:rPr>
                <w:rFonts w:ascii="Arial" w:hAnsi="Arial" w:cs="Arial"/>
                <w:b/>
                <w:sz w:val="24"/>
                <w:szCs w:val="24"/>
              </w:rPr>
              <w:t>036</w:t>
            </w:r>
          </w:p>
          <w:p w14:paraId="0B609751" w14:textId="054B0565" w:rsidR="00AE264C" w:rsidRPr="00D90C62" w:rsidRDefault="00AE264C" w:rsidP="00E0690D">
            <w:pPr>
              <w:spacing w:before="60"/>
            </w:pPr>
          </w:p>
        </w:tc>
      </w:tr>
      <w:tr w:rsidR="00AE264C" w14:paraId="51E0F574" w14:textId="77777777" w:rsidTr="006778AE">
        <w:tblPrEx>
          <w:tblCellMar>
            <w:left w:w="108" w:type="dxa"/>
            <w:right w:w="108" w:type="dxa"/>
          </w:tblCellMar>
        </w:tblPrEx>
        <w:tc>
          <w:tcPr>
            <w:tcW w:w="9923" w:type="dxa"/>
            <w:gridSpan w:val="2"/>
          </w:tcPr>
          <w:p w14:paraId="0879118B" w14:textId="77777777" w:rsidR="00AE264C" w:rsidRDefault="00AE264C" w:rsidP="00321049">
            <w:pPr>
              <w:pStyle w:val="berschrift4"/>
              <w:tabs>
                <w:tab w:val="left" w:pos="8789"/>
              </w:tabs>
              <w:rPr>
                <w:rFonts w:cs="Arial"/>
                <w:szCs w:val="24"/>
              </w:rPr>
            </w:pPr>
          </w:p>
          <w:p w14:paraId="27A2C3F6" w14:textId="407AFCE1" w:rsidR="00AE264C" w:rsidRDefault="00DF6807" w:rsidP="00321049">
            <w:pPr>
              <w:rPr>
                <w:rFonts w:ascii="Arial" w:hAnsi="Arial" w:cs="Arial"/>
                <w:b/>
                <w:sz w:val="24"/>
                <w:szCs w:val="24"/>
              </w:rPr>
            </w:pPr>
            <w:r>
              <w:rPr>
                <w:rFonts w:ascii="Arial" w:hAnsi="Arial" w:cs="Arial"/>
                <w:b/>
                <w:sz w:val="24"/>
                <w:szCs w:val="24"/>
              </w:rPr>
              <w:t>Date issued:</w:t>
            </w:r>
            <w:r>
              <w:rPr>
                <w:rFonts w:ascii="Arial" w:hAnsi="Arial" w:cs="Arial"/>
                <w:b/>
                <w:sz w:val="24"/>
                <w:szCs w:val="24"/>
              </w:rPr>
              <w:tab/>
            </w:r>
            <w:r>
              <w:rPr>
                <w:rFonts w:ascii="Arial" w:hAnsi="Arial" w:cs="Arial"/>
                <w:b/>
                <w:sz w:val="24"/>
                <w:szCs w:val="24"/>
              </w:rPr>
              <w:tab/>
            </w:r>
            <w:r w:rsidR="00EB1284">
              <w:rPr>
                <w:rFonts w:ascii="Arial" w:hAnsi="Arial" w:cs="Arial"/>
                <w:b/>
                <w:sz w:val="24"/>
                <w:szCs w:val="24"/>
              </w:rPr>
              <w:t>7</w:t>
            </w:r>
            <w:r w:rsidR="00E0690D">
              <w:rPr>
                <w:rFonts w:ascii="Arial" w:hAnsi="Arial" w:cs="Arial"/>
                <w:b/>
                <w:sz w:val="24"/>
                <w:szCs w:val="24"/>
              </w:rPr>
              <w:t xml:space="preserve"> September</w:t>
            </w:r>
            <w:r w:rsidR="00F83651">
              <w:rPr>
                <w:rFonts w:ascii="Arial" w:hAnsi="Arial" w:cs="Arial"/>
                <w:b/>
                <w:sz w:val="24"/>
                <w:szCs w:val="24"/>
              </w:rPr>
              <w:t xml:space="preserve"> 2011</w:t>
            </w:r>
          </w:p>
          <w:p w14:paraId="2A446C44" w14:textId="77777777" w:rsidR="00AE264C" w:rsidRDefault="00AE264C" w:rsidP="00321049">
            <w:pPr>
              <w:rPr>
                <w:rFonts w:ascii="Arial" w:hAnsi="Arial" w:cs="Arial"/>
                <w:b/>
                <w:sz w:val="24"/>
                <w:szCs w:val="24"/>
              </w:rPr>
            </w:pPr>
          </w:p>
          <w:p w14:paraId="1DFA3383" w14:textId="204DB461" w:rsidR="00AE264C" w:rsidRDefault="00DF6807" w:rsidP="00321049">
            <w:pPr>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b/>
                <w:sz w:val="24"/>
                <w:szCs w:val="24"/>
              </w:rPr>
              <w:tab/>
            </w:r>
            <w:r w:rsidR="004D75B7">
              <w:rPr>
                <w:rFonts w:ascii="Arial" w:hAnsi="Arial" w:cs="Arial"/>
                <w:b/>
                <w:sz w:val="24"/>
                <w:szCs w:val="24"/>
              </w:rPr>
              <w:t>Solaris Mobile</w:t>
            </w:r>
            <w:r w:rsidR="00D6079C">
              <w:rPr>
                <w:rFonts w:ascii="Arial" w:hAnsi="Arial" w:cs="Arial"/>
                <w:b/>
                <w:sz w:val="24"/>
                <w:szCs w:val="24"/>
              </w:rPr>
              <w:t xml:space="preserve"> Limited</w:t>
            </w:r>
          </w:p>
          <w:p w14:paraId="2296F505" w14:textId="77777777" w:rsidR="00AE264C" w:rsidRDefault="00AE264C" w:rsidP="00321049">
            <w:pPr>
              <w:rPr>
                <w:rFonts w:ascii="Arial" w:hAnsi="Arial" w:cs="Arial"/>
                <w:b/>
                <w:sz w:val="24"/>
                <w:szCs w:val="24"/>
              </w:rPr>
            </w:pPr>
          </w:p>
          <w:p w14:paraId="7759A8E6" w14:textId="77777777" w:rsidR="00DF6807" w:rsidRDefault="00DF6807" w:rsidP="00321049">
            <w:pPr>
              <w:rPr>
                <w:rFonts w:ascii="Arial" w:hAnsi="Arial" w:cs="Arial"/>
                <w:b/>
                <w:sz w:val="24"/>
                <w:szCs w:val="24"/>
              </w:rPr>
            </w:pPr>
            <w:r>
              <w:rPr>
                <w:rFonts w:ascii="Arial" w:hAnsi="Arial" w:cs="Arial"/>
                <w:b/>
                <w:sz w:val="24"/>
                <w:szCs w:val="24"/>
              </w:rPr>
              <w:t>Subject:</w:t>
            </w:r>
            <w:r>
              <w:rPr>
                <w:rFonts w:ascii="Arial" w:hAnsi="Arial" w:cs="Arial"/>
                <w:b/>
                <w:sz w:val="24"/>
                <w:szCs w:val="24"/>
              </w:rPr>
              <w:tab/>
            </w:r>
            <w:r>
              <w:rPr>
                <w:rFonts w:ascii="Arial" w:hAnsi="Arial" w:cs="Arial"/>
                <w:b/>
                <w:sz w:val="24"/>
                <w:szCs w:val="24"/>
              </w:rPr>
              <w:tab/>
            </w:r>
            <w:r w:rsidR="00620FE1">
              <w:rPr>
                <w:rFonts w:ascii="Arial" w:hAnsi="Arial" w:cs="Arial"/>
                <w:b/>
                <w:sz w:val="24"/>
                <w:szCs w:val="24"/>
              </w:rPr>
              <w:t xml:space="preserve">Bands </w:t>
            </w:r>
            <w:r w:rsidR="003204A4">
              <w:rPr>
                <w:rFonts w:ascii="Arial" w:hAnsi="Arial" w:cs="Arial"/>
                <w:b/>
                <w:sz w:val="24"/>
                <w:szCs w:val="24"/>
              </w:rPr>
              <w:t xml:space="preserve">not available </w:t>
            </w:r>
            <w:r w:rsidR="00620FE1">
              <w:rPr>
                <w:rFonts w:ascii="Arial" w:hAnsi="Arial" w:cs="Arial"/>
                <w:b/>
                <w:sz w:val="24"/>
                <w:szCs w:val="24"/>
              </w:rPr>
              <w:t xml:space="preserve">for </w:t>
            </w:r>
            <w:r w:rsidR="00620FE1" w:rsidRPr="00620FE1">
              <w:rPr>
                <w:rFonts w:ascii="Arial" w:hAnsi="Arial" w:cs="Arial"/>
                <w:b/>
                <w:sz w:val="24"/>
                <w:szCs w:val="24"/>
              </w:rPr>
              <w:t xml:space="preserve">Broadband </w:t>
            </w:r>
            <w:r w:rsidR="00620FE1">
              <w:rPr>
                <w:rFonts w:ascii="Arial" w:hAnsi="Arial" w:cs="Arial"/>
                <w:b/>
                <w:sz w:val="24"/>
                <w:szCs w:val="24"/>
              </w:rPr>
              <w:t>Direct Air-to-Ground</w:t>
            </w:r>
          </w:p>
          <w:p w14:paraId="14427EC9" w14:textId="5E1CC96D" w:rsidR="00E0690D" w:rsidRDefault="00DF6807" w:rsidP="00321049">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204A4">
              <w:rPr>
                <w:rFonts w:ascii="Arial" w:hAnsi="Arial" w:cs="Arial"/>
                <w:b/>
                <w:sz w:val="24"/>
                <w:szCs w:val="24"/>
              </w:rPr>
              <w:t>Communications (DA2GC)</w:t>
            </w:r>
          </w:p>
          <w:p w14:paraId="57542374" w14:textId="77777777" w:rsidR="00AE264C" w:rsidRDefault="00AE264C" w:rsidP="00321049">
            <w:pPr>
              <w:pStyle w:val="Kopfzeile"/>
              <w:rPr>
                <w:rFonts w:ascii="Arial" w:hAnsi="Arial" w:cs="Arial"/>
                <w:b/>
                <w:sz w:val="24"/>
                <w:szCs w:val="24"/>
              </w:rPr>
            </w:pPr>
          </w:p>
        </w:tc>
      </w:tr>
      <w:tr w:rsidR="00E0690D" w14:paraId="1A2F4958" w14:textId="77777777" w:rsidTr="006778AE">
        <w:tblPrEx>
          <w:tblCellMar>
            <w:left w:w="108" w:type="dxa"/>
            <w:right w:w="108" w:type="dxa"/>
          </w:tblCellMar>
        </w:tblPrEx>
        <w:tc>
          <w:tcPr>
            <w:tcW w:w="9923" w:type="dxa"/>
            <w:gridSpan w:val="2"/>
          </w:tcPr>
          <w:p w14:paraId="3E353497" w14:textId="77777777" w:rsidR="00E0690D" w:rsidRDefault="00E0690D" w:rsidP="00321049">
            <w:pPr>
              <w:pStyle w:val="berschrift4"/>
              <w:tabs>
                <w:tab w:val="left" w:pos="8789"/>
              </w:tabs>
              <w:rPr>
                <w:rFonts w:cs="Arial"/>
                <w:szCs w:val="24"/>
              </w:rPr>
            </w:pPr>
          </w:p>
        </w:tc>
      </w:tr>
    </w:tbl>
    <w:p w14:paraId="231D6932" w14:textId="77777777" w:rsidR="00AC25FE" w:rsidRDefault="003E7A05">
      <w:r>
        <w:rPr>
          <w:noProof/>
          <w:lang w:eastAsia="en-GB"/>
        </w:rPr>
        <mc:AlternateContent>
          <mc:Choice Requires="wps">
            <w:drawing>
              <wp:anchor distT="0" distB="0" distL="114300" distR="114300" simplePos="0" relativeHeight="251657728" behindDoc="0" locked="0" layoutInCell="1" allowOverlap="1" wp14:anchorId="0D2DB797" wp14:editId="2DE8E18A">
                <wp:simplePos x="0" y="0"/>
                <wp:positionH relativeFrom="column">
                  <wp:posOffset>1828800</wp:posOffset>
                </wp:positionH>
                <wp:positionV relativeFrom="paragraph">
                  <wp:posOffset>123190</wp:posOffset>
                </wp:positionV>
                <wp:extent cx="457200" cy="222250"/>
                <wp:effectExtent l="0" t="0" r="1270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250"/>
                        </a:xfrm>
                        <a:prstGeom prst="rect">
                          <a:avLst/>
                        </a:prstGeom>
                        <a:solidFill>
                          <a:srgbClr val="FFFFFF"/>
                        </a:solidFill>
                        <a:ln w="9525">
                          <a:solidFill>
                            <a:srgbClr val="000000"/>
                          </a:solidFill>
                          <a:miter lim="800000"/>
                          <a:headEnd/>
                          <a:tailEnd/>
                        </a:ln>
                      </wps:spPr>
                      <wps:txbx>
                        <w:txbxContent>
                          <w:p w14:paraId="52EFC4B0" w14:textId="77777777" w:rsidR="003204A4" w:rsidRDefault="003204A4">
                            <w:pPr>
                              <w:jc w:val="center"/>
                              <w:rPr>
                                <w:lang w:val="en-IE"/>
                              </w:rPr>
                            </w:pPr>
                            <w:r>
                              <w:rPr>
                                <w:lang w:val="en-I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5" o:spid="_x0000_s1026" type="#_x0000_t202" style="position:absolute;margin-left:2in;margin-top:9.7pt;width:36pt;height: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">
                <v:textbox>
                  <w:txbxContent>
                    <w:p w14:paraId="52EFC4B0" w14:textId="77777777" w:rsidR="003204A4" w:rsidRDefault="003204A4">
                      <w:pPr>
                        <w:jc w:val="center"/>
                        <w:rPr>
                          <w:lang w:val="en-IE"/>
                        </w:rPr>
                      </w:pPr>
                      <w:r>
                        <w:rPr>
                          <w:lang w:val="en-IE"/>
                        </w:rPr>
                        <w:t>N</w:t>
                      </w:r>
                    </w:p>
                  </w:txbxContent>
                </v:textbox>
              </v:shape>
            </w:pict>
          </mc:Fallback>
        </mc:AlternateContent>
      </w:r>
    </w:p>
    <w:p w14:paraId="3A596DCB" w14:textId="77777777" w:rsidR="00AE264C" w:rsidRDefault="00AE264C" w:rsidP="00AE264C">
      <w:pPr>
        <w:ind w:right="-852" w:hanging="540"/>
      </w:pPr>
      <w:r>
        <w:t>Password protection required? (Y/N) *</w:t>
      </w:r>
    </w:p>
    <w:p w14:paraId="13D5DB4B" w14:textId="77777777" w:rsidR="00AE264C" w:rsidRDefault="00AE264C" w:rsidP="00AE264C">
      <w:pPr>
        <w:ind w:right="-852"/>
        <w:jc w:val="right"/>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E264C" w14:paraId="647A0118" w14:textId="77777777" w:rsidTr="00321049">
        <w:tc>
          <w:tcPr>
            <w:tcW w:w="9923" w:type="dxa"/>
          </w:tcPr>
          <w:p w14:paraId="0E4A77DC" w14:textId="77777777" w:rsidR="00AE264C" w:rsidRPr="00CB3476" w:rsidRDefault="00AE264C" w:rsidP="00321049">
            <w:pPr>
              <w:rPr>
                <w:rFonts w:ascii="Arial" w:hAnsi="Arial" w:cs="Arial"/>
                <w:b/>
              </w:rPr>
            </w:pPr>
          </w:p>
          <w:p w14:paraId="59E4DB75" w14:textId="77777777" w:rsidR="00AE264C" w:rsidRDefault="00AE264C" w:rsidP="00321049">
            <w:pPr>
              <w:pStyle w:val="berschrift3"/>
              <w:jc w:val="left"/>
              <w:rPr>
                <w:rFonts w:cs="Arial"/>
              </w:rPr>
            </w:pPr>
            <w:r w:rsidRPr="00CB3476">
              <w:rPr>
                <w:rFonts w:cs="Arial"/>
              </w:rPr>
              <w:t>Summary</w:t>
            </w:r>
          </w:p>
          <w:p w14:paraId="3BC3FB9C" w14:textId="77777777" w:rsidR="00863890" w:rsidRDefault="00863890" w:rsidP="00863890"/>
          <w:p w14:paraId="64EC9E19" w14:textId="1F3F1B17" w:rsidR="00AE264C" w:rsidRPr="00E45F8C" w:rsidRDefault="009A522E" w:rsidP="00E45F8C">
            <w:pPr>
              <w:spacing w:after="200" w:line="276" w:lineRule="auto"/>
              <w:rPr>
                <w:rFonts w:asciiTheme="minorHAnsi" w:eastAsiaTheme="minorHAnsi" w:hAnsiTheme="minorHAnsi" w:cstheme="minorBidi"/>
                <w:sz w:val="22"/>
                <w:szCs w:val="22"/>
                <w:lang w:eastAsia="en-US"/>
              </w:rPr>
            </w:pPr>
            <w:r>
              <w:rPr>
                <w:rFonts w:ascii="Arial" w:eastAsiaTheme="minorHAnsi" w:hAnsi="Arial" w:cs="Arial"/>
                <w:sz w:val="22"/>
                <w:szCs w:val="22"/>
                <w:lang w:eastAsia="en-US"/>
              </w:rPr>
              <w:t>The</w:t>
            </w:r>
            <w:r w:rsidRPr="00E0690D">
              <w:rPr>
                <w:rFonts w:ascii="Arial" w:eastAsiaTheme="minorHAnsi" w:hAnsi="Arial" w:cs="Arial"/>
                <w:sz w:val="22"/>
                <w:szCs w:val="22"/>
                <w:lang w:eastAsia="en-US"/>
              </w:rPr>
              <w:t xml:space="preserve"> </w:t>
            </w:r>
            <w:r w:rsidRPr="00E0690D">
              <w:rPr>
                <w:rFonts w:ascii="Arial" w:hAnsi="Arial" w:cs="Arial"/>
                <w:sz w:val="22"/>
                <w:szCs w:val="22"/>
              </w:rPr>
              <w:t>2GHz MSS</w:t>
            </w:r>
            <w:r>
              <w:rPr>
                <w:rFonts w:ascii="Arial" w:hAnsi="Arial" w:cs="Arial"/>
                <w:sz w:val="22"/>
                <w:szCs w:val="22"/>
              </w:rPr>
              <w:t xml:space="preserve"> </w:t>
            </w:r>
            <w:r w:rsidR="00E45F8C">
              <w:rPr>
                <w:rFonts w:ascii="Arial" w:hAnsi="Arial" w:cs="Arial"/>
                <w:sz w:val="22"/>
                <w:szCs w:val="22"/>
              </w:rPr>
              <w:t xml:space="preserve">bands </w:t>
            </w:r>
            <w:r>
              <w:rPr>
                <w:rFonts w:ascii="Arial" w:hAnsi="Arial" w:cs="Arial"/>
                <w:sz w:val="22"/>
                <w:szCs w:val="22"/>
              </w:rPr>
              <w:t>(1980-2010/2170-2200 MHz</w:t>
            </w:r>
            <w:r w:rsidR="00E45F8C">
              <w:rPr>
                <w:rFonts w:ascii="Arial" w:hAnsi="Arial" w:cs="Arial"/>
                <w:sz w:val="22"/>
                <w:szCs w:val="22"/>
              </w:rPr>
              <w:t>)</w:t>
            </w:r>
            <w:r w:rsidRPr="00E0690D">
              <w:rPr>
                <w:rFonts w:ascii="Arial" w:eastAsiaTheme="minorHAnsi" w:hAnsi="Arial" w:cs="Arial"/>
                <w:sz w:val="22"/>
                <w:szCs w:val="22"/>
                <w:lang w:eastAsia="en-US"/>
              </w:rPr>
              <w:t xml:space="preserve"> </w:t>
            </w:r>
            <w:r>
              <w:rPr>
                <w:rFonts w:ascii="Arial" w:eastAsiaTheme="minorHAnsi" w:hAnsi="Arial" w:cs="Arial"/>
                <w:sz w:val="22"/>
                <w:szCs w:val="22"/>
                <w:lang w:eastAsia="en-US"/>
              </w:rPr>
              <w:t>must</w:t>
            </w:r>
            <w:r w:rsidRPr="00E0690D">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not be included in </w:t>
            </w:r>
            <w:r w:rsidRPr="00E0690D">
              <w:rPr>
                <w:rFonts w:ascii="Arial" w:eastAsiaTheme="minorHAnsi" w:hAnsi="Arial" w:cs="Arial"/>
                <w:sz w:val="22"/>
                <w:szCs w:val="22"/>
                <w:lang w:eastAsia="en-US"/>
              </w:rPr>
              <w:t>the list of bands considered by FM48</w:t>
            </w:r>
            <w:r>
              <w:rPr>
                <w:rFonts w:ascii="Arial" w:eastAsiaTheme="minorHAnsi" w:hAnsi="Arial" w:cs="Arial"/>
                <w:sz w:val="22"/>
                <w:szCs w:val="22"/>
                <w:lang w:eastAsia="en-US"/>
              </w:rPr>
              <w:t xml:space="preserve"> and SE44</w:t>
            </w:r>
            <w:r w:rsidRPr="00E0690D">
              <w:rPr>
                <w:rFonts w:ascii="Arial" w:eastAsiaTheme="minorHAnsi" w:hAnsi="Arial" w:cs="Arial"/>
                <w:sz w:val="22"/>
                <w:szCs w:val="22"/>
                <w:lang w:eastAsia="en-US"/>
              </w:rPr>
              <w:t>.</w:t>
            </w:r>
          </w:p>
        </w:tc>
      </w:tr>
      <w:tr w:rsidR="00AE264C" w14:paraId="0CD271DA" w14:textId="77777777" w:rsidTr="00321049">
        <w:tc>
          <w:tcPr>
            <w:tcW w:w="9923" w:type="dxa"/>
          </w:tcPr>
          <w:p w14:paraId="3788D1A8" w14:textId="77777777" w:rsidR="00AE264C" w:rsidRPr="00CB3476" w:rsidRDefault="00AE264C" w:rsidP="000F1530">
            <w:pPr>
              <w:pStyle w:val="berschrift3"/>
              <w:jc w:val="left"/>
              <w:rPr>
                <w:rFonts w:cs="Arial"/>
              </w:rPr>
            </w:pPr>
          </w:p>
          <w:p w14:paraId="16DFEF01" w14:textId="77777777" w:rsidR="00AE264C" w:rsidRDefault="00AE264C" w:rsidP="00321049">
            <w:pPr>
              <w:pStyle w:val="berschrift3"/>
              <w:jc w:val="left"/>
              <w:rPr>
                <w:rFonts w:cs="Arial"/>
              </w:rPr>
            </w:pPr>
            <w:r w:rsidRPr="00CB3476">
              <w:rPr>
                <w:rFonts w:cs="Arial"/>
              </w:rPr>
              <w:t>Proposal</w:t>
            </w:r>
          </w:p>
          <w:p w14:paraId="27E0AC17" w14:textId="77777777" w:rsidR="00863890" w:rsidRDefault="00863890" w:rsidP="00863890"/>
          <w:p w14:paraId="5D7FD9C6" w14:textId="5E0C7706" w:rsidR="00E034CC" w:rsidRPr="00E45F8C" w:rsidRDefault="009A522E" w:rsidP="00E45F8C">
            <w:pPr>
              <w:spacing w:after="200" w:line="276" w:lineRule="auto"/>
              <w:rPr>
                <w:rFonts w:asciiTheme="minorHAnsi" w:eastAsiaTheme="minorHAnsi" w:hAnsiTheme="minorHAnsi" w:cstheme="minorBidi"/>
                <w:sz w:val="22"/>
                <w:szCs w:val="22"/>
                <w:lang w:eastAsia="en-US"/>
              </w:rPr>
            </w:pPr>
            <w:r>
              <w:rPr>
                <w:rFonts w:ascii="Arial" w:eastAsiaTheme="minorHAnsi" w:hAnsi="Arial" w:cs="Arial"/>
                <w:sz w:val="22"/>
                <w:szCs w:val="22"/>
                <w:lang w:eastAsia="en-US"/>
              </w:rPr>
              <w:t>The</w:t>
            </w:r>
            <w:r w:rsidRPr="00E0690D">
              <w:rPr>
                <w:rFonts w:ascii="Arial" w:eastAsiaTheme="minorHAnsi" w:hAnsi="Arial" w:cs="Arial"/>
                <w:sz w:val="22"/>
                <w:szCs w:val="22"/>
                <w:lang w:eastAsia="en-US"/>
              </w:rPr>
              <w:t xml:space="preserve"> </w:t>
            </w:r>
            <w:r w:rsidRPr="00E0690D">
              <w:rPr>
                <w:rFonts w:ascii="Arial" w:hAnsi="Arial" w:cs="Arial"/>
                <w:sz w:val="22"/>
                <w:szCs w:val="22"/>
              </w:rPr>
              <w:t>2GHz MSS</w:t>
            </w:r>
            <w:r w:rsidR="00E45F8C">
              <w:rPr>
                <w:rFonts w:ascii="Arial" w:hAnsi="Arial" w:cs="Arial"/>
                <w:sz w:val="22"/>
                <w:szCs w:val="22"/>
              </w:rPr>
              <w:t xml:space="preserve"> bands (1980-2010/2170-2200 MHz)</w:t>
            </w:r>
            <w:r w:rsidRPr="00E0690D">
              <w:rPr>
                <w:rFonts w:ascii="Arial" w:eastAsiaTheme="minorHAnsi" w:hAnsi="Arial" w:cs="Arial"/>
                <w:sz w:val="22"/>
                <w:szCs w:val="22"/>
                <w:lang w:eastAsia="en-US"/>
              </w:rPr>
              <w:t xml:space="preserve"> </w:t>
            </w:r>
            <w:r>
              <w:rPr>
                <w:rFonts w:ascii="Arial" w:eastAsiaTheme="minorHAnsi" w:hAnsi="Arial" w:cs="Arial"/>
                <w:sz w:val="22"/>
                <w:szCs w:val="22"/>
                <w:lang w:eastAsia="en-US"/>
              </w:rPr>
              <w:t>must</w:t>
            </w:r>
            <w:r w:rsidRPr="00E0690D">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not be included in </w:t>
            </w:r>
            <w:r w:rsidRPr="00E0690D">
              <w:rPr>
                <w:rFonts w:ascii="Arial" w:eastAsiaTheme="minorHAnsi" w:hAnsi="Arial" w:cs="Arial"/>
                <w:sz w:val="22"/>
                <w:szCs w:val="22"/>
                <w:lang w:eastAsia="en-US"/>
              </w:rPr>
              <w:t>the list of bands considered by FM48</w:t>
            </w:r>
            <w:r>
              <w:rPr>
                <w:rFonts w:ascii="Arial" w:eastAsiaTheme="minorHAnsi" w:hAnsi="Arial" w:cs="Arial"/>
                <w:sz w:val="22"/>
                <w:szCs w:val="22"/>
                <w:lang w:eastAsia="en-US"/>
              </w:rPr>
              <w:t xml:space="preserve"> and SE44</w:t>
            </w:r>
            <w:r w:rsidRPr="00E0690D">
              <w:rPr>
                <w:rFonts w:ascii="Arial" w:eastAsiaTheme="minorHAnsi" w:hAnsi="Arial" w:cs="Arial"/>
                <w:sz w:val="22"/>
                <w:szCs w:val="22"/>
                <w:lang w:eastAsia="en-US"/>
              </w:rPr>
              <w:t>.</w:t>
            </w:r>
          </w:p>
        </w:tc>
      </w:tr>
      <w:tr w:rsidR="00AE264C" w14:paraId="62064A62" w14:textId="77777777" w:rsidTr="00321049">
        <w:tc>
          <w:tcPr>
            <w:tcW w:w="9923" w:type="dxa"/>
          </w:tcPr>
          <w:p w14:paraId="00666169" w14:textId="77777777" w:rsidR="00AE264C" w:rsidRPr="00CB3476" w:rsidRDefault="00AE264C" w:rsidP="00321049">
            <w:pPr>
              <w:rPr>
                <w:rFonts w:ascii="Arial" w:hAnsi="Arial" w:cs="Arial"/>
              </w:rPr>
            </w:pPr>
          </w:p>
          <w:p w14:paraId="72B3A8DF" w14:textId="77777777" w:rsidR="00AE264C" w:rsidRPr="00CB3476" w:rsidRDefault="00AE264C" w:rsidP="00321049">
            <w:pPr>
              <w:pStyle w:val="berschrift3"/>
              <w:jc w:val="left"/>
            </w:pPr>
            <w:r w:rsidRPr="00CB3476">
              <w:t>Background</w:t>
            </w:r>
          </w:p>
          <w:p w14:paraId="716267E6" w14:textId="77777777" w:rsidR="00AE264C" w:rsidRPr="00E0690D" w:rsidRDefault="00AE264C" w:rsidP="00321049">
            <w:pPr>
              <w:rPr>
                <w:rFonts w:ascii="Arial" w:hAnsi="Arial" w:cs="Arial"/>
                <w:sz w:val="22"/>
                <w:szCs w:val="22"/>
              </w:rPr>
            </w:pPr>
          </w:p>
          <w:p w14:paraId="52000C8B" w14:textId="77777777" w:rsidR="00E45F8C" w:rsidRDefault="003204A4" w:rsidP="00E0690D">
            <w:pPr>
              <w:jc w:val="both"/>
              <w:rPr>
                <w:rFonts w:ascii="Arial" w:hAnsi="Arial" w:cs="Arial"/>
                <w:sz w:val="22"/>
                <w:szCs w:val="22"/>
              </w:rPr>
            </w:pPr>
            <w:r>
              <w:rPr>
                <w:rFonts w:ascii="Arial" w:hAnsi="Arial" w:cs="Arial"/>
                <w:sz w:val="22"/>
                <w:szCs w:val="22"/>
              </w:rPr>
              <w:t>This document addresses</w:t>
            </w:r>
            <w:r w:rsidR="00E0690D" w:rsidRPr="00E0690D">
              <w:rPr>
                <w:rFonts w:ascii="Arial" w:hAnsi="Arial" w:cs="Arial"/>
                <w:sz w:val="22"/>
                <w:szCs w:val="22"/>
              </w:rPr>
              <w:t xml:space="preserve"> a proposal by Deutsche Telekom </w:t>
            </w:r>
            <w:r w:rsidR="009A522E">
              <w:rPr>
                <w:rFonts w:ascii="Arial" w:hAnsi="Arial" w:cs="Arial"/>
                <w:sz w:val="22"/>
                <w:szCs w:val="22"/>
              </w:rPr>
              <w:t>(</w:t>
            </w:r>
            <w:proofErr w:type="gramStart"/>
            <w:r w:rsidR="009A522E">
              <w:rPr>
                <w:rFonts w:ascii="Arial" w:hAnsi="Arial" w:cs="Arial"/>
                <w:sz w:val="22"/>
                <w:szCs w:val="22"/>
              </w:rPr>
              <w:t>FM48(</w:t>
            </w:r>
            <w:proofErr w:type="gramEnd"/>
            <w:r w:rsidR="009A522E">
              <w:rPr>
                <w:rFonts w:ascii="Arial" w:hAnsi="Arial" w:cs="Arial"/>
                <w:sz w:val="22"/>
                <w:szCs w:val="22"/>
              </w:rPr>
              <w:t xml:space="preserve">11)029) </w:t>
            </w:r>
            <w:r w:rsidR="00E0690D" w:rsidRPr="00E0690D">
              <w:rPr>
                <w:rFonts w:ascii="Arial" w:hAnsi="Arial" w:cs="Arial"/>
                <w:sz w:val="22"/>
                <w:szCs w:val="22"/>
              </w:rPr>
              <w:t>to include the 2GHz MSS (1980-2010/2170-2200 MHz) bands in the list of candidate bands for Direct Air-to-Ground Communication (DA2GC) and to request SE PT44 to perform the necessary compatibility studies.</w:t>
            </w:r>
          </w:p>
          <w:p w14:paraId="0AD90FD1" w14:textId="66EE1DAA" w:rsidR="00E0690D" w:rsidRPr="00E0690D" w:rsidRDefault="00E0690D" w:rsidP="00E0690D">
            <w:pPr>
              <w:jc w:val="both"/>
              <w:rPr>
                <w:rFonts w:ascii="Arial" w:hAnsi="Arial" w:cs="Arial"/>
                <w:sz w:val="22"/>
                <w:szCs w:val="22"/>
              </w:rPr>
            </w:pPr>
            <w:r w:rsidRPr="00E0690D">
              <w:rPr>
                <w:rFonts w:ascii="Arial" w:hAnsi="Arial" w:cs="Arial"/>
                <w:sz w:val="22"/>
                <w:szCs w:val="22"/>
              </w:rPr>
              <w:t xml:space="preserve"> </w:t>
            </w:r>
          </w:p>
          <w:p w14:paraId="44406FEF" w14:textId="2FDFA4D4" w:rsidR="00E0690D" w:rsidRPr="00E0690D" w:rsidRDefault="00E45F8C" w:rsidP="00E0690D">
            <w:pPr>
              <w:autoSpaceDE w:val="0"/>
              <w:autoSpaceDN w:val="0"/>
              <w:adjustRightInd w:val="0"/>
              <w:jc w:val="both"/>
              <w:rPr>
                <w:rFonts w:ascii="Arial" w:hAnsi="Arial" w:cs="Arial"/>
                <w:bCs/>
                <w:sz w:val="22"/>
                <w:szCs w:val="22"/>
                <w:lang w:eastAsia="en-IE"/>
              </w:rPr>
            </w:pPr>
            <w:r>
              <w:rPr>
                <w:rFonts w:ascii="Arial" w:hAnsi="Arial" w:cs="Arial"/>
                <w:sz w:val="22"/>
                <w:szCs w:val="22"/>
              </w:rPr>
              <w:t>We</w:t>
            </w:r>
            <w:r w:rsidR="00E0690D" w:rsidRPr="00E0690D">
              <w:rPr>
                <w:rFonts w:ascii="Arial" w:hAnsi="Arial" w:cs="Arial"/>
                <w:bCs/>
                <w:sz w:val="22"/>
                <w:szCs w:val="22"/>
                <w:lang w:eastAsia="en-IE"/>
              </w:rPr>
              <w:t xml:space="preserve"> believe that the 2GHz mobile satellites services (MSS) band must not be considered for use by DA2GC and that no further consideration should be given to the use of the 2GHz band for DA2GC by PT SE44. The 2GHz band has been allocated to MSS, and S</w:t>
            </w:r>
            <w:r w:rsidR="007D3F0C">
              <w:rPr>
                <w:rFonts w:ascii="Arial" w:hAnsi="Arial" w:cs="Arial"/>
                <w:bCs/>
                <w:sz w:val="22"/>
                <w:szCs w:val="22"/>
                <w:lang w:eastAsia="en-IE"/>
              </w:rPr>
              <w:t xml:space="preserve">olaris </w:t>
            </w:r>
            <w:r w:rsidR="00E0690D" w:rsidRPr="00E0690D">
              <w:rPr>
                <w:rFonts w:ascii="Arial" w:hAnsi="Arial" w:cs="Arial"/>
                <w:bCs/>
                <w:sz w:val="22"/>
                <w:szCs w:val="22"/>
                <w:lang w:eastAsia="en-IE"/>
              </w:rPr>
              <w:t>M</w:t>
            </w:r>
            <w:r w:rsidR="007D3F0C">
              <w:rPr>
                <w:rFonts w:ascii="Arial" w:hAnsi="Arial" w:cs="Arial"/>
                <w:bCs/>
                <w:sz w:val="22"/>
                <w:szCs w:val="22"/>
                <w:lang w:eastAsia="en-IE"/>
              </w:rPr>
              <w:t xml:space="preserve">obile </w:t>
            </w:r>
            <w:r w:rsidR="00E0690D" w:rsidRPr="00E0690D">
              <w:rPr>
                <w:rFonts w:ascii="Arial" w:hAnsi="Arial" w:cs="Arial"/>
                <w:bCs/>
                <w:sz w:val="22"/>
                <w:szCs w:val="22"/>
                <w:lang w:eastAsia="en-IE"/>
              </w:rPr>
              <w:t>L</w:t>
            </w:r>
            <w:r w:rsidR="007D3F0C">
              <w:rPr>
                <w:rFonts w:ascii="Arial" w:hAnsi="Arial" w:cs="Arial"/>
                <w:bCs/>
                <w:sz w:val="22"/>
                <w:szCs w:val="22"/>
                <w:lang w:eastAsia="en-IE"/>
              </w:rPr>
              <w:t>imited (SML)</w:t>
            </w:r>
            <w:r w:rsidR="00E0690D" w:rsidRPr="00E0690D">
              <w:rPr>
                <w:rFonts w:ascii="Arial" w:hAnsi="Arial" w:cs="Arial"/>
                <w:bCs/>
                <w:sz w:val="22"/>
                <w:szCs w:val="22"/>
                <w:lang w:eastAsia="en-IE"/>
              </w:rPr>
              <w:t xml:space="preserve"> and Inmarsat Ventures Limited (INM) have been selected by the European Commission to use it in Europe.</w:t>
            </w:r>
          </w:p>
          <w:p w14:paraId="771307B3" w14:textId="77777777" w:rsidR="00E0690D" w:rsidRPr="00E0690D" w:rsidRDefault="00E0690D" w:rsidP="00E0690D">
            <w:pPr>
              <w:autoSpaceDE w:val="0"/>
              <w:autoSpaceDN w:val="0"/>
              <w:adjustRightInd w:val="0"/>
              <w:jc w:val="both"/>
              <w:rPr>
                <w:rFonts w:ascii="Arial" w:hAnsi="Arial" w:cs="Arial"/>
                <w:bCs/>
                <w:sz w:val="22"/>
                <w:szCs w:val="22"/>
                <w:lang w:eastAsia="en-IE"/>
              </w:rPr>
            </w:pPr>
          </w:p>
          <w:p w14:paraId="301B631A" w14:textId="77777777" w:rsidR="00E0690D" w:rsidRDefault="00E0690D" w:rsidP="00E0690D">
            <w:pPr>
              <w:jc w:val="both"/>
              <w:rPr>
                <w:rFonts w:ascii="Arial" w:hAnsi="Arial" w:cs="Arial"/>
                <w:sz w:val="22"/>
                <w:szCs w:val="22"/>
              </w:rPr>
            </w:pPr>
            <w:r w:rsidRPr="00E0690D">
              <w:rPr>
                <w:rFonts w:ascii="Arial" w:hAnsi="Arial" w:cs="Arial"/>
                <w:sz w:val="22"/>
                <w:szCs w:val="22"/>
              </w:rPr>
              <w:t>SML and INM are authorised to use the 2GHz MSS spectrum band pursuant to Commission Decision 2009/449/EC of 13 May 2009 (Selection Decision), after a selection and authorisation process established by Decision 626/2008/EC of the European Parliament and of the Council of 30 June 2008 (ESAP Decision). The 2GHz frequency band was allocated to MSS in accordance with Commission Decision 2007/98/EC (Frequency Decision).</w:t>
            </w:r>
          </w:p>
          <w:p w14:paraId="30B17398" w14:textId="77777777" w:rsidR="00E45F8C" w:rsidRPr="00E0690D" w:rsidRDefault="00E45F8C" w:rsidP="00E0690D">
            <w:pPr>
              <w:jc w:val="both"/>
              <w:rPr>
                <w:rFonts w:ascii="Arial" w:hAnsi="Arial" w:cs="Arial"/>
                <w:sz w:val="22"/>
                <w:szCs w:val="22"/>
              </w:rPr>
            </w:pPr>
          </w:p>
          <w:p w14:paraId="25B5A6B4" w14:textId="77777777" w:rsidR="00E0690D" w:rsidRDefault="00E0690D" w:rsidP="00E0690D">
            <w:pPr>
              <w:jc w:val="both"/>
              <w:rPr>
                <w:rFonts w:ascii="Arial" w:hAnsi="Arial" w:cs="Arial"/>
                <w:sz w:val="22"/>
                <w:szCs w:val="22"/>
              </w:rPr>
            </w:pPr>
            <w:r w:rsidRPr="00E0690D">
              <w:rPr>
                <w:rFonts w:ascii="Arial" w:hAnsi="Arial" w:cs="Arial"/>
                <w:sz w:val="22"/>
                <w:szCs w:val="22"/>
              </w:rPr>
              <w:t xml:space="preserve">The authorisation for each operator is valid for a period of 18 years, until 12 May 2027, subject to the operators fulfilling various conditions at European and national level. </w:t>
            </w:r>
          </w:p>
          <w:p w14:paraId="598C379F" w14:textId="77777777" w:rsidR="006B1CA3" w:rsidRPr="00E0690D" w:rsidRDefault="006B1CA3" w:rsidP="00E0690D">
            <w:pPr>
              <w:jc w:val="both"/>
              <w:rPr>
                <w:rFonts w:ascii="Arial" w:hAnsi="Arial" w:cs="Arial"/>
                <w:sz w:val="22"/>
                <w:szCs w:val="22"/>
              </w:rPr>
            </w:pPr>
          </w:p>
          <w:p w14:paraId="6D5587EE" w14:textId="75A0F8AB" w:rsidR="00E0690D" w:rsidRPr="00E0690D" w:rsidRDefault="006B1CA3" w:rsidP="00E0690D">
            <w:pPr>
              <w:autoSpaceDE w:val="0"/>
              <w:autoSpaceDN w:val="0"/>
              <w:adjustRightInd w:val="0"/>
              <w:jc w:val="both"/>
              <w:rPr>
                <w:rFonts w:ascii="Arial" w:hAnsi="Arial" w:cs="Arial"/>
                <w:bCs/>
                <w:sz w:val="22"/>
                <w:szCs w:val="22"/>
                <w:lang w:eastAsia="en-IE"/>
              </w:rPr>
            </w:pPr>
            <w:r>
              <w:rPr>
                <w:rFonts w:ascii="Arial" w:hAnsi="Arial" w:cs="Arial"/>
                <w:bCs/>
                <w:sz w:val="22"/>
                <w:szCs w:val="22"/>
                <w:lang w:eastAsia="en-IE"/>
              </w:rPr>
              <w:t>S</w:t>
            </w:r>
            <w:r w:rsidRPr="00E0690D">
              <w:rPr>
                <w:rFonts w:ascii="Arial" w:hAnsi="Arial" w:cs="Arial"/>
                <w:bCs/>
                <w:sz w:val="22"/>
                <w:szCs w:val="22"/>
                <w:lang w:eastAsia="en-IE"/>
              </w:rPr>
              <w:t>ince being selected by the Commission</w:t>
            </w:r>
            <w:r>
              <w:rPr>
                <w:rFonts w:ascii="Arial" w:hAnsi="Arial" w:cs="Arial"/>
                <w:bCs/>
                <w:sz w:val="22"/>
                <w:szCs w:val="22"/>
                <w:lang w:eastAsia="en-IE"/>
              </w:rPr>
              <w:t xml:space="preserve"> SML is using </w:t>
            </w:r>
            <w:r w:rsidR="00E0690D" w:rsidRPr="00E0690D">
              <w:rPr>
                <w:rFonts w:ascii="Arial" w:hAnsi="Arial" w:cs="Arial"/>
                <w:bCs/>
                <w:sz w:val="22"/>
                <w:szCs w:val="22"/>
                <w:lang w:eastAsia="en-IE"/>
              </w:rPr>
              <w:t>th</w:t>
            </w:r>
            <w:r>
              <w:rPr>
                <w:rFonts w:ascii="Arial" w:hAnsi="Arial" w:cs="Arial"/>
                <w:bCs/>
                <w:sz w:val="22"/>
                <w:szCs w:val="22"/>
                <w:lang w:eastAsia="en-IE"/>
              </w:rPr>
              <w:t>e</w:t>
            </w:r>
            <w:r w:rsidR="00E0690D" w:rsidRPr="00E0690D">
              <w:rPr>
                <w:rFonts w:ascii="Arial" w:hAnsi="Arial" w:cs="Arial"/>
                <w:bCs/>
                <w:sz w:val="22"/>
                <w:szCs w:val="22"/>
                <w:lang w:eastAsia="en-IE"/>
              </w:rPr>
              <w:t xml:space="preserve"> portion of the spectrum assigned to </w:t>
            </w:r>
            <w:r>
              <w:rPr>
                <w:rFonts w:ascii="Arial" w:hAnsi="Arial" w:cs="Arial"/>
                <w:bCs/>
                <w:sz w:val="22"/>
                <w:szCs w:val="22"/>
                <w:lang w:eastAsia="en-IE"/>
              </w:rPr>
              <w:t xml:space="preserve">it </w:t>
            </w:r>
            <w:r w:rsidR="00E0690D" w:rsidRPr="00E0690D">
              <w:rPr>
                <w:rFonts w:ascii="Arial" w:hAnsi="Arial" w:cs="Arial"/>
                <w:bCs/>
                <w:sz w:val="22"/>
                <w:szCs w:val="22"/>
                <w:lang w:eastAsia="en-IE"/>
              </w:rPr>
              <w:t>– 1995-2010MHz and 2185-2200MHz – for the delivery of commercial mobile satellite services, and continue</w:t>
            </w:r>
            <w:r>
              <w:rPr>
                <w:rFonts w:ascii="Arial" w:hAnsi="Arial" w:cs="Arial"/>
                <w:bCs/>
                <w:sz w:val="22"/>
                <w:szCs w:val="22"/>
                <w:lang w:eastAsia="en-IE"/>
              </w:rPr>
              <w:t>s</w:t>
            </w:r>
            <w:r w:rsidR="00E0690D" w:rsidRPr="00E0690D">
              <w:rPr>
                <w:rFonts w:ascii="Arial" w:hAnsi="Arial" w:cs="Arial"/>
                <w:bCs/>
                <w:sz w:val="22"/>
                <w:szCs w:val="22"/>
                <w:lang w:eastAsia="en-IE"/>
              </w:rPr>
              <w:t xml:space="preserve"> </w:t>
            </w:r>
            <w:r w:rsidR="00581055">
              <w:rPr>
                <w:rFonts w:ascii="Arial" w:hAnsi="Arial" w:cs="Arial"/>
                <w:bCs/>
                <w:sz w:val="22"/>
                <w:szCs w:val="22"/>
                <w:lang w:eastAsia="en-IE"/>
              </w:rPr>
              <w:t>to</w:t>
            </w:r>
            <w:r w:rsidR="007D3F0C">
              <w:rPr>
                <w:rFonts w:ascii="Arial" w:hAnsi="Arial" w:cs="Arial"/>
                <w:bCs/>
                <w:sz w:val="22"/>
                <w:szCs w:val="22"/>
                <w:lang w:eastAsia="en-IE"/>
              </w:rPr>
              <w:t xml:space="preserve"> </w:t>
            </w:r>
            <w:r>
              <w:rPr>
                <w:rFonts w:ascii="Arial" w:hAnsi="Arial" w:cs="Arial"/>
                <w:bCs/>
                <w:sz w:val="22"/>
                <w:szCs w:val="22"/>
                <w:lang w:eastAsia="en-IE"/>
              </w:rPr>
              <w:t xml:space="preserve">employ the spectrum </w:t>
            </w:r>
            <w:r w:rsidR="00E0690D" w:rsidRPr="00E0690D">
              <w:rPr>
                <w:rFonts w:ascii="Arial" w:hAnsi="Arial" w:cs="Arial"/>
                <w:bCs/>
                <w:sz w:val="22"/>
                <w:szCs w:val="22"/>
                <w:lang w:eastAsia="en-IE"/>
              </w:rPr>
              <w:t>in accordance with the terms of the Selection Decision, the ESAP Decision and the Frequency Decision.</w:t>
            </w:r>
            <w:r w:rsidR="00FF5400">
              <w:rPr>
                <w:rFonts w:ascii="Arial" w:hAnsi="Arial" w:cs="Arial"/>
                <w:bCs/>
                <w:sz w:val="22"/>
                <w:szCs w:val="22"/>
                <w:lang w:eastAsia="en-IE"/>
              </w:rPr>
              <w:t xml:space="preserve"> National authorisations for provision of MSS have also been granted to Solaris Mobile Limited i</w:t>
            </w:r>
            <w:r w:rsidR="002C36AB">
              <w:rPr>
                <w:rFonts w:ascii="Arial" w:hAnsi="Arial" w:cs="Arial"/>
                <w:bCs/>
                <w:sz w:val="22"/>
                <w:szCs w:val="22"/>
                <w:lang w:eastAsia="en-IE"/>
              </w:rPr>
              <w:t xml:space="preserve">n </w:t>
            </w:r>
            <w:r w:rsidR="00EB1284">
              <w:rPr>
                <w:rFonts w:ascii="Arial" w:hAnsi="Arial" w:cs="Arial"/>
                <w:bCs/>
                <w:sz w:val="22"/>
                <w:szCs w:val="22"/>
                <w:lang w:eastAsia="en-IE"/>
              </w:rPr>
              <w:t>a number of</w:t>
            </w:r>
            <w:r w:rsidR="002C36AB">
              <w:rPr>
                <w:rFonts w:ascii="Arial" w:hAnsi="Arial" w:cs="Arial"/>
                <w:bCs/>
                <w:sz w:val="22"/>
                <w:szCs w:val="22"/>
                <w:lang w:eastAsia="en-IE"/>
              </w:rPr>
              <w:t xml:space="preserve"> </w:t>
            </w:r>
            <w:r w:rsidR="00FF5400">
              <w:rPr>
                <w:rFonts w:ascii="Arial" w:hAnsi="Arial" w:cs="Arial"/>
                <w:bCs/>
                <w:sz w:val="22"/>
                <w:szCs w:val="22"/>
                <w:lang w:eastAsia="en-IE"/>
              </w:rPr>
              <w:t>CEPT countries</w:t>
            </w:r>
            <w:r w:rsidR="00EB1284">
              <w:rPr>
                <w:rFonts w:ascii="Arial" w:hAnsi="Arial" w:cs="Arial"/>
                <w:bCs/>
                <w:sz w:val="22"/>
                <w:szCs w:val="22"/>
                <w:lang w:eastAsia="en-IE"/>
              </w:rPr>
              <w:t>.</w:t>
            </w:r>
          </w:p>
          <w:p w14:paraId="7FD4683D" w14:textId="081DADCB" w:rsidR="006B1CA3" w:rsidRDefault="00E0690D" w:rsidP="00E0690D">
            <w:pPr>
              <w:autoSpaceDE w:val="0"/>
              <w:autoSpaceDN w:val="0"/>
              <w:adjustRightInd w:val="0"/>
              <w:jc w:val="both"/>
              <w:rPr>
                <w:rFonts w:ascii="Arial" w:hAnsi="Arial" w:cs="Arial"/>
                <w:bCs/>
                <w:sz w:val="22"/>
                <w:szCs w:val="22"/>
                <w:lang w:eastAsia="en-IE"/>
              </w:rPr>
            </w:pPr>
            <w:r w:rsidRPr="00E0690D">
              <w:rPr>
                <w:rFonts w:ascii="Arial" w:hAnsi="Arial" w:cs="Arial"/>
                <w:bCs/>
                <w:sz w:val="22"/>
                <w:szCs w:val="22"/>
                <w:lang w:eastAsia="en-IE"/>
              </w:rPr>
              <w:t>Given the presence of existing services in the band and</w:t>
            </w:r>
            <w:r w:rsidR="006B1CA3">
              <w:rPr>
                <w:rFonts w:ascii="Arial" w:hAnsi="Arial" w:cs="Arial"/>
                <w:bCs/>
                <w:sz w:val="22"/>
                <w:szCs w:val="22"/>
                <w:lang w:eastAsia="en-IE"/>
              </w:rPr>
              <w:t xml:space="preserve"> the fact</w:t>
            </w:r>
            <w:r w:rsidRPr="00E0690D">
              <w:rPr>
                <w:rFonts w:ascii="Arial" w:hAnsi="Arial" w:cs="Arial"/>
                <w:bCs/>
                <w:sz w:val="22"/>
                <w:szCs w:val="22"/>
                <w:lang w:eastAsia="en-IE"/>
              </w:rPr>
              <w:t xml:space="preserve"> that the use of this spectrum is subject to a number of existing European Decisions, CEPT Decisions ECC/DEC/2006(09) and ECCDEC/2006(10), </w:t>
            </w:r>
            <w:r w:rsidR="0014362F">
              <w:rPr>
                <w:rFonts w:ascii="Arial" w:hAnsi="Arial" w:cs="Arial"/>
                <w:bCs/>
                <w:sz w:val="22"/>
                <w:szCs w:val="22"/>
                <w:lang w:eastAsia="en-IE"/>
              </w:rPr>
              <w:t xml:space="preserve">and national authorisations, </w:t>
            </w:r>
            <w:r w:rsidRPr="00E0690D">
              <w:rPr>
                <w:rFonts w:ascii="Arial" w:hAnsi="Arial" w:cs="Arial"/>
                <w:bCs/>
                <w:sz w:val="22"/>
                <w:szCs w:val="22"/>
                <w:lang w:eastAsia="en-IE"/>
              </w:rPr>
              <w:t xml:space="preserve">it must not be considered for use by direct air-to-ground communications.  </w:t>
            </w:r>
          </w:p>
          <w:p w14:paraId="68F6828B" w14:textId="77777777" w:rsidR="00E0690D" w:rsidRPr="00E0690D" w:rsidRDefault="00E0690D" w:rsidP="00E0690D">
            <w:pPr>
              <w:autoSpaceDE w:val="0"/>
              <w:autoSpaceDN w:val="0"/>
              <w:adjustRightInd w:val="0"/>
              <w:jc w:val="both"/>
              <w:rPr>
                <w:rFonts w:ascii="Arial" w:hAnsi="Arial" w:cs="Arial"/>
                <w:bCs/>
                <w:sz w:val="22"/>
                <w:szCs w:val="22"/>
                <w:lang w:eastAsia="en-IE"/>
              </w:rPr>
            </w:pPr>
          </w:p>
          <w:p w14:paraId="53FAF60C" w14:textId="77777777" w:rsidR="00863890" w:rsidRPr="00E0690D" w:rsidRDefault="00863890" w:rsidP="00863890">
            <w:pPr>
              <w:spacing w:after="200" w:line="276" w:lineRule="auto"/>
              <w:rPr>
                <w:rFonts w:ascii="Arial" w:eastAsiaTheme="minorHAnsi" w:hAnsi="Arial" w:cs="Arial"/>
                <w:sz w:val="22"/>
                <w:szCs w:val="22"/>
                <w:u w:val="single"/>
                <w:lang w:eastAsia="en-US"/>
              </w:rPr>
            </w:pPr>
            <w:r w:rsidRPr="00E0690D">
              <w:rPr>
                <w:rFonts w:ascii="Arial" w:eastAsiaTheme="minorHAnsi" w:hAnsi="Arial" w:cs="Arial"/>
                <w:sz w:val="22"/>
                <w:szCs w:val="22"/>
                <w:u w:val="single"/>
                <w:lang w:eastAsia="en-US"/>
              </w:rPr>
              <w:t>Conclusion</w:t>
            </w:r>
          </w:p>
          <w:p w14:paraId="5DDC2863" w14:textId="6F9C6646" w:rsidR="00863890" w:rsidRPr="00E45F8C" w:rsidRDefault="003204A4" w:rsidP="00E45F8C">
            <w:pPr>
              <w:spacing w:after="200" w:line="276" w:lineRule="auto"/>
              <w:rPr>
                <w:rFonts w:asciiTheme="minorHAnsi" w:eastAsiaTheme="minorHAnsi" w:hAnsiTheme="minorHAnsi" w:cstheme="minorBidi"/>
                <w:sz w:val="22"/>
                <w:szCs w:val="22"/>
                <w:lang w:eastAsia="en-US"/>
              </w:rPr>
            </w:pPr>
            <w:bookmarkStart w:id="1" w:name="OLE_LINK1"/>
            <w:bookmarkStart w:id="2" w:name="OLE_LINK2"/>
            <w:r>
              <w:rPr>
                <w:rFonts w:ascii="Arial" w:eastAsiaTheme="minorHAnsi" w:hAnsi="Arial" w:cs="Arial"/>
                <w:sz w:val="22"/>
                <w:szCs w:val="22"/>
                <w:lang w:eastAsia="en-US"/>
              </w:rPr>
              <w:t>The</w:t>
            </w:r>
            <w:r w:rsidR="00863890" w:rsidRPr="00E0690D">
              <w:rPr>
                <w:rFonts w:ascii="Arial" w:eastAsiaTheme="minorHAnsi" w:hAnsi="Arial" w:cs="Arial"/>
                <w:sz w:val="22"/>
                <w:szCs w:val="22"/>
                <w:lang w:eastAsia="en-US"/>
              </w:rPr>
              <w:t xml:space="preserve"> </w:t>
            </w:r>
            <w:r w:rsidRPr="00E0690D">
              <w:rPr>
                <w:rFonts w:ascii="Arial" w:hAnsi="Arial" w:cs="Arial"/>
                <w:sz w:val="22"/>
                <w:szCs w:val="22"/>
              </w:rPr>
              <w:t>2GHz MSS</w:t>
            </w:r>
            <w:r>
              <w:rPr>
                <w:rFonts w:ascii="Arial" w:hAnsi="Arial" w:cs="Arial"/>
                <w:sz w:val="22"/>
                <w:szCs w:val="22"/>
              </w:rPr>
              <w:t xml:space="preserve"> </w:t>
            </w:r>
            <w:r w:rsidR="00E45F8C">
              <w:rPr>
                <w:rFonts w:ascii="Arial" w:hAnsi="Arial" w:cs="Arial"/>
                <w:sz w:val="22"/>
                <w:szCs w:val="22"/>
              </w:rPr>
              <w:t xml:space="preserve">bands </w:t>
            </w:r>
            <w:r>
              <w:rPr>
                <w:rFonts w:ascii="Arial" w:hAnsi="Arial" w:cs="Arial"/>
                <w:sz w:val="22"/>
                <w:szCs w:val="22"/>
              </w:rPr>
              <w:t xml:space="preserve">(1980-2010/2170-2200 MHz) </w:t>
            </w:r>
            <w:r>
              <w:rPr>
                <w:rFonts w:ascii="Arial" w:eastAsiaTheme="minorHAnsi" w:hAnsi="Arial" w:cs="Arial"/>
                <w:sz w:val="22"/>
                <w:szCs w:val="22"/>
                <w:lang w:eastAsia="en-US"/>
              </w:rPr>
              <w:t>must</w:t>
            </w:r>
            <w:r w:rsidR="00863890" w:rsidRPr="00E0690D">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not be included in </w:t>
            </w:r>
            <w:r w:rsidR="00863890" w:rsidRPr="00E0690D">
              <w:rPr>
                <w:rFonts w:ascii="Arial" w:eastAsiaTheme="minorHAnsi" w:hAnsi="Arial" w:cs="Arial"/>
                <w:sz w:val="22"/>
                <w:szCs w:val="22"/>
                <w:lang w:eastAsia="en-US"/>
              </w:rPr>
              <w:t>the list of bands considered by FM48</w:t>
            </w:r>
            <w:r>
              <w:rPr>
                <w:rFonts w:ascii="Arial" w:eastAsiaTheme="minorHAnsi" w:hAnsi="Arial" w:cs="Arial"/>
                <w:sz w:val="22"/>
                <w:szCs w:val="22"/>
                <w:lang w:eastAsia="en-US"/>
              </w:rPr>
              <w:t xml:space="preserve"> and SE44</w:t>
            </w:r>
            <w:r w:rsidR="00863890" w:rsidRPr="00E0690D">
              <w:rPr>
                <w:rFonts w:ascii="Arial" w:eastAsiaTheme="minorHAnsi" w:hAnsi="Arial" w:cs="Arial"/>
                <w:sz w:val="22"/>
                <w:szCs w:val="22"/>
                <w:lang w:eastAsia="en-US"/>
              </w:rPr>
              <w:t>.</w:t>
            </w:r>
            <w:bookmarkEnd w:id="1"/>
            <w:bookmarkEnd w:id="2"/>
          </w:p>
        </w:tc>
      </w:tr>
    </w:tbl>
    <w:p w14:paraId="26608B70" w14:textId="77777777" w:rsidR="00AE264C" w:rsidRDefault="00AE264C">
      <w:pPr>
        <w:ind w:left="-540" w:right="-852"/>
      </w:pPr>
    </w:p>
    <w:p w14:paraId="60D20880" w14:textId="77777777" w:rsidR="00AE264C" w:rsidRDefault="00AE264C">
      <w:pPr>
        <w:ind w:left="-540" w:right="-852"/>
      </w:pPr>
    </w:p>
    <w:sectPr w:rsidR="00AE264C" w:rsidSect="00582118">
      <w:footerReference w:type="first" r:id="rId9"/>
      <w:pgSz w:w="11906" w:h="16838"/>
      <w:pgMar w:top="851" w:right="1797" w:bottom="851"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72F46" w14:textId="77777777" w:rsidR="00064954" w:rsidRDefault="00064954">
      <w:r>
        <w:separator/>
      </w:r>
    </w:p>
  </w:endnote>
  <w:endnote w:type="continuationSeparator" w:id="0">
    <w:p w14:paraId="59774C5D" w14:textId="77777777" w:rsidR="00064954" w:rsidRDefault="0006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020DB" w14:textId="77777777" w:rsidR="003204A4" w:rsidRDefault="003204A4">
    <w:pPr>
      <w:pStyle w:val="Fuzeile"/>
    </w:pPr>
    <w:r>
      <w:t>* ECC policy is that in general all documents should be publicly available unless the author of the document requires that it be restricted to ECC family participants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E82BE" w14:textId="77777777" w:rsidR="00064954" w:rsidRDefault="00064954">
      <w:r>
        <w:separator/>
      </w:r>
    </w:p>
  </w:footnote>
  <w:footnote w:type="continuationSeparator" w:id="0">
    <w:p w14:paraId="40BBC4B7" w14:textId="77777777" w:rsidR="00064954" w:rsidRDefault="00064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28"/>
    <w:rsid w:val="00011374"/>
    <w:rsid w:val="0003633D"/>
    <w:rsid w:val="00061345"/>
    <w:rsid w:val="00064954"/>
    <w:rsid w:val="00065DDE"/>
    <w:rsid w:val="000818BB"/>
    <w:rsid w:val="000F1530"/>
    <w:rsid w:val="0014362F"/>
    <w:rsid w:val="00150EEE"/>
    <w:rsid w:val="001C1F0D"/>
    <w:rsid w:val="00201077"/>
    <w:rsid w:val="002055CD"/>
    <w:rsid w:val="002115A8"/>
    <w:rsid w:val="002549A2"/>
    <w:rsid w:val="002C36AB"/>
    <w:rsid w:val="00317836"/>
    <w:rsid w:val="003204A4"/>
    <w:rsid w:val="00321049"/>
    <w:rsid w:val="00340BF6"/>
    <w:rsid w:val="00352BBC"/>
    <w:rsid w:val="003871E1"/>
    <w:rsid w:val="003B364F"/>
    <w:rsid w:val="003E7A05"/>
    <w:rsid w:val="003F208B"/>
    <w:rsid w:val="003F697B"/>
    <w:rsid w:val="004A341D"/>
    <w:rsid w:val="004C43DC"/>
    <w:rsid w:val="004D75B7"/>
    <w:rsid w:val="004F4BE7"/>
    <w:rsid w:val="005131B2"/>
    <w:rsid w:val="005413C2"/>
    <w:rsid w:val="00553188"/>
    <w:rsid w:val="00581055"/>
    <w:rsid w:val="00582118"/>
    <w:rsid w:val="005F3AB2"/>
    <w:rsid w:val="00620FE1"/>
    <w:rsid w:val="00623503"/>
    <w:rsid w:val="00635A14"/>
    <w:rsid w:val="00677130"/>
    <w:rsid w:val="006778AE"/>
    <w:rsid w:val="006B1CA3"/>
    <w:rsid w:val="006C5AE8"/>
    <w:rsid w:val="006F1A84"/>
    <w:rsid w:val="006F1BC8"/>
    <w:rsid w:val="00706A2A"/>
    <w:rsid w:val="00744E0F"/>
    <w:rsid w:val="00745228"/>
    <w:rsid w:val="00767422"/>
    <w:rsid w:val="007D3F0C"/>
    <w:rsid w:val="007E151D"/>
    <w:rsid w:val="008032A1"/>
    <w:rsid w:val="0085336B"/>
    <w:rsid w:val="00863890"/>
    <w:rsid w:val="00881527"/>
    <w:rsid w:val="00905096"/>
    <w:rsid w:val="0092472D"/>
    <w:rsid w:val="009263F1"/>
    <w:rsid w:val="00963D8D"/>
    <w:rsid w:val="009A0FAE"/>
    <w:rsid w:val="009A522E"/>
    <w:rsid w:val="00A3369E"/>
    <w:rsid w:val="00A73F12"/>
    <w:rsid w:val="00AC25FE"/>
    <w:rsid w:val="00AE264C"/>
    <w:rsid w:val="00AF46BF"/>
    <w:rsid w:val="00CB3476"/>
    <w:rsid w:val="00D25E41"/>
    <w:rsid w:val="00D44D39"/>
    <w:rsid w:val="00D6079C"/>
    <w:rsid w:val="00D81BE2"/>
    <w:rsid w:val="00D90C62"/>
    <w:rsid w:val="00DA2D19"/>
    <w:rsid w:val="00DD1AB9"/>
    <w:rsid w:val="00DE78C4"/>
    <w:rsid w:val="00DF6807"/>
    <w:rsid w:val="00E034CC"/>
    <w:rsid w:val="00E0690D"/>
    <w:rsid w:val="00E13E53"/>
    <w:rsid w:val="00E33F2A"/>
    <w:rsid w:val="00E45F8C"/>
    <w:rsid w:val="00EB1284"/>
    <w:rsid w:val="00EF6B28"/>
    <w:rsid w:val="00F26785"/>
    <w:rsid w:val="00F42067"/>
    <w:rsid w:val="00F52826"/>
    <w:rsid w:val="00F75D27"/>
    <w:rsid w:val="00F83651"/>
    <w:rsid w:val="00FA535A"/>
    <w:rsid w:val="00FA6FB2"/>
    <w:rsid w:val="00FF540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1F0D"/>
    <w:rPr>
      <w:lang w:eastAsia="de-DE"/>
    </w:rPr>
  </w:style>
  <w:style w:type="paragraph" w:styleId="berschrift3">
    <w:name w:val="heading 3"/>
    <w:basedOn w:val="Standard"/>
    <w:next w:val="Standard"/>
    <w:qFormat/>
    <w:rsid w:val="001C1F0D"/>
    <w:pPr>
      <w:keepNext/>
      <w:jc w:val="right"/>
      <w:outlineLvl w:val="2"/>
    </w:pPr>
    <w:rPr>
      <w:rFonts w:ascii="Arial" w:hAnsi="Arial"/>
      <w:b/>
      <w:sz w:val="24"/>
    </w:rPr>
  </w:style>
  <w:style w:type="paragraph" w:styleId="berschrift4">
    <w:name w:val="heading 4"/>
    <w:basedOn w:val="Standard"/>
    <w:next w:val="Standard"/>
    <w:qFormat/>
    <w:rsid w:val="001C1F0D"/>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1C1F0D"/>
  </w:style>
  <w:style w:type="paragraph" w:styleId="Kopfzeile">
    <w:name w:val="header"/>
    <w:basedOn w:val="Standard"/>
    <w:rsid w:val="001C1F0D"/>
    <w:pPr>
      <w:tabs>
        <w:tab w:val="center" w:pos="4320"/>
        <w:tab w:val="right" w:pos="8640"/>
      </w:tabs>
    </w:pPr>
    <w:rPr>
      <w:lang w:val="en-US" w:eastAsia="en-GB"/>
    </w:rPr>
  </w:style>
  <w:style w:type="paragraph" w:styleId="Fuzeile">
    <w:name w:val="footer"/>
    <w:basedOn w:val="Standard"/>
    <w:link w:val="FuzeileZchn"/>
    <w:uiPriority w:val="99"/>
    <w:rsid w:val="001C1F0D"/>
    <w:pPr>
      <w:tabs>
        <w:tab w:val="center" w:pos="4153"/>
        <w:tab w:val="right" w:pos="8306"/>
      </w:tabs>
    </w:pPr>
  </w:style>
  <w:style w:type="paragraph" w:customStyle="1" w:styleId="CharChar">
    <w:name w:val="Char Char"/>
    <w:basedOn w:val="Standard"/>
    <w:rsid w:val="001C1F0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semiHidden/>
    <w:rsid w:val="001C1F0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basedOn w:val="Absatz-Standardschriftart"/>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cs="Tahoma"/>
      <w:sz w:val="16"/>
      <w:szCs w:val="16"/>
    </w:rPr>
  </w:style>
  <w:style w:type="character" w:customStyle="1" w:styleId="SprechblasentextZchn">
    <w:name w:val="Sprechblasentext Zchn"/>
    <w:basedOn w:val="Absatz-Standardschriftart"/>
    <w:link w:val="Sprechblasentext"/>
    <w:rsid w:val="00582118"/>
    <w:rPr>
      <w:rFonts w:ascii="Tahoma" w:hAnsi="Tahoma" w:cs="Tahoma"/>
      <w:sz w:val="16"/>
      <w:szCs w:val="16"/>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1F0D"/>
    <w:rPr>
      <w:lang w:eastAsia="de-DE"/>
    </w:rPr>
  </w:style>
  <w:style w:type="paragraph" w:styleId="berschrift3">
    <w:name w:val="heading 3"/>
    <w:basedOn w:val="Standard"/>
    <w:next w:val="Standard"/>
    <w:qFormat/>
    <w:rsid w:val="001C1F0D"/>
    <w:pPr>
      <w:keepNext/>
      <w:jc w:val="right"/>
      <w:outlineLvl w:val="2"/>
    </w:pPr>
    <w:rPr>
      <w:rFonts w:ascii="Arial" w:hAnsi="Arial"/>
      <w:b/>
      <w:sz w:val="24"/>
    </w:rPr>
  </w:style>
  <w:style w:type="paragraph" w:styleId="berschrift4">
    <w:name w:val="heading 4"/>
    <w:basedOn w:val="Standard"/>
    <w:next w:val="Standard"/>
    <w:qFormat/>
    <w:rsid w:val="001C1F0D"/>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1C1F0D"/>
  </w:style>
  <w:style w:type="paragraph" w:styleId="Kopfzeile">
    <w:name w:val="header"/>
    <w:basedOn w:val="Standard"/>
    <w:rsid w:val="001C1F0D"/>
    <w:pPr>
      <w:tabs>
        <w:tab w:val="center" w:pos="4320"/>
        <w:tab w:val="right" w:pos="8640"/>
      </w:tabs>
    </w:pPr>
    <w:rPr>
      <w:lang w:val="en-US" w:eastAsia="en-GB"/>
    </w:rPr>
  </w:style>
  <w:style w:type="paragraph" w:styleId="Fuzeile">
    <w:name w:val="footer"/>
    <w:basedOn w:val="Standard"/>
    <w:link w:val="FuzeileZchn"/>
    <w:uiPriority w:val="99"/>
    <w:rsid w:val="001C1F0D"/>
    <w:pPr>
      <w:tabs>
        <w:tab w:val="center" w:pos="4153"/>
        <w:tab w:val="right" w:pos="8306"/>
      </w:tabs>
    </w:pPr>
  </w:style>
  <w:style w:type="paragraph" w:customStyle="1" w:styleId="CharChar">
    <w:name w:val="Char Char"/>
    <w:basedOn w:val="Standard"/>
    <w:rsid w:val="001C1F0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semiHidden/>
    <w:rsid w:val="001C1F0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basedOn w:val="Absatz-Standardschriftart"/>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cs="Tahoma"/>
      <w:sz w:val="16"/>
      <w:szCs w:val="16"/>
    </w:rPr>
  </w:style>
  <w:style w:type="character" w:customStyle="1" w:styleId="SprechblasentextZchn">
    <w:name w:val="Sprechblasentext Zchn"/>
    <w:basedOn w:val="Absatz-Standardschriftart"/>
    <w:link w:val="Sprechblasentext"/>
    <w:rsid w:val="00582118"/>
    <w:rPr>
      <w:rFonts w:ascii="Tahoma" w:hAnsi="Tahoma" w:cs="Tahoma"/>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00834">
      <w:bodyDiv w:val="1"/>
      <w:marLeft w:val="0"/>
      <w:marRight w:val="0"/>
      <w:marTop w:val="0"/>
      <w:marBottom w:val="0"/>
      <w:divBdr>
        <w:top w:val="none" w:sz="0" w:space="0" w:color="auto"/>
        <w:left w:val="none" w:sz="0" w:space="0" w:color="auto"/>
        <w:bottom w:val="none" w:sz="0" w:space="0" w:color="auto"/>
        <w:right w:val="none" w:sz="0" w:space="0" w:color="auto"/>
      </w:divBdr>
    </w:div>
    <w:div w:id="19204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Template for Brussels Contributions</vt:lpstr>
      <vt:lpstr>Template for Brussels Contributions</vt:lpstr>
      <vt:lpstr>Template for Brussels Contributions</vt:lpstr>
    </vt:vector>
  </TitlesOfParts>
  <Company>Solaris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FM48#3, Sept. 2011</dc:title>
  <dc:subject>MSS at 2 GHz</dc:subject>
  <dc:creator>Thomas Weilacher</dc:creator>
  <cp:lastModifiedBy>Thomas Weilacher</cp:lastModifiedBy>
  <cp:revision>2</cp:revision>
  <cp:lastPrinted>2011-09-07T10:13:00Z</cp:lastPrinted>
  <dcterms:created xsi:type="dcterms:W3CDTF">2011-09-07T10:14:00Z</dcterms:created>
  <dcterms:modified xsi:type="dcterms:W3CDTF">2011-09-07T10:14:00Z</dcterms:modified>
</cp:coreProperties>
</file>