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4C" w:rsidRDefault="00AE264C"/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AE264C" w:rsidTr="006778AE">
        <w:trPr>
          <w:cantSplit/>
        </w:trPr>
        <w:tc>
          <w:tcPr>
            <w:tcW w:w="5670" w:type="dxa"/>
          </w:tcPr>
          <w:p w:rsidR="00AE264C" w:rsidRDefault="00DE78C4" w:rsidP="00321049">
            <w:pPr>
              <w:ind w:right="282"/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>
                  <wp:extent cx="1628140" cy="8337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E264C" w:rsidRDefault="00AE264C" w:rsidP="00321049">
            <w:pPr>
              <w:ind w:right="282"/>
              <w:jc w:val="right"/>
            </w:pPr>
          </w:p>
        </w:tc>
      </w:tr>
      <w:tr w:rsidR="00AE264C" w:rsidTr="006778AE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AE264C" w:rsidRPr="00A3369E" w:rsidRDefault="00AE264C" w:rsidP="00321049">
            <w:pPr>
              <w:pStyle w:val="berschrift4"/>
              <w:ind w:right="-321"/>
              <w:rPr>
                <w:color w:val="808080"/>
              </w:rPr>
            </w:pPr>
          </w:p>
          <w:p w:rsidR="00AE264C" w:rsidRPr="00A3369E" w:rsidRDefault="00DF6807" w:rsidP="00321049">
            <w:pPr>
              <w:pStyle w:val="berschrift4"/>
              <w:ind w:right="-321"/>
              <w:rPr>
                <w:color w:val="808080"/>
              </w:rPr>
            </w:pPr>
            <w:r>
              <w:rPr>
                <w:color w:val="808080"/>
              </w:rPr>
              <w:t>Project Team</w:t>
            </w:r>
            <w:r w:rsidR="00AE264C" w:rsidRPr="00A3369E">
              <w:rPr>
                <w:color w:val="808080"/>
              </w:rPr>
              <w:t xml:space="preserve"> FM</w:t>
            </w:r>
            <w:r>
              <w:rPr>
                <w:color w:val="808080"/>
              </w:rPr>
              <w:t xml:space="preserve"> PT 48</w:t>
            </w:r>
          </w:p>
        </w:tc>
        <w:tc>
          <w:tcPr>
            <w:tcW w:w="4253" w:type="dxa"/>
          </w:tcPr>
          <w:p w:rsidR="00AE264C" w:rsidRDefault="00AE264C" w:rsidP="00321049">
            <w:pPr>
              <w:ind w:right="282"/>
              <w:rPr>
                <w:sz w:val="12"/>
              </w:rPr>
            </w:pPr>
          </w:p>
          <w:p w:rsidR="00AE264C" w:rsidRDefault="00AE264C" w:rsidP="00321049">
            <w:pPr>
              <w:pStyle w:val="berschrift4"/>
              <w:ind w:right="-321"/>
            </w:pPr>
          </w:p>
        </w:tc>
      </w:tr>
      <w:tr w:rsidR="00AE264C" w:rsidTr="006778AE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AE264C" w:rsidRDefault="00AE264C" w:rsidP="00321049">
            <w:pPr>
              <w:pStyle w:val="berschrift4"/>
              <w:ind w:right="-321"/>
            </w:pPr>
          </w:p>
        </w:tc>
        <w:tc>
          <w:tcPr>
            <w:tcW w:w="4253" w:type="dxa"/>
          </w:tcPr>
          <w:p w:rsidR="00AE264C" w:rsidRDefault="00AE264C" w:rsidP="00321049">
            <w:pPr>
              <w:pStyle w:val="berschrift4"/>
              <w:ind w:right="-321"/>
            </w:pPr>
          </w:p>
        </w:tc>
      </w:tr>
      <w:tr w:rsidR="00AE264C" w:rsidRPr="004C43DC" w:rsidTr="006778AE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5670" w:type="dxa"/>
          </w:tcPr>
          <w:p w:rsidR="00AE264C" w:rsidRPr="004C43DC" w:rsidRDefault="00E0690D" w:rsidP="002055C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F6807" w:rsidRPr="00DF68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="00DF6807">
              <w:rPr>
                <w:rFonts w:ascii="Arial" w:hAnsi="Arial" w:cs="Arial"/>
                <w:b/>
                <w:sz w:val="24"/>
                <w:szCs w:val="24"/>
              </w:rPr>
              <w:t xml:space="preserve"> Meeting of FM PT 48</w:t>
            </w:r>
          </w:p>
          <w:p w:rsidR="00AE264C" w:rsidRPr="004C43DC" w:rsidRDefault="00DF6807" w:rsidP="00A73F1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Maisons-Alfort</w:t>
            </w:r>
            <w:r w:rsidR="0003633D" w:rsidRPr="00A73F12">
              <w:rPr>
                <w:rFonts w:ascii="Arial" w:hAnsi="Arial"/>
                <w:b/>
                <w:sz w:val="24"/>
              </w:rPr>
              <w:t xml:space="preserve">, </w:t>
            </w:r>
            <w:r>
              <w:rPr>
                <w:rFonts w:ascii="Arial" w:hAnsi="Arial"/>
                <w:b/>
                <w:sz w:val="24"/>
              </w:rPr>
              <w:t>13–</w:t>
            </w:r>
            <w:r w:rsidR="00E0690D">
              <w:rPr>
                <w:rFonts w:ascii="Arial" w:hAnsi="Arial"/>
                <w:b/>
                <w:sz w:val="24"/>
              </w:rPr>
              <w:t>14 September</w:t>
            </w:r>
            <w:r w:rsidR="00A73F12">
              <w:rPr>
                <w:rFonts w:ascii="Arial" w:hAnsi="Arial"/>
                <w:b/>
                <w:sz w:val="24"/>
              </w:rPr>
              <w:t xml:space="preserve"> 2011</w:t>
            </w:r>
          </w:p>
        </w:tc>
        <w:tc>
          <w:tcPr>
            <w:tcW w:w="4253" w:type="dxa"/>
          </w:tcPr>
          <w:p w:rsidR="00AE264C" w:rsidRPr="004C43DC" w:rsidRDefault="009A522E" w:rsidP="00D90C62">
            <w:pPr>
              <w:spacing w:before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FM48(11)</w:t>
            </w:r>
            <w:r w:rsidR="00D61478">
              <w:rPr>
                <w:rFonts w:ascii="Arial" w:hAnsi="Arial" w:cs="Arial"/>
                <w:b/>
                <w:sz w:val="24"/>
                <w:szCs w:val="24"/>
              </w:rPr>
              <w:t>041</w:t>
            </w:r>
            <w:bookmarkStart w:id="0" w:name="_GoBack"/>
            <w:bookmarkEnd w:id="0"/>
          </w:p>
          <w:p w:rsidR="00AE264C" w:rsidRPr="00D90C62" w:rsidRDefault="00AE264C" w:rsidP="00E0690D">
            <w:pPr>
              <w:spacing w:before="60"/>
            </w:pPr>
          </w:p>
        </w:tc>
      </w:tr>
      <w:tr w:rsidR="00AE264C" w:rsidTr="006778AE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2"/>
          </w:tcPr>
          <w:p w:rsidR="00AE264C" w:rsidRDefault="00AE264C" w:rsidP="00321049">
            <w:pPr>
              <w:pStyle w:val="berschrift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AE264C" w:rsidRDefault="00DF6807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issued: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E7E7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0690D">
              <w:rPr>
                <w:rFonts w:ascii="Arial" w:hAnsi="Arial" w:cs="Arial"/>
                <w:b/>
                <w:sz w:val="24"/>
                <w:szCs w:val="24"/>
              </w:rPr>
              <w:t xml:space="preserve"> September</w:t>
            </w:r>
            <w:r w:rsidR="00F83651">
              <w:rPr>
                <w:rFonts w:ascii="Arial" w:hAnsi="Arial" w:cs="Arial"/>
                <w:b/>
                <w:sz w:val="24"/>
                <w:szCs w:val="24"/>
              </w:rPr>
              <w:t xml:space="preserve"> 2011</w:t>
            </w:r>
          </w:p>
          <w:p w:rsidR="00AE264C" w:rsidRDefault="00AE264C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264C" w:rsidRDefault="00DF6807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Source: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FD714A">
              <w:rPr>
                <w:rFonts w:ascii="Arial" w:hAnsi="Arial" w:cs="Arial"/>
                <w:b/>
                <w:sz w:val="24"/>
                <w:szCs w:val="24"/>
              </w:rPr>
              <w:t>Inmarsat Ventures Limited</w:t>
            </w:r>
          </w:p>
          <w:p w:rsidR="00AE264C" w:rsidRDefault="00AE264C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6807" w:rsidRDefault="00DF6807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418CB">
              <w:rPr>
                <w:rFonts w:ascii="Arial" w:hAnsi="Arial" w:cs="Arial"/>
                <w:b/>
                <w:sz w:val="24"/>
                <w:szCs w:val="24"/>
              </w:rPr>
              <w:t xml:space="preserve">Unsuitability Of The Bands 1980-2010 / 2170-2200 MHz As </w:t>
            </w:r>
            <w:r w:rsidR="005418C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418C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418C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5418CB">
              <w:rPr>
                <w:rFonts w:ascii="Arial" w:hAnsi="Arial" w:cs="Arial"/>
                <w:b/>
                <w:sz w:val="24"/>
                <w:szCs w:val="24"/>
              </w:rPr>
              <w:tab/>
              <w:t>Potential Candidate Bands F</w:t>
            </w:r>
            <w:r w:rsidR="00FD714A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 w:rsidR="00620FE1" w:rsidRPr="00620FE1">
              <w:rPr>
                <w:rFonts w:ascii="Arial" w:hAnsi="Arial" w:cs="Arial"/>
                <w:b/>
                <w:sz w:val="24"/>
                <w:szCs w:val="24"/>
              </w:rPr>
              <w:t xml:space="preserve">Broadband </w:t>
            </w:r>
            <w:r w:rsidR="00620FE1">
              <w:rPr>
                <w:rFonts w:ascii="Arial" w:hAnsi="Arial" w:cs="Arial"/>
                <w:b/>
                <w:sz w:val="24"/>
                <w:szCs w:val="24"/>
              </w:rPr>
              <w:t>Direct Air-to-Ground</w:t>
            </w:r>
          </w:p>
          <w:p w:rsidR="00E0690D" w:rsidRDefault="00DF6807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204A4">
              <w:rPr>
                <w:rFonts w:ascii="Arial" w:hAnsi="Arial" w:cs="Arial"/>
                <w:b/>
                <w:sz w:val="24"/>
                <w:szCs w:val="24"/>
              </w:rPr>
              <w:t>Communications (DA2GC)</w:t>
            </w:r>
          </w:p>
          <w:p w:rsidR="00AE264C" w:rsidRDefault="00AE264C" w:rsidP="00321049">
            <w:pPr>
              <w:pStyle w:val="Kopfzeil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90D" w:rsidTr="006778AE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2"/>
          </w:tcPr>
          <w:p w:rsidR="00E0690D" w:rsidRDefault="00E0690D" w:rsidP="00321049">
            <w:pPr>
              <w:pStyle w:val="berschrift4"/>
              <w:tabs>
                <w:tab w:val="left" w:pos="8789"/>
              </w:tabs>
              <w:rPr>
                <w:rFonts w:cs="Arial"/>
                <w:szCs w:val="24"/>
              </w:rPr>
            </w:pPr>
          </w:p>
        </w:tc>
      </w:tr>
    </w:tbl>
    <w:p w:rsidR="00AC25FE" w:rsidRDefault="00154F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123190</wp:posOffset>
                </wp:positionV>
                <wp:extent cx="457200" cy="222250"/>
                <wp:effectExtent l="0" t="0" r="19050" b="254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6BE" w:rsidRDefault="00C746BE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in;margin-top:9.7pt;width:36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">
                <v:textbox>
                  <w:txbxContent>
                    <w:p w:rsidR="00C746BE" w:rsidRDefault="00C746BE">
                      <w:pPr>
                        <w:jc w:val="center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AE264C" w:rsidRDefault="00AE264C" w:rsidP="00AE264C">
      <w:pPr>
        <w:ind w:right="-852" w:hanging="540"/>
      </w:pPr>
      <w:r>
        <w:t>Password protection required? (Y/N) *</w:t>
      </w:r>
    </w:p>
    <w:p w:rsidR="00AE264C" w:rsidRDefault="00AE264C" w:rsidP="00AE264C">
      <w:pPr>
        <w:ind w:right="-852"/>
        <w:jc w:val="right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E264C" w:rsidTr="00321049">
        <w:tc>
          <w:tcPr>
            <w:tcW w:w="9923" w:type="dxa"/>
          </w:tcPr>
          <w:p w:rsidR="00863890" w:rsidRDefault="00AE264C" w:rsidP="00905DB4">
            <w:pPr>
              <w:pStyle w:val="berschrift3"/>
              <w:spacing w:after="240"/>
              <w:jc w:val="left"/>
            </w:pPr>
            <w:r w:rsidRPr="00CB3476">
              <w:rPr>
                <w:rFonts w:cs="Arial"/>
              </w:rPr>
              <w:t>Summary</w:t>
            </w:r>
          </w:p>
          <w:p w:rsidR="00905DB4" w:rsidRDefault="00045747" w:rsidP="00905DB4">
            <w:pPr>
              <w:spacing w:after="240" w:line="276" w:lineRule="auto"/>
              <w:rPr>
                <w:rFonts w:ascii="Arial" w:eastAsiaTheme="minorHAnsi" w:hAnsi="Arial" w:cs="Arial"/>
                <w:lang w:eastAsia="en-US"/>
              </w:rPr>
            </w:pPr>
            <w:r w:rsidRPr="00A570C0">
              <w:rPr>
                <w:rFonts w:ascii="Arial" w:eastAsiaTheme="minorHAnsi" w:hAnsi="Arial" w:cs="Arial"/>
                <w:lang w:eastAsia="en-US"/>
              </w:rPr>
              <w:t xml:space="preserve">This document </w:t>
            </w:r>
            <w:r w:rsidR="007370F4">
              <w:rPr>
                <w:rFonts w:ascii="Arial" w:eastAsiaTheme="minorHAnsi" w:hAnsi="Arial" w:cs="Arial"/>
                <w:lang w:eastAsia="en-US"/>
              </w:rPr>
              <w:t xml:space="preserve">proposes </w:t>
            </w:r>
            <w:r w:rsidR="00CD0EA6">
              <w:rPr>
                <w:rFonts w:ascii="Arial" w:eastAsiaTheme="minorHAnsi" w:hAnsi="Arial" w:cs="Arial"/>
                <w:lang w:eastAsia="en-US"/>
              </w:rPr>
              <w:t xml:space="preserve">that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 w:rsidRPr="00A570C0">
              <w:rPr>
                <w:rFonts w:ascii="Arial" w:eastAsiaTheme="minorHAnsi" w:hAnsi="Arial" w:cs="Arial"/>
                <w:lang w:eastAsia="en-US"/>
              </w:rPr>
              <w:t xml:space="preserve">bands 1980-2010 / 2170-2200 MHz allocated to </w:t>
            </w:r>
            <w:r w:rsidR="001B7FB6" w:rsidRPr="00A570C0">
              <w:rPr>
                <w:rFonts w:ascii="Arial" w:eastAsiaTheme="minorHAnsi" w:hAnsi="Arial" w:cs="Arial"/>
                <w:lang w:eastAsia="en-US"/>
              </w:rPr>
              <w:t xml:space="preserve">Mobile and </w:t>
            </w:r>
            <w:r w:rsidRPr="00A570C0">
              <w:rPr>
                <w:rFonts w:ascii="Arial" w:eastAsiaTheme="minorHAnsi" w:hAnsi="Arial" w:cs="Arial"/>
                <w:lang w:eastAsia="en-US"/>
              </w:rPr>
              <w:t xml:space="preserve">Mobile Satellite Services </w:t>
            </w:r>
            <w:r w:rsidR="00F66B9F" w:rsidRPr="00A570C0">
              <w:rPr>
                <w:rFonts w:ascii="Arial" w:eastAsiaTheme="minorHAnsi" w:hAnsi="Arial" w:cs="Arial"/>
                <w:lang w:eastAsia="en-US"/>
              </w:rPr>
              <w:t xml:space="preserve">(‘the 2GHz bands’) </w:t>
            </w:r>
            <w:r w:rsidR="00732C08" w:rsidRPr="00A570C0">
              <w:rPr>
                <w:rFonts w:ascii="Arial" w:eastAsiaTheme="minorHAnsi" w:hAnsi="Arial" w:cs="Arial"/>
                <w:lang w:eastAsia="en-US"/>
              </w:rPr>
              <w:t xml:space="preserve">within Europe </w:t>
            </w:r>
            <w:r w:rsidR="004C43B4" w:rsidRPr="00A570C0">
              <w:rPr>
                <w:rFonts w:ascii="Arial" w:eastAsiaTheme="minorHAnsi" w:hAnsi="Arial" w:cs="Arial"/>
                <w:lang w:eastAsia="en-US"/>
              </w:rPr>
              <w:t xml:space="preserve">should not be included </w:t>
            </w:r>
            <w:r w:rsidR="003A70F4" w:rsidRPr="00A570C0">
              <w:rPr>
                <w:rFonts w:ascii="Arial" w:eastAsiaTheme="minorHAnsi" w:hAnsi="Arial" w:cs="Arial"/>
                <w:lang w:eastAsia="en-US"/>
              </w:rPr>
              <w:t xml:space="preserve">as </w:t>
            </w:r>
            <w:r w:rsidR="004C43B4" w:rsidRPr="00A570C0">
              <w:rPr>
                <w:rFonts w:ascii="Arial" w:eastAsiaTheme="minorHAnsi" w:hAnsi="Arial" w:cs="Arial"/>
                <w:lang w:eastAsia="en-US"/>
              </w:rPr>
              <w:t xml:space="preserve">additional candidate bands </w:t>
            </w:r>
            <w:r w:rsidR="00A570C0" w:rsidRPr="00A570C0">
              <w:rPr>
                <w:rFonts w:ascii="Arial" w:eastAsiaTheme="minorHAnsi" w:hAnsi="Arial" w:cs="Arial"/>
                <w:lang w:eastAsia="en-US"/>
              </w:rPr>
              <w:t>within FM48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74046" w:rsidRPr="00A570C0">
              <w:rPr>
                <w:rFonts w:ascii="Arial" w:eastAsiaTheme="minorHAnsi" w:hAnsi="Arial" w:cs="Arial"/>
                <w:lang w:eastAsia="en-US"/>
              </w:rPr>
              <w:t xml:space="preserve">for 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an allocation to </w:t>
            </w:r>
            <w:r w:rsidR="00B74046" w:rsidRPr="00A570C0">
              <w:rPr>
                <w:rFonts w:ascii="Arial" w:eastAsiaTheme="minorHAnsi" w:hAnsi="Arial" w:cs="Arial"/>
                <w:lang w:eastAsia="en-US"/>
              </w:rPr>
              <w:t>Direct Air-to-</w:t>
            </w:r>
            <w:r w:rsidR="00D56C03" w:rsidRPr="00A570C0">
              <w:rPr>
                <w:rFonts w:ascii="Arial" w:eastAsiaTheme="minorHAnsi" w:hAnsi="Arial" w:cs="Arial"/>
                <w:lang w:eastAsia="en-US"/>
              </w:rPr>
              <w:t>Ground Communications (DA2GC)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 systems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.  </w:t>
            </w:r>
            <w:r w:rsidR="00732C08" w:rsidRPr="00A570C0">
              <w:rPr>
                <w:rFonts w:ascii="Arial" w:eastAsiaTheme="minorHAnsi" w:hAnsi="Arial" w:cs="Arial"/>
                <w:lang w:eastAsia="en-US"/>
              </w:rPr>
              <w:t xml:space="preserve">This is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due to </w:t>
            </w:r>
            <w:r w:rsidR="00F66B9F" w:rsidRPr="00A570C0">
              <w:rPr>
                <w:rFonts w:ascii="Arial" w:eastAsiaTheme="minorHAnsi" w:hAnsi="Arial" w:cs="Arial"/>
                <w:lang w:eastAsia="en-US"/>
              </w:rPr>
              <w:t xml:space="preserve">acute legal, regulatory and technical </w:t>
            </w:r>
            <w:r w:rsidR="009D5D7B" w:rsidRPr="00A570C0">
              <w:rPr>
                <w:rFonts w:ascii="Arial" w:eastAsiaTheme="minorHAnsi" w:hAnsi="Arial" w:cs="Arial"/>
                <w:lang w:eastAsia="en-US"/>
              </w:rPr>
              <w:t xml:space="preserve">obstacles </w:t>
            </w:r>
            <w:r w:rsidR="00732C08" w:rsidRPr="00A570C0">
              <w:rPr>
                <w:rFonts w:ascii="Arial" w:eastAsiaTheme="minorHAnsi" w:hAnsi="Arial" w:cs="Arial"/>
                <w:lang w:eastAsia="en-US"/>
              </w:rPr>
              <w:t>in sharing the 2GHz band</w:t>
            </w:r>
            <w:r w:rsidR="009D5D7B" w:rsidRPr="00A570C0">
              <w:rPr>
                <w:rFonts w:ascii="Arial" w:eastAsiaTheme="minorHAnsi" w:hAnsi="Arial" w:cs="Arial"/>
                <w:lang w:eastAsia="en-US"/>
              </w:rPr>
              <w:t>s</w:t>
            </w:r>
            <w:r w:rsidR="00732C08" w:rsidRPr="00A570C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by </w:t>
            </w:r>
            <w:r w:rsidR="00732C08" w:rsidRPr="00A570C0">
              <w:rPr>
                <w:rFonts w:ascii="Arial" w:eastAsiaTheme="minorHAnsi" w:hAnsi="Arial" w:cs="Arial"/>
                <w:lang w:eastAsia="en-US"/>
              </w:rPr>
              <w:t xml:space="preserve">DA2GC </w:t>
            </w:r>
            <w:r w:rsidR="00F87DBE">
              <w:rPr>
                <w:rFonts w:ascii="Arial" w:eastAsiaTheme="minorHAnsi" w:hAnsi="Arial" w:cs="Arial"/>
                <w:lang w:eastAsia="en-US"/>
              </w:rPr>
              <w:t xml:space="preserve">systems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with existing and planned </w:t>
            </w:r>
            <w:r w:rsidR="00A05B25">
              <w:rPr>
                <w:rFonts w:ascii="Arial" w:eastAsiaTheme="minorHAnsi" w:hAnsi="Arial" w:cs="Arial"/>
                <w:lang w:eastAsia="en-US"/>
              </w:rPr>
              <w:t>Mobile Satellite Service</w:t>
            </w:r>
            <w:r w:rsidR="00526A5D">
              <w:rPr>
                <w:rFonts w:ascii="Arial" w:eastAsiaTheme="minorHAnsi" w:hAnsi="Arial" w:cs="Arial"/>
                <w:lang w:eastAsia="en-US"/>
              </w:rPr>
              <w:t xml:space="preserve"> (MSS)</w:t>
            </w:r>
            <w:r w:rsidR="00A05B25">
              <w:rPr>
                <w:rFonts w:ascii="Arial" w:eastAsiaTheme="minorHAnsi" w:hAnsi="Arial" w:cs="Arial"/>
                <w:lang w:eastAsia="en-US"/>
              </w:rPr>
              <w:t xml:space="preserve"> systems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 and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their 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>Complementary Ground Component (CGC)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 systems</w:t>
            </w:r>
            <w:r w:rsidR="00F66B9F" w:rsidRPr="00A570C0">
              <w:rPr>
                <w:rFonts w:ascii="Arial" w:eastAsiaTheme="minorHAnsi" w:hAnsi="Arial" w:cs="Arial"/>
                <w:lang w:eastAsia="en-US"/>
              </w:rPr>
              <w:t>.</w:t>
            </w:r>
          </w:p>
          <w:p w:rsidR="00D56655" w:rsidRDefault="00F87DBE" w:rsidP="0001217E">
            <w:pPr>
              <w:spacing w:after="240" w:line="276" w:lineRule="auto"/>
              <w:rPr>
                <w:rFonts w:ascii="Arial" w:eastAsiaTheme="minorHAnsi" w:hAnsi="Arial" w:cs="Arial"/>
                <w:sz w:val="24"/>
                <w:lang w:val="en-US"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In addition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,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it is noted 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there </w:t>
            </w:r>
            <w:r w:rsidR="00C30AA9">
              <w:rPr>
                <w:rFonts w:ascii="Arial" w:eastAsiaTheme="minorHAnsi" w:hAnsi="Arial" w:cs="Arial"/>
                <w:lang w:eastAsia="en-US"/>
              </w:rPr>
              <w:t xml:space="preserve">are </w:t>
            </w:r>
            <w:r w:rsidR="00A570C0">
              <w:rPr>
                <w:rFonts w:ascii="Arial" w:eastAsiaTheme="minorHAnsi" w:hAnsi="Arial" w:cs="Arial"/>
                <w:lang w:eastAsia="en-US"/>
              </w:rPr>
              <w:t>a</w:t>
            </w:r>
            <w:r w:rsidR="009D5D7B" w:rsidRPr="00A570C0">
              <w:rPr>
                <w:rFonts w:ascii="Arial" w:eastAsiaTheme="minorHAnsi" w:hAnsi="Arial" w:cs="Arial"/>
                <w:lang w:eastAsia="en-US"/>
              </w:rPr>
              <w:t xml:space="preserve"> large number of </w:t>
            </w:r>
            <w:r w:rsidR="00453810">
              <w:rPr>
                <w:rFonts w:ascii="Arial" w:eastAsiaTheme="minorHAnsi" w:hAnsi="Arial" w:cs="Arial"/>
                <w:lang w:eastAsia="en-US"/>
              </w:rPr>
              <w:t xml:space="preserve">candidate </w:t>
            </w:r>
            <w:r w:rsidR="009D5D7B" w:rsidRPr="00A570C0">
              <w:rPr>
                <w:rFonts w:ascii="Arial" w:eastAsiaTheme="minorHAnsi" w:hAnsi="Arial" w:cs="Arial"/>
                <w:lang w:eastAsia="en-US"/>
              </w:rPr>
              <w:t xml:space="preserve">bands </w:t>
            </w:r>
            <w:r w:rsidR="00E532AC" w:rsidRPr="00A570C0">
              <w:rPr>
                <w:rFonts w:ascii="Arial" w:eastAsiaTheme="minorHAnsi" w:hAnsi="Arial" w:cs="Arial"/>
                <w:lang w:eastAsia="en-US"/>
              </w:rPr>
              <w:t>within the frequency range 790 MHz to 5150 MHz</w:t>
            </w:r>
            <w:r w:rsidR="00E532AC">
              <w:rPr>
                <w:rFonts w:ascii="Arial" w:eastAsiaTheme="minorHAnsi" w:hAnsi="Arial" w:cs="Arial"/>
                <w:lang w:eastAsia="en-US"/>
              </w:rPr>
              <w:t xml:space="preserve"> already </w:t>
            </w:r>
            <w:r w:rsidR="00F73174" w:rsidRPr="00A570C0">
              <w:rPr>
                <w:rFonts w:ascii="Arial" w:eastAsiaTheme="minorHAnsi" w:hAnsi="Arial" w:cs="Arial"/>
                <w:lang w:eastAsia="en-US"/>
              </w:rPr>
              <w:t xml:space="preserve">under consideration within FM 48 </w:t>
            </w:r>
            <w:r w:rsidR="009D5D7B" w:rsidRPr="00A570C0">
              <w:rPr>
                <w:rFonts w:ascii="Arial" w:eastAsiaTheme="minorHAnsi" w:hAnsi="Arial" w:cs="Arial"/>
                <w:lang w:eastAsia="en-US"/>
              </w:rPr>
              <w:t>for DA2GC services</w:t>
            </w:r>
            <w:r w:rsidR="004E3720" w:rsidRPr="00A570C0">
              <w:rPr>
                <w:rFonts w:ascii="Arial" w:eastAsiaTheme="minorHAnsi" w:hAnsi="Arial" w:cs="Arial"/>
                <w:lang w:eastAsia="en-US"/>
              </w:rPr>
              <w:t xml:space="preserve">.  </w:t>
            </w:r>
            <w:r w:rsidR="00F73174" w:rsidRPr="00A570C0">
              <w:rPr>
                <w:rFonts w:ascii="Arial" w:eastAsiaTheme="minorHAnsi" w:hAnsi="Arial" w:cs="Arial"/>
                <w:lang w:eastAsia="en-US"/>
              </w:rPr>
              <w:t xml:space="preserve">FM 48 is encouraged to complete its assessment 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on the </w:t>
            </w:r>
            <w:r w:rsidR="00F73174" w:rsidRPr="00A570C0">
              <w:rPr>
                <w:rFonts w:ascii="Arial" w:eastAsiaTheme="minorHAnsi" w:hAnsi="Arial" w:cs="Arial"/>
                <w:lang w:eastAsia="en-US"/>
              </w:rPr>
              <w:t xml:space="preserve">suitability of </w:t>
            </w:r>
            <w:r w:rsidR="007E4446" w:rsidRPr="00A570C0">
              <w:rPr>
                <w:rFonts w:ascii="Arial" w:eastAsiaTheme="minorHAnsi" w:hAnsi="Arial" w:cs="Arial"/>
                <w:lang w:eastAsia="en-US"/>
              </w:rPr>
              <w:t>the</w:t>
            </w:r>
            <w:r w:rsidR="00A570C0">
              <w:rPr>
                <w:rFonts w:ascii="Arial" w:eastAsiaTheme="minorHAnsi" w:hAnsi="Arial" w:cs="Arial"/>
                <w:lang w:eastAsia="en-US"/>
              </w:rPr>
              <w:t>se</w:t>
            </w:r>
            <w:r w:rsidR="007E4446" w:rsidRPr="00A570C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F73174" w:rsidRPr="00A570C0">
              <w:rPr>
                <w:rFonts w:ascii="Arial" w:eastAsiaTheme="minorHAnsi" w:hAnsi="Arial" w:cs="Arial"/>
                <w:lang w:eastAsia="en-US"/>
              </w:rPr>
              <w:t>existing identified bands</w:t>
            </w:r>
            <w:r>
              <w:rPr>
                <w:rFonts w:ascii="Arial" w:eastAsiaTheme="minorHAnsi" w:hAnsi="Arial" w:cs="Arial"/>
                <w:lang w:eastAsia="en-US"/>
              </w:rPr>
              <w:t xml:space="preserve">, together with finalising </w:t>
            </w:r>
            <w:r w:rsidR="00453810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>
              <w:rPr>
                <w:rFonts w:ascii="Arial" w:eastAsiaTheme="minorHAnsi" w:hAnsi="Arial" w:cs="Arial"/>
                <w:lang w:eastAsia="en-US"/>
              </w:rPr>
              <w:t xml:space="preserve">spectrum requirements for </w:t>
            </w:r>
            <w:r w:rsidR="0001217E">
              <w:rPr>
                <w:rFonts w:ascii="Arial" w:eastAsiaTheme="minorHAnsi" w:hAnsi="Arial" w:cs="Arial"/>
                <w:lang w:eastAsia="en-US"/>
              </w:rPr>
              <w:t>DA2GC services</w:t>
            </w:r>
            <w:r>
              <w:rPr>
                <w:rFonts w:ascii="Arial" w:eastAsiaTheme="minorHAnsi" w:hAnsi="Arial" w:cs="Arial"/>
                <w:lang w:eastAsia="en-US"/>
              </w:rPr>
              <w:t>,</w:t>
            </w:r>
            <w:r w:rsidR="00F73174" w:rsidRPr="00A570C0">
              <w:rPr>
                <w:rFonts w:ascii="Arial" w:eastAsiaTheme="minorHAnsi" w:hAnsi="Arial" w:cs="Arial"/>
                <w:lang w:eastAsia="en-US"/>
              </w:rPr>
              <w:t xml:space="preserve"> before </w:t>
            </w:r>
            <w:r w:rsidR="008C7E92">
              <w:rPr>
                <w:rFonts w:ascii="Arial" w:eastAsiaTheme="minorHAnsi" w:hAnsi="Arial" w:cs="Arial"/>
                <w:lang w:eastAsia="en-US"/>
              </w:rPr>
              <w:t>proposals</w:t>
            </w:r>
            <w:r w:rsidR="008C7E92" w:rsidRPr="00A570C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are </w:t>
            </w:r>
            <w:r w:rsidR="00A570C0">
              <w:rPr>
                <w:rFonts w:ascii="Arial" w:eastAsiaTheme="minorHAnsi" w:hAnsi="Arial" w:cs="Arial"/>
                <w:lang w:eastAsia="en-US"/>
              </w:rPr>
              <w:t>made to Working Group FM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 for approval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 for any </w:t>
            </w:r>
            <w:r w:rsidR="0001217E" w:rsidRPr="00A570C0">
              <w:rPr>
                <w:rFonts w:ascii="Arial" w:eastAsiaTheme="minorHAnsi" w:hAnsi="Arial" w:cs="Arial"/>
                <w:lang w:eastAsia="en-US"/>
              </w:rPr>
              <w:t xml:space="preserve">additional 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candidate </w:t>
            </w:r>
            <w:r w:rsidR="0001217E" w:rsidRPr="00A570C0">
              <w:rPr>
                <w:rFonts w:ascii="Arial" w:eastAsiaTheme="minorHAnsi" w:hAnsi="Arial" w:cs="Arial"/>
                <w:lang w:eastAsia="en-US"/>
              </w:rPr>
              <w:t>band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 for DA2GC systems</w:t>
            </w:r>
            <w:r w:rsidR="00F73174" w:rsidRPr="00A570C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  <w:tr w:rsidR="00A4599C" w:rsidTr="00321049">
        <w:tc>
          <w:tcPr>
            <w:tcW w:w="9923" w:type="dxa"/>
          </w:tcPr>
          <w:p w:rsidR="00A4599C" w:rsidRDefault="00A4599C" w:rsidP="00905DB4">
            <w:pPr>
              <w:pStyle w:val="berschrift3"/>
              <w:spacing w:after="240"/>
              <w:jc w:val="left"/>
              <w:rPr>
                <w:rFonts w:cs="Arial"/>
              </w:rPr>
            </w:pPr>
            <w:r w:rsidRPr="00CB3476">
              <w:rPr>
                <w:rFonts w:cs="Arial"/>
              </w:rPr>
              <w:t>Proposal</w:t>
            </w:r>
          </w:p>
          <w:p w:rsidR="00D56655" w:rsidRDefault="00A4599C" w:rsidP="00EB32F2">
            <w:pPr>
              <w:spacing w:after="240"/>
              <w:rPr>
                <w:rFonts w:ascii="Arial" w:eastAsiaTheme="minorHAnsi" w:hAnsi="Arial" w:cs="Arial"/>
                <w:sz w:val="24"/>
                <w:lang w:val="en-US" w:eastAsia="en-US"/>
              </w:rPr>
            </w:pPr>
            <w:r w:rsidRPr="00A570C0">
              <w:rPr>
                <w:rFonts w:ascii="Arial" w:eastAsiaTheme="minorHAnsi" w:hAnsi="Arial" w:cs="Arial"/>
                <w:lang w:eastAsia="en-US"/>
              </w:rPr>
              <w:t xml:space="preserve">FM48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should </w:t>
            </w:r>
            <w:r w:rsidRPr="00A570C0">
              <w:rPr>
                <w:rFonts w:ascii="Arial" w:eastAsiaTheme="minorHAnsi" w:hAnsi="Arial" w:cs="Arial"/>
                <w:lang w:eastAsia="en-US"/>
              </w:rPr>
              <w:t xml:space="preserve">not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identify </w:t>
            </w:r>
            <w:r w:rsidRPr="00A570C0">
              <w:rPr>
                <w:rFonts w:ascii="Arial" w:eastAsiaTheme="minorHAnsi" w:hAnsi="Arial" w:cs="Arial"/>
                <w:lang w:eastAsia="en-US"/>
              </w:rPr>
              <w:t>the 2GHz bands (1980-2010 / 2170-2200 MHz)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as additional candidate bands for DA2GC </w:t>
            </w:r>
            <w:r w:rsidR="00911626">
              <w:rPr>
                <w:rFonts w:ascii="Arial" w:eastAsiaTheme="minorHAnsi" w:hAnsi="Arial" w:cs="Arial"/>
                <w:lang w:eastAsia="en-US"/>
              </w:rPr>
              <w:t>systems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.  This is </w:t>
            </w:r>
            <w:r w:rsidR="002846DB">
              <w:rPr>
                <w:rFonts w:ascii="Arial" w:eastAsiaTheme="minorHAnsi" w:hAnsi="Arial" w:cs="Arial"/>
                <w:lang w:eastAsia="en-US"/>
              </w:rPr>
              <w:t xml:space="preserve">due </w:t>
            </w:r>
            <w:r w:rsidR="0095140D">
              <w:rPr>
                <w:rFonts w:ascii="Arial" w:eastAsiaTheme="minorHAnsi" w:hAnsi="Arial" w:cs="Arial"/>
                <w:lang w:eastAsia="en-US"/>
              </w:rPr>
              <w:t xml:space="preserve">to </w:t>
            </w:r>
            <w:r w:rsidR="00453016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lack of 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technical </w:t>
            </w:r>
            <w:r w:rsidR="00A570C0">
              <w:rPr>
                <w:rFonts w:ascii="Arial" w:eastAsiaTheme="minorHAnsi" w:hAnsi="Arial" w:cs="Arial"/>
                <w:lang w:eastAsia="en-US"/>
              </w:rPr>
              <w:t xml:space="preserve">compatibility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of 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DA2GC </w:t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systems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with existing and planned MSS &amp; 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CGC </w:t>
            </w:r>
            <w:r w:rsidR="002846DB">
              <w:rPr>
                <w:rFonts w:ascii="Arial" w:eastAsiaTheme="minorHAnsi" w:hAnsi="Arial" w:cs="Arial"/>
                <w:lang w:eastAsia="en-US"/>
              </w:rPr>
              <w:t>systems</w:t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.  </w:t>
            </w:r>
            <w:r w:rsidR="00A05B25">
              <w:rPr>
                <w:rFonts w:ascii="Arial" w:eastAsiaTheme="minorHAnsi" w:hAnsi="Arial" w:cs="Arial"/>
                <w:lang w:eastAsia="en-US"/>
              </w:rPr>
              <w:br/>
            </w:r>
            <w:r w:rsidR="00A05B25">
              <w:rPr>
                <w:rFonts w:ascii="Arial" w:eastAsiaTheme="minorHAnsi" w:hAnsi="Arial" w:cs="Arial"/>
                <w:lang w:eastAsia="en-US"/>
              </w:rPr>
              <w:br/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In addition, there would need to be 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a </w:t>
            </w:r>
            <w:r w:rsidR="002846DB">
              <w:rPr>
                <w:rFonts w:ascii="Arial" w:eastAsiaTheme="minorHAnsi" w:hAnsi="Arial" w:cs="Arial"/>
                <w:lang w:eastAsia="en-US"/>
              </w:rPr>
              <w:t xml:space="preserve">resolution </w:t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of 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significant </w:t>
            </w:r>
            <w:r w:rsidR="00CB6760" w:rsidRPr="00A570C0">
              <w:rPr>
                <w:rFonts w:ascii="Arial" w:eastAsiaTheme="minorHAnsi" w:hAnsi="Arial" w:cs="Arial"/>
                <w:lang w:eastAsia="en-US"/>
              </w:rPr>
              <w:t xml:space="preserve">legal and regulatory obstacles </w:t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in amending </w:t>
            </w:r>
            <w:r w:rsidR="00EB32F2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 w:rsidR="002846DB">
              <w:rPr>
                <w:rFonts w:ascii="Arial" w:eastAsiaTheme="minorHAnsi" w:hAnsi="Arial" w:cs="Arial"/>
                <w:lang w:eastAsia="en-US"/>
              </w:rPr>
              <w:t xml:space="preserve">existing </w:t>
            </w:r>
            <w:r w:rsidR="00911626">
              <w:rPr>
                <w:rFonts w:ascii="Arial" w:eastAsiaTheme="minorHAnsi" w:hAnsi="Arial" w:cs="Arial"/>
                <w:lang w:eastAsia="en-US"/>
              </w:rPr>
              <w:t>EC D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ecisions </w:t>
            </w:r>
            <w:r w:rsidR="002846DB">
              <w:rPr>
                <w:rFonts w:ascii="Arial" w:eastAsiaTheme="minorHAnsi" w:hAnsi="Arial" w:cs="Arial"/>
                <w:lang w:eastAsia="en-US"/>
              </w:rPr>
              <w:t xml:space="preserve">and </w:t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 w:rsidR="002846DB">
              <w:rPr>
                <w:rFonts w:ascii="Arial" w:eastAsiaTheme="minorHAnsi" w:hAnsi="Arial" w:cs="Arial"/>
                <w:lang w:eastAsia="en-US"/>
              </w:rPr>
              <w:t>associated national licence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 grants </w:t>
            </w:r>
            <w:r w:rsidR="0001217E">
              <w:rPr>
                <w:rFonts w:ascii="Arial" w:eastAsiaTheme="minorHAnsi" w:hAnsi="Arial" w:cs="Arial"/>
                <w:lang w:eastAsia="en-US"/>
              </w:rPr>
              <w:t xml:space="preserve">for the </w:t>
            </w:r>
            <w:r w:rsidR="00EB32F2">
              <w:rPr>
                <w:rFonts w:ascii="Arial" w:eastAsiaTheme="minorHAnsi" w:hAnsi="Arial" w:cs="Arial"/>
                <w:lang w:eastAsia="en-US"/>
              </w:rPr>
              <w:t>operation</w:t>
            </w:r>
            <w:r w:rsidR="00D8749F">
              <w:rPr>
                <w:rFonts w:ascii="Arial" w:eastAsiaTheme="minorHAnsi" w:hAnsi="Arial" w:cs="Arial"/>
                <w:lang w:eastAsia="en-US"/>
              </w:rPr>
              <w:t xml:space="preserve"> of MSS and CGC </w:t>
            </w:r>
            <w:r w:rsidR="00A05B25">
              <w:rPr>
                <w:rFonts w:ascii="Arial" w:eastAsiaTheme="minorHAnsi" w:hAnsi="Arial" w:cs="Arial"/>
                <w:lang w:eastAsia="en-US"/>
              </w:rPr>
              <w:t xml:space="preserve">systems </w:t>
            </w:r>
            <w:r w:rsidR="00D8749F">
              <w:rPr>
                <w:rFonts w:ascii="Arial" w:eastAsiaTheme="minorHAnsi" w:hAnsi="Arial" w:cs="Arial"/>
                <w:lang w:eastAsia="en-US"/>
              </w:rPr>
              <w:t>within Europe</w:t>
            </w:r>
            <w:r w:rsidR="00911626">
              <w:rPr>
                <w:rFonts w:ascii="Arial" w:eastAsiaTheme="minorHAnsi" w:hAnsi="Arial" w:cs="Arial"/>
                <w:lang w:eastAsia="en-US"/>
              </w:rPr>
              <w:t xml:space="preserve">, which would preclude the </w:t>
            </w:r>
            <w:r w:rsidR="00671B53">
              <w:rPr>
                <w:rFonts w:ascii="Arial" w:eastAsiaTheme="minorHAnsi" w:hAnsi="Arial" w:cs="Arial"/>
                <w:lang w:eastAsia="en-US"/>
              </w:rPr>
              <w:t xml:space="preserve">suitability </w:t>
            </w:r>
            <w:r w:rsidR="00911626">
              <w:rPr>
                <w:rFonts w:ascii="Arial" w:eastAsiaTheme="minorHAnsi" w:hAnsi="Arial" w:cs="Arial"/>
                <w:lang w:eastAsia="en-US"/>
              </w:rPr>
              <w:t>of the 2GHz bands for DA2GC systems</w:t>
            </w:r>
            <w:r w:rsidR="00A570C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  <w:tr w:rsidR="00A4599C" w:rsidTr="00321049">
        <w:tc>
          <w:tcPr>
            <w:tcW w:w="9923" w:type="dxa"/>
          </w:tcPr>
          <w:p w:rsidR="00905DB4" w:rsidRDefault="00A4599C" w:rsidP="00905DB4">
            <w:pPr>
              <w:spacing w:after="240"/>
              <w:rPr>
                <w:rFonts w:ascii="Arial" w:hAnsi="Arial" w:cs="Arial"/>
                <w:b/>
              </w:rPr>
            </w:pPr>
            <w:r w:rsidRPr="00C30AA9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</w:p>
          <w:p w:rsidR="00D57762" w:rsidRDefault="00146BE9" w:rsidP="00905DB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</w:t>
            </w:r>
            <w:r w:rsidR="000E695B" w:rsidRPr="00A570C0">
              <w:rPr>
                <w:rFonts w:ascii="Arial" w:hAnsi="Arial" w:cs="Arial"/>
              </w:rPr>
              <w:t xml:space="preserve">armonisation of the 2GHz band for Mobile Satellite Services </w:t>
            </w:r>
            <w:r>
              <w:rPr>
                <w:rFonts w:ascii="Arial" w:hAnsi="Arial" w:cs="Arial"/>
              </w:rPr>
              <w:t xml:space="preserve">within Europe, </w:t>
            </w:r>
            <w:r w:rsidR="000E695B" w:rsidRPr="00A570C0">
              <w:rPr>
                <w:rFonts w:ascii="Arial" w:hAnsi="Arial" w:cs="Arial"/>
              </w:rPr>
              <w:t xml:space="preserve">including the provision of </w:t>
            </w:r>
            <w:r w:rsidR="00D74499" w:rsidRPr="00A570C0">
              <w:rPr>
                <w:rFonts w:ascii="Arial" w:hAnsi="Arial" w:cs="Arial"/>
              </w:rPr>
              <w:t>terrestrial mobile network services</w:t>
            </w:r>
            <w:r w:rsidR="000E695B" w:rsidRPr="00A570C0">
              <w:rPr>
                <w:rFonts w:ascii="Arial" w:hAnsi="Arial" w:cs="Arial"/>
              </w:rPr>
              <w:t xml:space="preserve"> </w:t>
            </w:r>
            <w:r w:rsidR="00D74499" w:rsidRPr="00A570C0">
              <w:rPr>
                <w:rFonts w:ascii="Arial" w:hAnsi="Arial" w:cs="Arial"/>
              </w:rPr>
              <w:t xml:space="preserve">to </w:t>
            </w:r>
            <w:r w:rsidR="000E695B" w:rsidRPr="00A570C0">
              <w:rPr>
                <w:rFonts w:ascii="Arial" w:hAnsi="Arial" w:cs="Arial"/>
              </w:rPr>
              <w:t xml:space="preserve">complement the </w:t>
            </w:r>
            <w:r w:rsidR="00D74499" w:rsidRPr="00A570C0">
              <w:rPr>
                <w:rFonts w:ascii="Arial" w:hAnsi="Arial" w:cs="Arial"/>
              </w:rPr>
              <w:t xml:space="preserve">operation of </w:t>
            </w:r>
            <w:r w:rsidR="000E695B" w:rsidRPr="00A570C0">
              <w:rPr>
                <w:rFonts w:ascii="Arial" w:hAnsi="Arial" w:cs="Arial"/>
              </w:rPr>
              <w:t>2GHz MSS systems</w:t>
            </w:r>
            <w:r>
              <w:rPr>
                <w:rFonts w:ascii="Arial" w:hAnsi="Arial" w:cs="Arial"/>
              </w:rPr>
              <w:t xml:space="preserve">, is </w:t>
            </w:r>
            <w:r w:rsidR="004B7B97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culmination of a </w:t>
            </w:r>
            <w:r w:rsidRPr="00A570C0">
              <w:rPr>
                <w:rFonts w:ascii="Arial" w:hAnsi="Arial" w:cs="Arial"/>
              </w:rPr>
              <w:t xml:space="preserve">long history </w:t>
            </w:r>
            <w:r>
              <w:rPr>
                <w:rFonts w:ascii="Arial" w:hAnsi="Arial" w:cs="Arial"/>
              </w:rPr>
              <w:t xml:space="preserve">of </w:t>
            </w:r>
            <w:r w:rsidRPr="00A570C0">
              <w:rPr>
                <w:rFonts w:ascii="Arial" w:hAnsi="Arial" w:cs="Arial"/>
              </w:rPr>
              <w:t xml:space="preserve">regulatory considerations </w:t>
            </w:r>
            <w:r>
              <w:rPr>
                <w:rFonts w:ascii="Arial" w:hAnsi="Arial" w:cs="Arial"/>
              </w:rPr>
              <w:t xml:space="preserve">by the </w:t>
            </w:r>
            <w:r w:rsidRPr="00A570C0">
              <w:rPr>
                <w:rFonts w:ascii="Arial" w:hAnsi="Arial" w:cs="Arial"/>
              </w:rPr>
              <w:t>CEPT and EC</w:t>
            </w:r>
            <w:r w:rsidR="00D74499" w:rsidRPr="00A570C0">
              <w:rPr>
                <w:rFonts w:ascii="Arial" w:hAnsi="Arial" w:cs="Arial"/>
              </w:rPr>
              <w:t>.</w:t>
            </w:r>
            <w:r w:rsidR="00D57762">
              <w:rPr>
                <w:rFonts w:ascii="Arial" w:hAnsi="Arial" w:cs="Arial"/>
              </w:rPr>
              <w:t xml:space="preserve">  The </w:t>
            </w:r>
            <w:r w:rsidR="004B7B97">
              <w:rPr>
                <w:rFonts w:ascii="Arial" w:hAnsi="Arial" w:cs="Arial"/>
              </w:rPr>
              <w:t xml:space="preserve">aim of such considerations has </w:t>
            </w:r>
            <w:r w:rsidR="00D57762">
              <w:rPr>
                <w:rFonts w:ascii="Arial" w:hAnsi="Arial" w:cs="Arial"/>
              </w:rPr>
              <w:t>been to</w:t>
            </w:r>
            <w:r w:rsidR="00D57762">
              <w:t xml:space="preserve"> </w:t>
            </w:r>
            <w:r w:rsidR="00D57762" w:rsidRPr="00D57762">
              <w:rPr>
                <w:rFonts w:ascii="Arial" w:hAnsi="Arial" w:cs="Arial"/>
              </w:rPr>
              <w:t xml:space="preserve">facilitate the development of a competitive internal market for mobile satellite services across </w:t>
            </w:r>
            <w:r w:rsidR="006B0F59">
              <w:rPr>
                <w:rFonts w:ascii="Arial" w:hAnsi="Arial" w:cs="Arial"/>
              </w:rPr>
              <w:t xml:space="preserve">Europe </w:t>
            </w:r>
            <w:r w:rsidR="00D57762" w:rsidRPr="00D57762">
              <w:rPr>
                <w:rFonts w:ascii="Arial" w:hAnsi="Arial" w:cs="Arial"/>
              </w:rPr>
              <w:t>and to ensure</w:t>
            </w:r>
            <w:r w:rsidR="00421A9A">
              <w:rPr>
                <w:rFonts w:ascii="Arial" w:hAnsi="Arial" w:cs="Arial"/>
              </w:rPr>
              <w:t xml:space="preserve"> the </w:t>
            </w:r>
            <w:r w:rsidR="00D57762" w:rsidRPr="00D57762">
              <w:rPr>
                <w:rFonts w:ascii="Arial" w:hAnsi="Arial" w:cs="Arial"/>
              </w:rPr>
              <w:t>gradual coverage in all Member States</w:t>
            </w:r>
            <w:r w:rsidR="00D57762">
              <w:rPr>
                <w:rFonts w:ascii="Arial" w:hAnsi="Arial" w:cs="Arial"/>
              </w:rPr>
              <w:t>.</w:t>
            </w:r>
          </w:p>
          <w:p w:rsidR="0001217E" w:rsidRDefault="0001217E" w:rsidP="00772D9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key </w:t>
            </w:r>
            <w:r w:rsidR="005D433F">
              <w:rPr>
                <w:rFonts w:ascii="Arial" w:hAnsi="Arial" w:cs="Arial"/>
              </w:rPr>
              <w:t xml:space="preserve">EC </w:t>
            </w:r>
            <w:r>
              <w:rPr>
                <w:rFonts w:ascii="Arial" w:hAnsi="Arial" w:cs="Arial"/>
              </w:rPr>
              <w:t xml:space="preserve">regulatory considerations have been: </w:t>
            </w:r>
          </w:p>
          <w:p w:rsidR="0001217E" w:rsidRDefault="00DD3C3C" w:rsidP="0001217E">
            <w:pPr>
              <w:pStyle w:val="Listenabsatz"/>
              <w:numPr>
                <w:ilvl w:val="0"/>
                <w:numId w:val="4"/>
              </w:numPr>
              <w:spacing w:after="240"/>
              <w:rPr>
                <w:rFonts w:ascii="Arial" w:hAnsi="Arial" w:cs="Arial"/>
              </w:rPr>
            </w:pPr>
            <w:r w:rsidRPr="0001217E">
              <w:rPr>
                <w:rFonts w:ascii="Arial" w:hAnsi="Arial" w:cs="Arial"/>
              </w:rPr>
              <w:t>Decision 2007/98/EC</w:t>
            </w:r>
            <w:r w:rsidR="00BC6067" w:rsidRPr="00A570C0">
              <w:rPr>
                <w:rStyle w:val="Funotenzeichen"/>
                <w:rFonts w:ascii="Arial" w:hAnsi="Arial" w:cs="Arial"/>
              </w:rPr>
              <w:footnoteReference w:id="1"/>
            </w:r>
            <w:r w:rsidRPr="0001217E">
              <w:rPr>
                <w:rFonts w:ascii="Arial" w:hAnsi="Arial" w:cs="Arial"/>
              </w:rPr>
              <w:t xml:space="preserve"> </w:t>
            </w:r>
            <w:r w:rsidR="0079536B">
              <w:rPr>
                <w:rFonts w:ascii="Arial" w:hAnsi="Arial" w:cs="Arial"/>
              </w:rPr>
              <w:t xml:space="preserve">adopted by the </w:t>
            </w:r>
            <w:r w:rsidR="0079536B" w:rsidRPr="0001217E">
              <w:rPr>
                <w:rFonts w:ascii="Arial" w:hAnsi="Arial" w:cs="Arial"/>
              </w:rPr>
              <w:t xml:space="preserve">European Commission </w:t>
            </w:r>
            <w:r w:rsidR="0079536B">
              <w:rPr>
                <w:rFonts w:ascii="Arial" w:hAnsi="Arial" w:cs="Arial"/>
              </w:rPr>
              <w:t>designating</w:t>
            </w:r>
            <w:r w:rsidRPr="0001217E">
              <w:rPr>
                <w:rFonts w:ascii="Arial" w:hAnsi="Arial" w:cs="Arial"/>
              </w:rPr>
              <w:t xml:space="preserve"> the</w:t>
            </w:r>
            <w:r w:rsidR="00905DB4" w:rsidRPr="0001217E">
              <w:rPr>
                <w:rFonts w:ascii="Arial" w:hAnsi="Arial" w:cs="Arial"/>
              </w:rPr>
              <w:t xml:space="preserve"> </w:t>
            </w:r>
            <w:r w:rsidRPr="0001217E">
              <w:rPr>
                <w:rFonts w:ascii="Arial" w:hAnsi="Arial" w:cs="Arial"/>
              </w:rPr>
              <w:t>bands 1980-2010 and 2170-</w:t>
            </w:r>
            <w:r w:rsidR="004B7B97" w:rsidRPr="0001217E">
              <w:rPr>
                <w:rFonts w:ascii="Arial" w:hAnsi="Arial" w:cs="Arial"/>
              </w:rPr>
              <w:t>2200 MHz for systems providing Mobile Satellite S</w:t>
            </w:r>
            <w:r w:rsidRPr="0001217E">
              <w:rPr>
                <w:rFonts w:ascii="Arial" w:hAnsi="Arial" w:cs="Arial"/>
              </w:rPr>
              <w:t>ervice</w:t>
            </w:r>
            <w:r w:rsidR="0001217E">
              <w:rPr>
                <w:rFonts w:ascii="Arial" w:hAnsi="Arial" w:cs="Arial"/>
              </w:rPr>
              <w:t>s including those providing CGC</w:t>
            </w:r>
            <w:r w:rsidR="0079536B">
              <w:rPr>
                <w:rFonts w:ascii="Arial" w:hAnsi="Arial" w:cs="Arial"/>
              </w:rPr>
              <w:t xml:space="preserve"> (February 2007)</w:t>
            </w:r>
            <w:r w:rsidR="0001217E">
              <w:rPr>
                <w:rFonts w:ascii="Arial" w:hAnsi="Arial" w:cs="Arial"/>
              </w:rPr>
              <w:t>;</w:t>
            </w:r>
            <w:r w:rsidR="00453016" w:rsidRPr="0001217E">
              <w:rPr>
                <w:rFonts w:ascii="Arial" w:hAnsi="Arial" w:cs="Arial"/>
              </w:rPr>
              <w:t xml:space="preserve">  </w:t>
            </w:r>
          </w:p>
          <w:p w:rsidR="0001217E" w:rsidRDefault="00A570C0" w:rsidP="0079536B">
            <w:pPr>
              <w:pStyle w:val="Listenabsatz"/>
              <w:numPr>
                <w:ilvl w:val="0"/>
                <w:numId w:val="4"/>
              </w:numPr>
              <w:spacing w:after="240"/>
              <w:rPr>
                <w:rFonts w:ascii="Arial" w:hAnsi="Arial" w:cs="Arial"/>
              </w:rPr>
            </w:pPr>
            <w:r w:rsidRPr="0001217E">
              <w:rPr>
                <w:rFonts w:ascii="Arial" w:hAnsi="Arial" w:cs="Arial"/>
              </w:rPr>
              <w:t>Decision 626/2008/EC</w:t>
            </w:r>
            <w:r w:rsidR="00732283" w:rsidRPr="0001217E">
              <w:rPr>
                <w:rFonts w:ascii="Arial" w:hAnsi="Arial" w:cs="Arial"/>
              </w:rPr>
              <w:t xml:space="preserve"> (“The MSS Decision”)</w:t>
            </w:r>
            <w:r w:rsidR="00BC6067" w:rsidRPr="00A570C0">
              <w:rPr>
                <w:rStyle w:val="Funotenzeichen"/>
                <w:rFonts w:ascii="Arial" w:hAnsi="Arial" w:cs="Arial"/>
              </w:rPr>
              <w:footnoteReference w:id="2"/>
            </w:r>
            <w:r w:rsidRPr="0001217E">
              <w:rPr>
                <w:rFonts w:ascii="Arial" w:hAnsi="Arial" w:cs="Arial"/>
              </w:rPr>
              <w:t xml:space="preserve"> </w:t>
            </w:r>
            <w:r w:rsidR="0079536B">
              <w:rPr>
                <w:rFonts w:ascii="Arial" w:hAnsi="Arial" w:cs="Arial"/>
              </w:rPr>
              <w:t xml:space="preserve">adopted by </w:t>
            </w:r>
            <w:r w:rsidR="0079536B" w:rsidRPr="0001217E">
              <w:rPr>
                <w:rFonts w:ascii="Arial" w:hAnsi="Arial" w:cs="Arial"/>
              </w:rPr>
              <w:t xml:space="preserve">the European Parliament and the Council adopted </w:t>
            </w:r>
            <w:r w:rsidR="00453016" w:rsidRPr="0001217E">
              <w:rPr>
                <w:rFonts w:ascii="Arial" w:hAnsi="Arial" w:cs="Arial"/>
              </w:rPr>
              <w:t xml:space="preserve">for </w:t>
            </w:r>
            <w:r w:rsidRPr="0001217E">
              <w:rPr>
                <w:rFonts w:ascii="Arial" w:hAnsi="Arial" w:cs="Arial"/>
              </w:rPr>
              <w:t>the selection and authorisation of</w:t>
            </w:r>
            <w:r w:rsidR="00146BE9" w:rsidRPr="0001217E">
              <w:rPr>
                <w:rFonts w:ascii="Arial" w:hAnsi="Arial" w:cs="Arial"/>
              </w:rPr>
              <w:t xml:space="preserve"> systems providing MSS</w:t>
            </w:r>
            <w:r w:rsidR="00453016" w:rsidRPr="0001217E">
              <w:rPr>
                <w:rFonts w:ascii="Arial" w:hAnsi="Arial" w:cs="Arial"/>
              </w:rPr>
              <w:t xml:space="preserve"> within the 2GHz bands</w:t>
            </w:r>
            <w:r w:rsidR="0079536B">
              <w:rPr>
                <w:rFonts w:ascii="Arial" w:hAnsi="Arial" w:cs="Arial"/>
              </w:rPr>
              <w:t>(</w:t>
            </w:r>
            <w:r w:rsidR="0079536B" w:rsidRPr="0079536B">
              <w:rPr>
                <w:rFonts w:ascii="Arial" w:hAnsi="Arial" w:cs="Arial"/>
              </w:rPr>
              <w:t>30 June 2008</w:t>
            </w:r>
            <w:r w:rsidR="0079536B">
              <w:rPr>
                <w:rFonts w:ascii="Arial" w:hAnsi="Arial" w:cs="Arial"/>
              </w:rPr>
              <w:t>);</w:t>
            </w:r>
            <w:r w:rsidR="00A4231C" w:rsidRPr="0001217E">
              <w:rPr>
                <w:rFonts w:ascii="Arial" w:hAnsi="Arial" w:cs="Arial"/>
              </w:rPr>
              <w:t xml:space="preserve"> </w:t>
            </w:r>
          </w:p>
          <w:p w:rsidR="00DD1297" w:rsidRPr="0001217E" w:rsidRDefault="0079536B" w:rsidP="0001217E">
            <w:pPr>
              <w:pStyle w:val="Listenabsatz"/>
              <w:numPr>
                <w:ilvl w:val="0"/>
                <w:numId w:val="4"/>
              </w:numPr>
              <w:spacing w:after="240"/>
              <w:rPr>
                <w:rFonts w:ascii="Arial" w:hAnsi="Arial" w:cs="Arial"/>
              </w:rPr>
            </w:pPr>
            <w:r w:rsidRPr="0001217E">
              <w:rPr>
                <w:rFonts w:ascii="Arial" w:hAnsi="Arial" w:cs="Arial"/>
              </w:rPr>
              <w:t>Decision No. 2009/449/EC</w:t>
            </w:r>
            <w:r>
              <w:rPr>
                <w:rStyle w:val="Funotenzeichen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</w:t>
            </w:r>
            <w:r w:rsidR="002F5EBB" w:rsidRPr="0001217E">
              <w:rPr>
                <w:rFonts w:ascii="Arial" w:hAnsi="Arial" w:cs="Arial"/>
              </w:rPr>
              <w:t xml:space="preserve">confirming the </w:t>
            </w:r>
            <w:r w:rsidR="00A4231C" w:rsidRPr="0001217E">
              <w:rPr>
                <w:rFonts w:ascii="Arial" w:hAnsi="Arial" w:cs="Arial"/>
              </w:rPr>
              <w:t xml:space="preserve">selection of </w:t>
            </w:r>
            <w:r w:rsidR="004F6392" w:rsidRPr="0001217E">
              <w:rPr>
                <w:rFonts w:ascii="Arial" w:hAnsi="Arial" w:cs="Arial"/>
              </w:rPr>
              <w:t xml:space="preserve">Inmarsat Ventures Ltd and Solaris Mobile Ltd </w:t>
            </w:r>
            <w:r>
              <w:rPr>
                <w:rFonts w:ascii="Arial" w:hAnsi="Arial" w:cs="Arial"/>
              </w:rPr>
              <w:t xml:space="preserve">as operators </w:t>
            </w:r>
            <w:r w:rsidR="00EB32F2">
              <w:rPr>
                <w:rFonts w:ascii="Arial" w:hAnsi="Arial" w:cs="Arial"/>
              </w:rPr>
              <w:t xml:space="preserve">for </w:t>
            </w:r>
            <w:r w:rsidRPr="0079536B">
              <w:rPr>
                <w:rFonts w:ascii="Arial" w:hAnsi="Arial" w:cs="Arial"/>
              </w:rPr>
              <w:t>pan-European systems providing mobile satellite services (MSS)</w:t>
            </w:r>
            <w:r>
              <w:rPr>
                <w:rFonts w:ascii="Arial" w:hAnsi="Arial" w:cs="Arial"/>
              </w:rPr>
              <w:t xml:space="preserve"> </w:t>
            </w:r>
            <w:r w:rsidR="00421A9A" w:rsidRPr="0001217E">
              <w:rPr>
                <w:rFonts w:ascii="Arial" w:hAnsi="Arial" w:cs="Arial"/>
              </w:rPr>
              <w:t xml:space="preserve">together with the </w:t>
            </w:r>
            <w:r w:rsidR="00A4231C" w:rsidRPr="0001217E">
              <w:rPr>
                <w:rFonts w:ascii="Arial" w:hAnsi="Arial" w:cs="Arial"/>
              </w:rPr>
              <w:t xml:space="preserve">specific frequency bands awarded to each </w:t>
            </w:r>
            <w:r w:rsidR="004A2AD6" w:rsidRPr="0001217E">
              <w:rPr>
                <w:rFonts w:ascii="Arial" w:hAnsi="Arial" w:cs="Arial"/>
              </w:rPr>
              <w:t xml:space="preserve">of them </w:t>
            </w:r>
            <w:r>
              <w:rPr>
                <w:rFonts w:ascii="Arial" w:hAnsi="Arial" w:cs="Arial"/>
              </w:rPr>
              <w:t>(13 May 2009)</w:t>
            </w:r>
            <w:r w:rsidR="00617DE8" w:rsidRPr="0001217E">
              <w:rPr>
                <w:rFonts w:ascii="Arial" w:hAnsi="Arial" w:cs="Arial"/>
              </w:rPr>
              <w:t>.</w:t>
            </w:r>
          </w:p>
          <w:p w:rsidR="00421A9A" w:rsidRDefault="00421A9A" w:rsidP="00421A9A">
            <w:pPr>
              <w:spacing w:after="240"/>
              <w:rPr>
                <w:rFonts w:ascii="Arial" w:hAnsi="Arial" w:cs="Arial"/>
                <w:bCs/>
                <w:lang w:eastAsia="en-IE"/>
              </w:rPr>
            </w:pPr>
            <w:r>
              <w:rPr>
                <w:rFonts w:ascii="Arial" w:hAnsi="Arial" w:cs="Arial"/>
                <w:bCs/>
                <w:lang w:eastAsia="en-IE"/>
              </w:rPr>
              <w:t xml:space="preserve">In addition to these EC Decisions, </w:t>
            </w:r>
            <w:r w:rsidRPr="00DD1297">
              <w:rPr>
                <w:rFonts w:ascii="Arial" w:hAnsi="Arial" w:cs="Arial"/>
                <w:bCs/>
                <w:lang w:eastAsia="en-IE"/>
              </w:rPr>
              <w:t xml:space="preserve">there are </w:t>
            </w:r>
            <w:r>
              <w:rPr>
                <w:rFonts w:ascii="Arial" w:hAnsi="Arial" w:cs="Arial"/>
                <w:bCs/>
                <w:lang w:eastAsia="en-IE"/>
              </w:rPr>
              <w:t xml:space="preserve">two relevant </w:t>
            </w:r>
            <w:r w:rsidRPr="00DD1297">
              <w:rPr>
                <w:rFonts w:ascii="Arial" w:hAnsi="Arial" w:cs="Arial"/>
                <w:bCs/>
                <w:lang w:eastAsia="en-IE"/>
              </w:rPr>
              <w:t xml:space="preserve">CEPT Decisions </w:t>
            </w:r>
            <w:r w:rsidR="00333E50">
              <w:rPr>
                <w:rFonts w:ascii="Arial" w:hAnsi="Arial" w:cs="Arial"/>
                <w:bCs/>
                <w:lang w:eastAsia="en-IE"/>
              </w:rPr>
              <w:t>(</w:t>
            </w:r>
            <w:r w:rsidRPr="00DD1297">
              <w:rPr>
                <w:rFonts w:ascii="Arial" w:hAnsi="Arial" w:cs="Arial"/>
                <w:bCs/>
                <w:lang w:eastAsia="en-IE"/>
              </w:rPr>
              <w:t>ECC/DEC/2006(09) and ECCDEC/2006(10)</w:t>
            </w:r>
            <w:r w:rsidR="00333E50">
              <w:rPr>
                <w:rFonts w:ascii="Arial" w:hAnsi="Arial" w:cs="Arial"/>
                <w:bCs/>
                <w:lang w:eastAsia="en-IE"/>
              </w:rPr>
              <w:t>)</w:t>
            </w:r>
            <w:r>
              <w:rPr>
                <w:rFonts w:ascii="Arial" w:hAnsi="Arial" w:cs="Arial"/>
                <w:bCs/>
                <w:lang w:eastAsia="en-IE"/>
              </w:rPr>
              <w:t xml:space="preserve"> on the designation of the </w:t>
            </w:r>
            <w:r w:rsidR="00333E50">
              <w:rPr>
                <w:rFonts w:ascii="Arial" w:hAnsi="Arial" w:cs="Arial"/>
                <w:bCs/>
                <w:lang w:eastAsia="en-IE"/>
              </w:rPr>
              <w:t xml:space="preserve">2GHz bands </w:t>
            </w:r>
            <w:r w:rsidRPr="00DD1297">
              <w:rPr>
                <w:rFonts w:ascii="Arial" w:hAnsi="Arial" w:cs="Arial"/>
                <w:bCs/>
                <w:lang w:eastAsia="en-IE"/>
              </w:rPr>
              <w:t xml:space="preserve">for </w:t>
            </w:r>
            <w:r w:rsidR="00333E50">
              <w:rPr>
                <w:rFonts w:ascii="Arial" w:hAnsi="Arial" w:cs="Arial"/>
                <w:bCs/>
                <w:lang w:eastAsia="en-IE"/>
              </w:rPr>
              <w:t>MSS</w:t>
            </w:r>
            <w:r>
              <w:rPr>
                <w:rFonts w:ascii="Arial" w:hAnsi="Arial" w:cs="Arial"/>
                <w:bCs/>
                <w:lang w:eastAsia="en-IE"/>
              </w:rPr>
              <w:t xml:space="preserve"> including </w:t>
            </w:r>
            <w:r w:rsidR="00333E50">
              <w:rPr>
                <w:rFonts w:ascii="Arial" w:hAnsi="Arial" w:cs="Arial"/>
                <w:bCs/>
                <w:lang w:eastAsia="en-IE"/>
              </w:rPr>
              <w:t>CGC</w:t>
            </w:r>
            <w:r>
              <w:rPr>
                <w:rFonts w:ascii="Arial" w:hAnsi="Arial" w:cs="Arial"/>
                <w:bCs/>
                <w:lang w:eastAsia="en-IE"/>
              </w:rPr>
              <w:t>.</w:t>
            </w:r>
          </w:p>
          <w:p w:rsidR="00333E50" w:rsidRDefault="00333E50" w:rsidP="00333E50">
            <w:pPr>
              <w:spacing w:after="240"/>
              <w:rPr>
                <w:rFonts w:ascii="Arial" w:hAnsi="Arial" w:cs="Arial"/>
                <w:bCs/>
                <w:lang w:eastAsia="en-IE"/>
              </w:rPr>
            </w:pPr>
            <w:r>
              <w:rPr>
                <w:rFonts w:ascii="Arial" w:hAnsi="Arial" w:cs="Arial"/>
              </w:rPr>
              <w:t>The MSS Decision authorises</w:t>
            </w:r>
            <w:r w:rsidRPr="00772D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use of the </w:t>
            </w:r>
            <w:r w:rsidRPr="00772D90">
              <w:rPr>
                <w:rFonts w:ascii="Arial" w:hAnsi="Arial" w:cs="Arial"/>
              </w:rPr>
              <w:t xml:space="preserve">2GHz </w:t>
            </w:r>
            <w:r>
              <w:rPr>
                <w:rFonts w:ascii="Arial" w:hAnsi="Arial" w:cs="Arial"/>
              </w:rPr>
              <w:t>frequencies by Inmarsat and Solaris until</w:t>
            </w:r>
            <w:r w:rsidRPr="00772D90">
              <w:rPr>
                <w:rFonts w:ascii="Arial" w:hAnsi="Arial" w:cs="Arial"/>
              </w:rPr>
              <w:t xml:space="preserve"> May 2027, subject to specific obligations </w:t>
            </w:r>
            <w:r>
              <w:rPr>
                <w:rFonts w:ascii="Arial" w:hAnsi="Arial" w:cs="Arial"/>
              </w:rPr>
              <w:t xml:space="preserve">to be met </w:t>
            </w:r>
            <w:r w:rsidRPr="00772D90">
              <w:rPr>
                <w:rFonts w:ascii="Arial" w:hAnsi="Arial" w:cs="Arial"/>
              </w:rPr>
              <w:t>(e.g. coverage and objectives)</w:t>
            </w:r>
            <w:r>
              <w:rPr>
                <w:rFonts w:ascii="Arial" w:hAnsi="Arial" w:cs="Arial"/>
              </w:rPr>
              <w:t xml:space="preserve">.  It also </w:t>
            </w:r>
            <w:r w:rsidRPr="00772D90">
              <w:rPr>
                <w:rFonts w:ascii="Arial" w:hAnsi="Arial" w:cs="Arial"/>
              </w:rPr>
              <w:t xml:space="preserve">requires </w:t>
            </w:r>
            <w:r>
              <w:rPr>
                <w:rFonts w:ascii="Arial" w:hAnsi="Arial" w:cs="Arial"/>
              </w:rPr>
              <w:t>the</w:t>
            </w:r>
            <w:r w:rsidRPr="00772D90">
              <w:rPr>
                <w:rFonts w:ascii="Arial" w:hAnsi="Arial" w:cs="Arial"/>
              </w:rPr>
              <w:t xml:space="preserve"> Member States </w:t>
            </w:r>
            <w:r>
              <w:rPr>
                <w:rFonts w:ascii="Arial" w:hAnsi="Arial" w:cs="Arial"/>
              </w:rPr>
              <w:t xml:space="preserve">to </w:t>
            </w:r>
            <w:r w:rsidRPr="00772D90">
              <w:rPr>
                <w:rFonts w:ascii="Arial" w:hAnsi="Arial" w:cs="Arial"/>
              </w:rPr>
              <w:t>make the spectrum available for MSS (including CGCs), again subject to specific obligations (e.g., MSS licence application</w:t>
            </w:r>
            <w:r>
              <w:rPr>
                <w:rFonts w:ascii="Arial" w:hAnsi="Arial" w:cs="Arial"/>
              </w:rPr>
              <w:t>,</w:t>
            </w:r>
            <w:r w:rsidRPr="00772D90">
              <w:rPr>
                <w:rFonts w:ascii="Arial" w:hAnsi="Arial" w:cs="Arial"/>
              </w:rPr>
              <w:t xml:space="preserve"> fulfilment of licensing conditions</w:t>
            </w:r>
            <w:r>
              <w:rPr>
                <w:rFonts w:ascii="Arial" w:hAnsi="Arial" w:cs="Arial"/>
              </w:rPr>
              <w:t xml:space="preserve"> and like terms</w:t>
            </w:r>
            <w:r w:rsidRPr="00772D9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950041" w:rsidRPr="00950041" w:rsidRDefault="00772D90" w:rsidP="00950041">
            <w:pPr>
              <w:spacing w:after="24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These and other legal and regulatory issues will need to be resolved to </w:t>
            </w:r>
            <w:r w:rsidR="005D433F">
              <w:rPr>
                <w:rFonts w:ascii="Arial" w:hAnsi="Arial" w:cs="Arial"/>
              </w:rPr>
              <w:t xml:space="preserve">permit </w:t>
            </w:r>
            <w:r>
              <w:rPr>
                <w:rFonts w:ascii="Arial" w:hAnsi="Arial" w:cs="Arial"/>
              </w:rPr>
              <w:t xml:space="preserve">DA2GC systems to operate in the 2GHz bands.  </w:t>
            </w:r>
            <w:r w:rsidR="00902178">
              <w:rPr>
                <w:rFonts w:ascii="Arial" w:hAnsi="Arial" w:cs="Arial"/>
              </w:rPr>
              <w:t>In particular, amendment</w:t>
            </w:r>
            <w:r w:rsidR="00325813">
              <w:rPr>
                <w:rFonts w:ascii="Arial" w:hAnsi="Arial" w:cs="Arial"/>
              </w:rPr>
              <w:t>s</w:t>
            </w:r>
            <w:r w:rsidR="00902178">
              <w:rPr>
                <w:rFonts w:ascii="Arial" w:hAnsi="Arial" w:cs="Arial"/>
              </w:rPr>
              <w:t xml:space="preserve"> of existing EC D</w:t>
            </w:r>
            <w:r w:rsidR="00421A9A">
              <w:rPr>
                <w:rFonts w:ascii="Arial" w:hAnsi="Arial" w:cs="Arial"/>
              </w:rPr>
              <w:t>ecisions</w:t>
            </w:r>
            <w:r w:rsidR="00C746BE">
              <w:rPr>
                <w:rFonts w:ascii="Arial" w:hAnsi="Arial" w:cs="Arial"/>
              </w:rPr>
              <w:t>, CEPT Decisions,</w:t>
            </w:r>
            <w:r w:rsidR="00902178">
              <w:rPr>
                <w:rFonts w:ascii="Arial" w:hAnsi="Arial" w:cs="Arial"/>
              </w:rPr>
              <w:t xml:space="preserve"> and any national regulations of MSS licence grants</w:t>
            </w:r>
            <w:r w:rsidR="00325813">
              <w:rPr>
                <w:rFonts w:ascii="Arial" w:hAnsi="Arial" w:cs="Arial"/>
              </w:rPr>
              <w:t xml:space="preserve"> would be required</w:t>
            </w:r>
            <w:r w:rsidR="00421A9A">
              <w:rPr>
                <w:rFonts w:ascii="Arial" w:hAnsi="Arial" w:cs="Arial"/>
              </w:rPr>
              <w:t xml:space="preserve">.  </w:t>
            </w:r>
            <w:r w:rsidR="00F32DB8">
              <w:rPr>
                <w:rFonts w:ascii="Arial" w:hAnsi="Arial" w:cs="Arial"/>
              </w:rPr>
              <w:t>In this way</w:t>
            </w:r>
            <w:r w:rsidR="00325813">
              <w:rPr>
                <w:rFonts w:ascii="Arial" w:hAnsi="Arial" w:cs="Arial"/>
              </w:rPr>
              <w:t xml:space="preserve">, </w:t>
            </w:r>
            <w:r w:rsidR="00902178">
              <w:rPr>
                <w:rFonts w:ascii="Arial" w:hAnsi="Arial" w:cs="Arial"/>
              </w:rPr>
              <w:t xml:space="preserve">the 2GHz bands, </w:t>
            </w:r>
            <w:r w:rsidR="00421A9A">
              <w:rPr>
                <w:rFonts w:ascii="Arial" w:hAnsi="Arial" w:cs="Arial"/>
              </w:rPr>
              <w:t xml:space="preserve">if identified within WG FM and FM48, </w:t>
            </w:r>
            <w:r w:rsidR="005D433F">
              <w:rPr>
                <w:rFonts w:ascii="Arial" w:hAnsi="Arial" w:cs="Arial"/>
              </w:rPr>
              <w:t>should be considered as ‘Category 4’ c</w:t>
            </w:r>
            <w:r w:rsidR="005D433F" w:rsidRPr="005D433F">
              <w:rPr>
                <w:rFonts w:ascii="Arial" w:hAnsi="Arial" w:cs="Arial"/>
              </w:rPr>
              <w:t xml:space="preserve">andidate bands for Broadband DA2GC </w:t>
            </w:r>
            <w:r w:rsidR="00421A9A">
              <w:rPr>
                <w:rFonts w:ascii="Arial" w:hAnsi="Arial" w:cs="Arial"/>
              </w:rPr>
              <w:t xml:space="preserve">(i.e., those </w:t>
            </w:r>
            <w:r w:rsidR="00421A9A" w:rsidRPr="00421A9A">
              <w:rPr>
                <w:rFonts w:ascii="Arial" w:hAnsi="Arial" w:cs="Arial"/>
              </w:rPr>
              <w:t xml:space="preserve">with high regulatory obstacles for </w:t>
            </w:r>
            <w:r w:rsidR="004A2AD6">
              <w:rPr>
                <w:rFonts w:ascii="Arial" w:hAnsi="Arial" w:cs="Arial"/>
              </w:rPr>
              <w:t>an</w:t>
            </w:r>
            <w:r w:rsidR="00325813">
              <w:rPr>
                <w:rFonts w:ascii="Arial" w:hAnsi="Arial" w:cs="Arial"/>
              </w:rPr>
              <w:t xml:space="preserve"> allocation to</w:t>
            </w:r>
            <w:r w:rsidR="00421A9A" w:rsidRPr="00421A9A">
              <w:rPr>
                <w:rFonts w:ascii="Arial" w:hAnsi="Arial" w:cs="Arial"/>
              </w:rPr>
              <w:t xml:space="preserve"> Broadband DA2GC systems</w:t>
            </w:r>
            <w:r w:rsidR="00421A9A">
              <w:rPr>
                <w:rFonts w:ascii="Arial" w:hAnsi="Arial" w:cs="Arial"/>
              </w:rPr>
              <w:t>).</w:t>
            </w:r>
          </w:p>
          <w:p w:rsidR="001377FE" w:rsidRPr="00772D90" w:rsidRDefault="006B57EE" w:rsidP="00905DB4">
            <w:pPr>
              <w:spacing w:after="240"/>
              <w:rPr>
                <w:rFonts w:ascii="Arial" w:hAnsi="Arial" w:cs="Arial"/>
                <w:bCs/>
                <w:highlight w:val="yellow"/>
                <w:lang w:eastAsia="en-IE"/>
              </w:rPr>
            </w:pPr>
            <w:r>
              <w:rPr>
                <w:rFonts w:ascii="Arial" w:hAnsi="Arial" w:cs="Arial"/>
              </w:rPr>
              <w:t>In addition</w:t>
            </w:r>
            <w:r w:rsidR="00772D90">
              <w:rPr>
                <w:rFonts w:ascii="Arial" w:hAnsi="Arial" w:cs="Arial"/>
              </w:rPr>
              <w:t xml:space="preserve"> to the</w:t>
            </w:r>
            <w:r w:rsidR="00680C84">
              <w:rPr>
                <w:rFonts w:ascii="Arial" w:hAnsi="Arial" w:cs="Arial"/>
              </w:rPr>
              <w:t>se</w:t>
            </w:r>
            <w:r w:rsidR="00772D90">
              <w:rPr>
                <w:rFonts w:ascii="Arial" w:hAnsi="Arial" w:cs="Arial"/>
              </w:rPr>
              <w:t xml:space="preserve"> acute legal and regulatory issues </w:t>
            </w:r>
            <w:r w:rsidR="00680C84">
              <w:rPr>
                <w:rFonts w:ascii="Arial" w:hAnsi="Arial" w:cs="Arial"/>
              </w:rPr>
              <w:t>to be resolved</w:t>
            </w:r>
            <w:r>
              <w:rPr>
                <w:rFonts w:ascii="Arial" w:hAnsi="Arial" w:cs="Arial"/>
              </w:rPr>
              <w:t xml:space="preserve">, there </w:t>
            </w:r>
            <w:r w:rsidR="00325813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likely</w:t>
            </w:r>
            <w:r w:rsidR="001377FE">
              <w:rPr>
                <w:rFonts w:ascii="Arial" w:hAnsi="Arial" w:cs="Arial"/>
              </w:rPr>
              <w:t xml:space="preserve"> </w:t>
            </w:r>
            <w:r w:rsidR="00680C84">
              <w:rPr>
                <w:rFonts w:ascii="Arial" w:hAnsi="Arial" w:cs="Arial"/>
              </w:rPr>
              <w:t xml:space="preserve">to be </w:t>
            </w:r>
            <w:r w:rsidR="001377FE">
              <w:rPr>
                <w:rFonts w:ascii="Arial" w:hAnsi="Arial" w:cs="Arial"/>
              </w:rPr>
              <w:t xml:space="preserve">technical compatibility issues </w:t>
            </w:r>
            <w:r w:rsidR="00680C84">
              <w:rPr>
                <w:rFonts w:ascii="Arial" w:hAnsi="Arial" w:cs="Arial"/>
              </w:rPr>
              <w:t>to be overcome</w:t>
            </w:r>
            <w:r w:rsidR="001377FE">
              <w:rPr>
                <w:rFonts w:ascii="Arial" w:hAnsi="Arial" w:cs="Arial"/>
              </w:rPr>
              <w:t xml:space="preserve">.  </w:t>
            </w:r>
            <w:r w:rsidR="001377FE" w:rsidRPr="00A33FBB">
              <w:rPr>
                <w:rFonts w:ascii="Arial" w:hAnsi="Arial" w:cs="Arial"/>
              </w:rPr>
              <w:t xml:space="preserve">MSS </w:t>
            </w:r>
            <w:r w:rsidR="001377FE">
              <w:rPr>
                <w:rFonts w:ascii="Arial" w:hAnsi="Arial" w:cs="Arial"/>
              </w:rPr>
              <w:t xml:space="preserve">and MS </w:t>
            </w:r>
            <w:r w:rsidR="001377FE" w:rsidRPr="00A33FBB">
              <w:rPr>
                <w:rFonts w:ascii="Arial" w:hAnsi="Arial" w:cs="Arial"/>
              </w:rPr>
              <w:t xml:space="preserve">systems </w:t>
            </w:r>
            <w:r w:rsidR="00680C84">
              <w:rPr>
                <w:rFonts w:ascii="Arial" w:hAnsi="Arial" w:cs="Arial"/>
              </w:rPr>
              <w:t xml:space="preserve">make use of </w:t>
            </w:r>
            <w:r w:rsidR="001377FE" w:rsidRPr="00A33FBB">
              <w:rPr>
                <w:rFonts w:ascii="Arial" w:hAnsi="Arial" w:cs="Arial"/>
              </w:rPr>
              <w:t xml:space="preserve">small user terminals </w:t>
            </w:r>
            <w:r w:rsidR="00680C84">
              <w:rPr>
                <w:rFonts w:ascii="Arial" w:hAnsi="Arial" w:cs="Arial"/>
              </w:rPr>
              <w:t xml:space="preserve">having </w:t>
            </w:r>
            <w:r w:rsidR="001377FE" w:rsidRPr="00A33FBB">
              <w:rPr>
                <w:rFonts w:ascii="Arial" w:hAnsi="Arial" w:cs="Arial"/>
              </w:rPr>
              <w:t xml:space="preserve">low </w:t>
            </w:r>
            <w:r w:rsidR="00680C84">
              <w:rPr>
                <w:rFonts w:ascii="Arial" w:hAnsi="Arial" w:cs="Arial"/>
              </w:rPr>
              <w:t xml:space="preserve">antenna gain in order to </w:t>
            </w:r>
            <w:r w:rsidR="001377FE" w:rsidRPr="00A33FBB">
              <w:rPr>
                <w:rFonts w:ascii="Arial" w:hAnsi="Arial" w:cs="Arial"/>
              </w:rPr>
              <w:t xml:space="preserve">support mobile operation. </w:t>
            </w:r>
            <w:r w:rsidR="00902178">
              <w:rPr>
                <w:rFonts w:ascii="Arial" w:hAnsi="Arial" w:cs="Arial"/>
              </w:rPr>
              <w:t xml:space="preserve">Consequently, there is </w:t>
            </w:r>
            <w:r w:rsidR="001377FE">
              <w:rPr>
                <w:rFonts w:ascii="Arial" w:hAnsi="Arial" w:cs="Arial"/>
              </w:rPr>
              <w:t xml:space="preserve">likely to be significant potential for interference between DA2GC and MSS and MS </w:t>
            </w:r>
            <w:r w:rsidR="00325813">
              <w:rPr>
                <w:rFonts w:ascii="Arial" w:hAnsi="Arial" w:cs="Arial"/>
              </w:rPr>
              <w:t xml:space="preserve">networks </w:t>
            </w:r>
            <w:r w:rsidR="00680C84">
              <w:rPr>
                <w:rFonts w:ascii="Arial" w:hAnsi="Arial" w:cs="Arial"/>
              </w:rPr>
              <w:t xml:space="preserve">unless there is a high degree of </w:t>
            </w:r>
            <w:r w:rsidR="00902178">
              <w:rPr>
                <w:rFonts w:ascii="Arial" w:hAnsi="Arial" w:cs="Arial"/>
              </w:rPr>
              <w:t xml:space="preserve">combined </w:t>
            </w:r>
            <w:r w:rsidR="00680C84">
              <w:rPr>
                <w:rFonts w:ascii="Arial" w:hAnsi="Arial" w:cs="Arial"/>
              </w:rPr>
              <w:t>integration of these systems</w:t>
            </w:r>
            <w:r w:rsidR="001377FE">
              <w:rPr>
                <w:rFonts w:ascii="Arial" w:hAnsi="Arial" w:cs="Arial"/>
              </w:rPr>
              <w:t xml:space="preserve">. Indeed, </w:t>
            </w:r>
            <w:r w:rsidR="00333E50">
              <w:rPr>
                <w:rFonts w:ascii="Arial" w:hAnsi="Arial" w:cs="Arial"/>
              </w:rPr>
              <w:t xml:space="preserve">simultaneous </w:t>
            </w:r>
            <w:r w:rsidR="001377FE" w:rsidRPr="00644C2A">
              <w:rPr>
                <w:rFonts w:ascii="Arial" w:hAnsi="Arial" w:cs="Arial"/>
              </w:rPr>
              <w:t xml:space="preserve">MSS and CGC operations </w:t>
            </w:r>
            <w:r w:rsidR="00325813">
              <w:rPr>
                <w:rFonts w:ascii="Arial" w:hAnsi="Arial" w:cs="Arial"/>
              </w:rPr>
              <w:t xml:space="preserve">already </w:t>
            </w:r>
            <w:r w:rsidR="001377FE">
              <w:rPr>
                <w:rFonts w:ascii="Arial" w:hAnsi="Arial" w:cs="Arial"/>
              </w:rPr>
              <w:t xml:space="preserve">are only </w:t>
            </w:r>
            <w:r w:rsidR="001377FE" w:rsidRPr="00A33FBB">
              <w:rPr>
                <w:rFonts w:ascii="Arial" w:hAnsi="Arial" w:cs="Arial"/>
              </w:rPr>
              <w:t>possible when both are under the control of the same frequency m</w:t>
            </w:r>
            <w:r w:rsidR="00772D90">
              <w:rPr>
                <w:rFonts w:ascii="Arial" w:hAnsi="Arial" w:cs="Arial"/>
              </w:rPr>
              <w:t xml:space="preserve">anagement system to ensure that the same frequencies are not used within the same </w:t>
            </w:r>
            <w:r w:rsidR="00325813">
              <w:rPr>
                <w:rFonts w:ascii="Arial" w:hAnsi="Arial" w:cs="Arial"/>
              </w:rPr>
              <w:t>geographical area</w:t>
            </w:r>
            <w:r w:rsidR="00325813" w:rsidRPr="00A33FBB">
              <w:rPr>
                <w:rFonts w:ascii="Arial" w:hAnsi="Arial" w:cs="Arial"/>
              </w:rPr>
              <w:t xml:space="preserve"> </w:t>
            </w:r>
            <w:r w:rsidR="001377FE" w:rsidRPr="00A33FBB">
              <w:rPr>
                <w:rFonts w:ascii="Arial" w:hAnsi="Arial" w:cs="Arial"/>
              </w:rPr>
              <w:t>at the same time.</w:t>
            </w:r>
          </w:p>
          <w:p w:rsidR="00BA5EDA" w:rsidRDefault="00C84274" w:rsidP="00333E50">
            <w:pPr>
              <w:spacing w:after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5DB4">
              <w:rPr>
                <w:rFonts w:ascii="Arial" w:hAnsi="Arial" w:cs="Arial"/>
                <w:b/>
                <w:sz w:val="22"/>
                <w:szCs w:val="22"/>
              </w:rPr>
              <w:t>Conclusion.</w:t>
            </w:r>
            <w:r w:rsidRPr="00905DB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905DB4">
              <w:rPr>
                <w:rFonts w:ascii="Arial" w:hAnsi="Arial" w:cs="Arial"/>
                <w:sz w:val="22"/>
                <w:szCs w:val="22"/>
              </w:rPr>
              <w:br/>
            </w:r>
            <w:r w:rsidRPr="00C84274">
              <w:rPr>
                <w:rFonts w:ascii="Arial" w:eastAsiaTheme="minorHAnsi" w:hAnsi="Arial" w:cs="Arial"/>
                <w:lang w:eastAsia="en-US"/>
              </w:rPr>
              <w:t xml:space="preserve">It is the Inmarsat’s </w:t>
            </w:r>
            <w:r w:rsidR="00F32DB8" w:rsidRPr="00C84274">
              <w:rPr>
                <w:rFonts w:ascii="Arial" w:eastAsiaTheme="minorHAnsi" w:hAnsi="Arial" w:cs="Arial"/>
                <w:lang w:eastAsia="en-US"/>
              </w:rPr>
              <w:t>view that acute legal, regulatory and technical challenges exist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 that</w:t>
            </w:r>
            <w:r w:rsidR="00F32DB8" w:rsidRPr="00C8427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F32DB8">
              <w:rPr>
                <w:rFonts w:ascii="Arial" w:eastAsiaTheme="minorHAnsi" w:hAnsi="Arial" w:cs="Arial"/>
                <w:lang w:eastAsia="en-US"/>
              </w:rPr>
              <w:t>precludes</w:t>
            </w:r>
            <w:r w:rsidRPr="00C8427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the </w:t>
            </w:r>
            <w:r w:rsidRPr="00C84274">
              <w:rPr>
                <w:rFonts w:ascii="Arial" w:eastAsiaTheme="minorHAnsi" w:hAnsi="Arial" w:cs="Arial"/>
                <w:lang w:eastAsia="en-US"/>
              </w:rPr>
              <w:t xml:space="preserve">satisfactory operation for DA2GC services in the presence of MSS </w:t>
            </w:r>
            <w:r w:rsidR="00333E50">
              <w:rPr>
                <w:rFonts w:ascii="Arial" w:eastAsiaTheme="minorHAnsi" w:hAnsi="Arial" w:cs="Arial"/>
                <w:lang w:eastAsia="en-US"/>
              </w:rPr>
              <w:t xml:space="preserve">or CGC </w:t>
            </w:r>
            <w:r w:rsidRPr="00C84274">
              <w:rPr>
                <w:rFonts w:ascii="Arial" w:eastAsiaTheme="minorHAnsi" w:hAnsi="Arial" w:cs="Arial"/>
                <w:lang w:eastAsia="en-US"/>
              </w:rPr>
              <w:t xml:space="preserve">services within the 2GHz bands.  </w:t>
            </w:r>
            <w:r w:rsidR="00C746BE">
              <w:rPr>
                <w:rFonts w:ascii="Arial" w:eastAsiaTheme="minorHAnsi" w:hAnsi="Arial" w:cs="Arial"/>
                <w:lang w:eastAsia="en-US"/>
              </w:rPr>
              <w:t xml:space="preserve">In particular, we have significant concerns for the potential for interference from DA2GC into MSS satellite and mobile station receivers, and 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from DA2GC systems into </w:t>
            </w:r>
            <w:r w:rsidR="00C746BE">
              <w:rPr>
                <w:rFonts w:ascii="Arial" w:eastAsiaTheme="minorHAnsi" w:hAnsi="Arial" w:cs="Arial"/>
                <w:lang w:eastAsia="en-US"/>
              </w:rPr>
              <w:t xml:space="preserve">CGC base-station and </w:t>
            </w:r>
            <w:r w:rsidR="004B43DC">
              <w:rPr>
                <w:rFonts w:ascii="Arial" w:eastAsiaTheme="minorHAnsi" w:hAnsi="Arial" w:cs="Arial"/>
                <w:lang w:eastAsia="en-US"/>
              </w:rPr>
              <w:t xml:space="preserve">user equipment </w:t>
            </w:r>
            <w:r w:rsidR="00C746BE">
              <w:rPr>
                <w:rFonts w:ascii="Arial" w:eastAsiaTheme="minorHAnsi" w:hAnsi="Arial" w:cs="Arial"/>
                <w:lang w:eastAsia="en-US"/>
              </w:rPr>
              <w:t>receivers</w:t>
            </w:r>
            <w:r w:rsidR="00F32DB8">
              <w:rPr>
                <w:rFonts w:ascii="Arial" w:eastAsiaTheme="minorHAnsi" w:hAnsi="Arial" w:cs="Arial"/>
                <w:lang w:eastAsia="en-US"/>
              </w:rPr>
              <w:t>,</w:t>
            </w:r>
            <w:r w:rsidR="00C746B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that would make </w:t>
            </w:r>
            <w:r w:rsidR="00C746BE">
              <w:rPr>
                <w:rFonts w:ascii="Arial" w:eastAsiaTheme="minorHAnsi" w:hAnsi="Arial" w:cs="Arial"/>
                <w:lang w:eastAsia="en-US"/>
              </w:rPr>
              <w:t>the provision of DA2GC communications within the 2GHz band unacceptable.</w:t>
            </w:r>
            <w:r w:rsidR="00DE2DF7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="00F32DB8">
              <w:rPr>
                <w:rFonts w:ascii="Arial" w:eastAsiaTheme="minorHAnsi" w:hAnsi="Arial" w:cs="Arial"/>
                <w:lang w:eastAsia="en-US"/>
              </w:rPr>
              <w:t>W</w:t>
            </w:r>
            <w:r w:rsidR="004B43DC">
              <w:rPr>
                <w:rFonts w:ascii="Arial" w:eastAsiaTheme="minorHAnsi" w:hAnsi="Arial" w:cs="Arial"/>
                <w:lang w:eastAsia="en-US"/>
              </w:rPr>
              <w:t xml:space="preserve">e 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therefore </w:t>
            </w:r>
            <w:r w:rsidR="004B43DC">
              <w:rPr>
                <w:rFonts w:ascii="Arial" w:eastAsiaTheme="minorHAnsi" w:hAnsi="Arial" w:cs="Arial"/>
                <w:lang w:eastAsia="en-US"/>
              </w:rPr>
              <w:t>encourage</w:t>
            </w:r>
            <w:r w:rsidRPr="00C84274">
              <w:rPr>
                <w:rFonts w:ascii="Arial" w:eastAsiaTheme="minorHAnsi" w:hAnsi="Arial" w:cs="Arial"/>
                <w:lang w:eastAsia="en-US"/>
              </w:rPr>
              <w:t xml:space="preserve"> FM48 not include these bands as </w:t>
            </w:r>
            <w:r w:rsidR="004B43DC">
              <w:rPr>
                <w:rFonts w:ascii="Arial" w:eastAsiaTheme="minorHAnsi" w:hAnsi="Arial" w:cs="Arial"/>
                <w:lang w:eastAsia="en-US"/>
              </w:rPr>
              <w:t xml:space="preserve">potential </w:t>
            </w:r>
            <w:r w:rsidRPr="00C84274">
              <w:rPr>
                <w:rFonts w:ascii="Arial" w:eastAsiaTheme="minorHAnsi" w:hAnsi="Arial" w:cs="Arial"/>
                <w:lang w:eastAsia="en-US"/>
              </w:rPr>
              <w:t>candidate bands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 for consideration for DA2GC systems</w:t>
            </w:r>
            <w:r w:rsidR="00950041">
              <w:rPr>
                <w:rFonts w:ascii="Arial" w:eastAsiaTheme="minorHAnsi" w:hAnsi="Arial" w:cs="Arial"/>
                <w:lang w:eastAsia="en-US"/>
              </w:rPr>
              <w:t>, ev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en under a </w:t>
            </w:r>
            <w:r w:rsidR="00333E50">
              <w:rPr>
                <w:rFonts w:ascii="Arial" w:eastAsiaTheme="minorHAnsi" w:hAnsi="Arial" w:cs="Arial"/>
                <w:lang w:eastAsia="en-US"/>
              </w:rPr>
              <w:t xml:space="preserve">non-interference, non-protection, </w:t>
            </w:r>
            <w:r w:rsidR="00902178">
              <w:rPr>
                <w:rFonts w:ascii="Arial" w:eastAsiaTheme="minorHAnsi" w:hAnsi="Arial" w:cs="Arial"/>
                <w:lang w:eastAsia="en-US"/>
              </w:rPr>
              <w:t>secondary allocation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 basis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.  Furthermore, </w:t>
            </w:r>
            <w:r w:rsidR="00950041">
              <w:rPr>
                <w:rFonts w:ascii="Arial" w:eastAsiaTheme="minorHAnsi" w:hAnsi="Arial" w:cs="Arial"/>
                <w:lang w:eastAsia="en-US"/>
              </w:rPr>
              <w:t xml:space="preserve">given the significant 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regulatory and technical </w:t>
            </w:r>
            <w:r w:rsidR="00902178">
              <w:rPr>
                <w:rFonts w:ascii="Arial" w:eastAsiaTheme="minorHAnsi" w:hAnsi="Arial" w:cs="Arial"/>
                <w:lang w:eastAsia="en-US"/>
              </w:rPr>
              <w:t>constraints</w:t>
            </w:r>
            <w:r w:rsidR="00950041">
              <w:rPr>
                <w:rFonts w:ascii="Arial" w:eastAsiaTheme="minorHAnsi" w:hAnsi="Arial" w:cs="Arial"/>
                <w:lang w:eastAsia="en-US"/>
              </w:rPr>
              <w:t xml:space="preserve"> that are identified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, it is considered there 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would be 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little </w:t>
            </w:r>
            <w:r w:rsidR="00C746BE">
              <w:rPr>
                <w:rFonts w:ascii="Arial" w:eastAsiaTheme="minorHAnsi" w:hAnsi="Arial" w:cs="Arial"/>
                <w:lang w:eastAsia="en-US"/>
              </w:rPr>
              <w:t xml:space="preserve">merit </w:t>
            </w:r>
            <w:r w:rsidR="00902178">
              <w:rPr>
                <w:rFonts w:ascii="Arial" w:eastAsiaTheme="minorHAnsi" w:hAnsi="Arial" w:cs="Arial"/>
                <w:lang w:eastAsia="en-US"/>
              </w:rPr>
              <w:t>for FM48</w:t>
            </w:r>
            <w:r w:rsidR="00902178" w:rsidRPr="00C84274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to </w:t>
            </w:r>
            <w:r w:rsidR="00902178" w:rsidRPr="00C84274">
              <w:rPr>
                <w:rFonts w:ascii="Arial" w:eastAsiaTheme="minorHAnsi" w:hAnsi="Arial" w:cs="Arial"/>
                <w:lang w:eastAsia="en-US"/>
              </w:rPr>
              <w:t xml:space="preserve">refer </w:t>
            </w:r>
            <w:r w:rsidR="00F32DB8">
              <w:rPr>
                <w:rFonts w:ascii="Arial" w:eastAsiaTheme="minorHAnsi" w:hAnsi="Arial" w:cs="Arial"/>
                <w:lang w:eastAsia="en-US"/>
              </w:rPr>
              <w:t xml:space="preserve">this </w:t>
            </w:r>
            <w:r w:rsidR="00902178" w:rsidRPr="00C84274">
              <w:rPr>
                <w:rFonts w:ascii="Arial" w:eastAsiaTheme="minorHAnsi" w:hAnsi="Arial" w:cs="Arial"/>
                <w:lang w:eastAsia="en-US"/>
              </w:rPr>
              <w:t xml:space="preserve">matter to 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Working Group </w:t>
            </w:r>
            <w:r w:rsidR="00902178" w:rsidRPr="00C84274">
              <w:rPr>
                <w:rFonts w:ascii="Arial" w:eastAsiaTheme="minorHAnsi" w:hAnsi="Arial" w:cs="Arial"/>
                <w:lang w:eastAsia="en-US"/>
              </w:rPr>
              <w:t>FM</w:t>
            </w:r>
            <w:r w:rsidR="00902178">
              <w:rPr>
                <w:rFonts w:ascii="Arial" w:eastAsiaTheme="minorHAnsi" w:hAnsi="Arial" w:cs="Arial"/>
                <w:lang w:eastAsia="en-US"/>
              </w:rPr>
              <w:t xml:space="preserve"> for further consideration.</w:t>
            </w:r>
            <w:r w:rsidR="00421A9A">
              <w:rPr>
                <w:rFonts w:ascii="Arial" w:hAnsi="Arial" w:cs="Arial"/>
                <w:b/>
              </w:rPr>
              <w:br/>
            </w:r>
            <w:r w:rsidR="00421A9A">
              <w:rPr>
                <w:rFonts w:ascii="Arial" w:hAnsi="Arial" w:cs="Arial"/>
                <w:b/>
              </w:rPr>
              <w:br/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 xml:space="preserve">Inmarsat is continuing to explore </w:t>
            </w:r>
            <w:r w:rsidR="00A24E3C" w:rsidRPr="009B4E86">
              <w:rPr>
                <w:rFonts w:ascii="Arial" w:eastAsiaTheme="minorHAnsi" w:hAnsi="Arial" w:cs="Arial"/>
                <w:lang w:eastAsia="en-US"/>
              </w:rPr>
              <w:t xml:space="preserve">actively </w:t>
            </w:r>
            <w:r w:rsidR="009B4E86">
              <w:rPr>
                <w:rFonts w:ascii="Arial" w:eastAsiaTheme="minorHAnsi" w:hAnsi="Arial" w:cs="Arial"/>
                <w:lang w:eastAsia="en-US"/>
              </w:rPr>
              <w:t xml:space="preserve">the provision of </w:t>
            </w:r>
            <w:r w:rsidR="00A24E3C">
              <w:rPr>
                <w:rFonts w:ascii="Arial" w:eastAsiaTheme="minorHAnsi" w:hAnsi="Arial" w:cs="Arial"/>
                <w:lang w:eastAsia="en-US"/>
              </w:rPr>
              <w:t xml:space="preserve">a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 xml:space="preserve">hybrid MSS/CGC </w:t>
            </w:r>
            <w:r w:rsidR="00A24E3C">
              <w:rPr>
                <w:rFonts w:ascii="Arial" w:eastAsiaTheme="minorHAnsi" w:hAnsi="Arial" w:cs="Arial"/>
                <w:lang w:eastAsia="en-US"/>
              </w:rPr>
              <w:t xml:space="preserve">system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 xml:space="preserve">supported through </w:t>
            </w:r>
            <w:r w:rsidR="00CD0EA6">
              <w:rPr>
                <w:rFonts w:ascii="Arial" w:eastAsiaTheme="minorHAnsi" w:hAnsi="Arial" w:cs="Arial"/>
                <w:lang w:eastAsia="en-US"/>
              </w:rPr>
              <w:t>its</w:t>
            </w:r>
            <w:r w:rsidR="00CD0EA6" w:rsidRPr="009B4E8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 xml:space="preserve">S-band satellite programme in Europe in </w:t>
            </w:r>
            <w:r w:rsidR="009B4E86">
              <w:rPr>
                <w:rFonts w:ascii="Arial" w:eastAsiaTheme="minorHAnsi" w:hAnsi="Arial" w:cs="Arial"/>
                <w:lang w:eastAsia="en-US"/>
              </w:rPr>
              <w:t xml:space="preserve">all of the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>2x15 MHz</w:t>
            </w:r>
            <w:r w:rsidR="009B4E8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746BE">
              <w:rPr>
                <w:rFonts w:ascii="Arial" w:eastAsiaTheme="minorHAnsi" w:hAnsi="Arial" w:cs="Arial"/>
                <w:lang w:eastAsia="en-US"/>
              </w:rPr>
              <w:t xml:space="preserve">bandwidth </w:t>
            </w:r>
            <w:r w:rsidR="009B4E86">
              <w:rPr>
                <w:rFonts w:ascii="Arial" w:eastAsiaTheme="minorHAnsi" w:hAnsi="Arial" w:cs="Arial"/>
                <w:lang w:eastAsia="en-US"/>
              </w:rPr>
              <w:t>identified with</w:t>
            </w:r>
            <w:r w:rsidR="00A24E3C">
              <w:rPr>
                <w:rFonts w:ascii="Arial" w:eastAsiaTheme="minorHAnsi" w:hAnsi="Arial" w:cs="Arial"/>
                <w:lang w:eastAsia="en-US"/>
              </w:rPr>
              <w:t>in</w:t>
            </w:r>
            <w:r w:rsidR="009B4E86">
              <w:rPr>
                <w:rFonts w:ascii="Arial" w:eastAsiaTheme="minorHAnsi" w:hAnsi="Arial" w:cs="Arial"/>
                <w:lang w:eastAsia="en-US"/>
              </w:rPr>
              <w:t xml:space="preserve"> EC Decision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>2009/449/EC</w:t>
            </w:r>
            <w:r w:rsidR="009B4E8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A24E3C">
              <w:rPr>
                <w:rFonts w:ascii="Arial" w:eastAsiaTheme="minorHAnsi" w:hAnsi="Arial" w:cs="Arial"/>
                <w:lang w:eastAsia="en-US"/>
              </w:rPr>
              <w:t xml:space="preserve">that </w:t>
            </w:r>
            <w:r w:rsidR="004B43DC">
              <w:rPr>
                <w:rFonts w:ascii="Arial" w:eastAsiaTheme="minorHAnsi" w:hAnsi="Arial" w:cs="Arial"/>
                <w:lang w:eastAsia="en-US"/>
              </w:rPr>
              <w:t xml:space="preserve">is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 xml:space="preserve">authorised </w:t>
            </w:r>
            <w:r w:rsidR="00A24E3C">
              <w:rPr>
                <w:rFonts w:ascii="Arial" w:eastAsiaTheme="minorHAnsi" w:hAnsi="Arial" w:cs="Arial"/>
                <w:lang w:eastAsia="en-US"/>
              </w:rPr>
              <w:t xml:space="preserve">for </w:t>
            </w:r>
            <w:r w:rsidR="009B4E86" w:rsidRPr="009B4E86">
              <w:rPr>
                <w:rFonts w:ascii="Arial" w:eastAsiaTheme="minorHAnsi" w:hAnsi="Arial" w:cs="Arial"/>
                <w:lang w:eastAsia="en-US"/>
              </w:rPr>
              <w:t>use in each Member State</w:t>
            </w:r>
            <w:r w:rsidR="004B43DC">
              <w:rPr>
                <w:rFonts w:ascii="Arial" w:eastAsiaTheme="minorHAnsi" w:hAnsi="Arial" w:cs="Arial"/>
                <w:lang w:eastAsia="en-US"/>
              </w:rPr>
              <w:t>, subject to licensing approval</w:t>
            </w:r>
            <w:r w:rsidR="00A24E3C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</w:tbl>
    <w:p w:rsidR="00145748" w:rsidRPr="00145748" w:rsidRDefault="00145748" w:rsidP="00EB32F2">
      <w:pPr>
        <w:ind w:right="-852"/>
        <w:rPr>
          <w:rFonts w:ascii="Arial" w:hAnsi="Arial" w:cs="Arial"/>
        </w:rPr>
      </w:pPr>
    </w:p>
    <w:sectPr w:rsidR="00145748" w:rsidRPr="00145748" w:rsidSect="00582118">
      <w:footerReference w:type="first" r:id="rId10"/>
      <w:pgSz w:w="11906" w:h="16838"/>
      <w:pgMar w:top="851" w:right="1797" w:bottom="85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A5" w:rsidRDefault="00B526A5">
      <w:r>
        <w:separator/>
      </w:r>
    </w:p>
  </w:endnote>
  <w:endnote w:type="continuationSeparator" w:id="0">
    <w:p w:rsidR="00B526A5" w:rsidRDefault="00B5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BE" w:rsidRDefault="00C746BE">
    <w:pPr>
      <w:pStyle w:val="Fuzeile"/>
    </w:pPr>
    <w:r>
      <w:t>* ECC policy is that in general all documents should be publicly available unless the author of the document requires that it be restricted to ECC family participants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A5" w:rsidRDefault="00B526A5">
      <w:r>
        <w:separator/>
      </w:r>
    </w:p>
  </w:footnote>
  <w:footnote w:type="continuationSeparator" w:id="0">
    <w:p w:rsidR="00B526A5" w:rsidRDefault="00B526A5">
      <w:r>
        <w:continuationSeparator/>
      </w:r>
    </w:p>
  </w:footnote>
  <w:footnote w:id="1">
    <w:p w:rsidR="00C746BE" w:rsidRDefault="00C746BE" w:rsidP="00BC6067">
      <w:pPr>
        <w:pStyle w:val="Funotentext"/>
      </w:pPr>
      <w:r>
        <w:rPr>
          <w:rStyle w:val="Funotenzeichen"/>
        </w:rPr>
        <w:footnoteRef/>
      </w:r>
      <w:r>
        <w:t xml:space="preserve"> EC Decision 2007/98/EC on the harmonised use of radio spectrum in the 2 GHz frequency bands for the implementation of systems providing mobile satellite services</w:t>
      </w:r>
    </w:p>
    <w:p w:rsidR="00C746BE" w:rsidRDefault="00B526A5" w:rsidP="00BC6067">
      <w:pPr>
        <w:pStyle w:val="Funotentext"/>
      </w:pPr>
      <w:hyperlink r:id="rId1" w:history="1">
        <w:r w:rsidR="00C746BE" w:rsidRPr="0091440B">
          <w:rPr>
            <w:rStyle w:val="Hyperlink"/>
          </w:rPr>
          <w:t>http://eur-lex.europa.eu/LexUriServ/site/en/oj/2007/l_043/l_04320070215en00320034.pdf</w:t>
        </w:r>
      </w:hyperlink>
    </w:p>
  </w:footnote>
  <w:footnote w:id="2">
    <w:p w:rsidR="00C746BE" w:rsidRDefault="00C746BE" w:rsidP="00BC6067">
      <w:pPr>
        <w:pStyle w:val="Funotentext"/>
      </w:pPr>
      <w:r>
        <w:rPr>
          <w:rStyle w:val="Funotenzeichen"/>
        </w:rPr>
        <w:footnoteRef/>
      </w:r>
      <w:r>
        <w:t xml:space="preserve"> European Parliament and the Council Decision 626/2008/EC on </w:t>
      </w:r>
      <w:r w:rsidRPr="00BC6067">
        <w:t>the selection and authorisation of systems providing mobile satellite services (MSS)</w:t>
      </w:r>
    </w:p>
    <w:p w:rsidR="00C746BE" w:rsidRDefault="00B526A5" w:rsidP="00BC6067">
      <w:pPr>
        <w:pStyle w:val="Funotentext"/>
      </w:pPr>
      <w:hyperlink r:id="rId2" w:history="1">
        <w:r w:rsidR="00C746BE">
          <w:rPr>
            <w:rStyle w:val="Hyperlink"/>
          </w:rPr>
          <w:t>http://eur-lex.europa.eu/LexUriServ/LexUriServ.do?uri=OJ:L:2008:172:0015:0024:EN:PDF</w:t>
        </w:r>
      </w:hyperlink>
    </w:p>
  </w:footnote>
  <w:footnote w:id="3">
    <w:p w:rsidR="0079536B" w:rsidRDefault="0079536B" w:rsidP="0079536B">
      <w:pPr>
        <w:pStyle w:val="Funotentext"/>
      </w:pPr>
      <w:r>
        <w:rPr>
          <w:rStyle w:val="Funotenzeichen"/>
        </w:rPr>
        <w:footnoteRef/>
      </w:r>
      <w:r>
        <w:t xml:space="preserve"> EC Decision 2009/449/EC </w:t>
      </w:r>
      <w:r w:rsidRPr="00095BE6">
        <w:t>on the selection of operators of pan-European systems providing mobile satellite services (MSS</w:t>
      </w:r>
      <w:r>
        <w:t>)</w:t>
      </w:r>
      <w:r>
        <w:br/>
      </w:r>
      <w:hyperlink r:id="rId3" w:history="1">
        <w:r>
          <w:rPr>
            <w:rStyle w:val="Hyperlink"/>
          </w:rPr>
          <w:t>http://eur-lex.europa.eu/LexUriServ/LexUriServ.do?uri=OJ:L:2009:149:0065:0068:EN:PDF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20A"/>
    <w:multiLevelType w:val="hybridMultilevel"/>
    <w:tmpl w:val="7412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A00C4"/>
    <w:multiLevelType w:val="hybridMultilevel"/>
    <w:tmpl w:val="159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28"/>
    <w:rsid w:val="00011374"/>
    <w:rsid w:val="0001217E"/>
    <w:rsid w:val="00014D43"/>
    <w:rsid w:val="0003633D"/>
    <w:rsid w:val="00045747"/>
    <w:rsid w:val="00061345"/>
    <w:rsid w:val="00064954"/>
    <w:rsid w:val="00065DDE"/>
    <w:rsid w:val="000818BB"/>
    <w:rsid w:val="00095BE6"/>
    <w:rsid w:val="000E695B"/>
    <w:rsid w:val="000E7E7E"/>
    <w:rsid w:val="000F1530"/>
    <w:rsid w:val="0010780E"/>
    <w:rsid w:val="00135964"/>
    <w:rsid w:val="001377FE"/>
    <w:rsid w:val="0014362F"/>
    <w:rsid w:val="00145748"/>
    <w:rsid w:val="00146BE9"/>
    <w:rsid w:val="00150EEE"/>
    <w:rsid w:val="00154FFC"/>
    <w:rsid w:val="001B7FB6"/>
    <w:rsid w:val="001C1F0D"/>
    <w:rsid w:val="001E562F"/>
    <w:rsid w:val="00201077"/>
    <w:rsid w:val="002055CD"/>
    <w:rsid w:val="002115A8"/>
    <w:rsid w:val="00247650"/>
    <w:rsid w:val="00250363"/>
    <w:rsid w:val="002549A2"/>
    <w:rsid w:val="0026326D"/>
    <w:rsid w:val="002846DB"/>
    <w:rsid w:val="002B5E99"/>
    <w:rsid w:val="002C36AB"/>
    <w:rsid w:val="002D7800"/>
    <w:rsid w:val="002F5EBB"/>
    <w:rsid w:val="00317836"/>
    <w:rsid w:val="003204A4"/>
    <w:rsid w:val="00321049"/>
    <w:rsid w:val="00325813"/>
    <w:rsid w:val="00331B94"/>
    <w:rsid w:val="00333E50"/>
    <w:rsid w:val="00340BF6"/>
    <w:rsid w:val="00352BBC"/>
    <w:rsid w:val="00383CE1"/>
    <w:rsid w:val="003871E1"/>
    <w:rsid w:val="00396383"/>
    <w:rsid w:val="003A70F4"/>
    <w:rsid w:val="003B364F"/>
    <w:rsid w:val="003C14DC"/>
    <w:rsid w:val="003D0A3E"/>
    <w:rsid w:val="003E6C1B"/>
    <w:rsid w:val="003E7A05"/>
    <w:rsid w:val="003F208B"/>
    <w:rsid w:val="003F697B"/>
    <w:rsid w:val="00421A9A"/>
    <w:rsid w:val="00425A10"/>
    <w:rsid w:val="00436097"/>
    <w:rsid w:val="00453016"/>
    <w:rsid w:val="00453810"/>
    <w:rsid w:val="0046399F"/>
    <w:rsid w:val="004A2AD6"/>
    <w:rsid w:val="004A341D"/>
    <w:rsid w:val="004B43DC"/>
    <w:rsid w:val="004B7B97"/>
    <w:rsid w:val="004C43B4"/>
    <w:rsid w:val="004C43DC"/>
    <w:rsid w:val="004D75B7"/>
    <w:rsid w:val="004E3720"/>
    <w:rsid w:val="004F4BE7"/>
    <w:rsid w:val="004F6392"/>
    <w:rsid w:val="005131B2"/>
    <w:rsid w:val="005202CA"/>
    <w:rsid w:val="00526A5D"/>
    <w:rsid w:val="005413C2"/>
    <w:rsid w:val="005418CB"/>
    <w:rsid w:val="00553188"/>
    <w:rsid w:val="005560FE"/>
    <w:rsid w:val="00574265"/>
    <w:rsid w:val="00581055"/>
    <w:rsid w:val="00582118"/>
    <w:rsid w:val="005C16D2"/>
    <w:rsid w:val="005D433F"/>
    <w:rsid w:val="005E0909"/>
    <w:rsid w:val="005F3AB2"/>
    <w:rsid w:val="00617DE8"/>
    <w:rsid w:val="00620FE1"/>
    <w:rsid w:val="00623503"/>
    <w:rsid w:val="00635A14"/>
    <w:rsid w:val="00644C2A"/>
    <w:rsid w:val="00671B53"/>
    <w:rsid w:val="00677130"/>
    <w:rsid w:val="006778AE"/>
    <w:rsid w:val="00680C84"/>
    <w:rsid w:val="00695CF8"/>
    <w:rsid w:val="006B0F59"/>
    <w:rsid w:val="006B1CA3"/>
    <w:rsid w:val="006B57EE"/>
    <w:rsid w:val="006C5AE8"/>
    <w:rsid w:val="006F1A84"/>
    <w:rsid w:val="006F1BC8"/>
    <w:rsid w:val="00706A2A"/>
    <w:rsid w:val="00732283"/>
    <w:rsid w:val="00732C08"/>
    <w:rsid w:val="007370F4"/>
    <w:rsid w:val="007431AB"/>
    <w:rsid w:val="00744E0F"/>
    <w:rsid w:val="00745228"/>
    <w:rsid w:val="00767422"/>
    <w:rsid w:val="00772D90"/>
    <w:rsid w:val="0079536B"/>
    <w:rsid w:val="007D1B5D"/>
    <w:rsid w:val="007D3F0C"/>
    <w:rsid w:val="007E151D"/>
    <w:rsid w:val="007E4446"/>
    <w:rsid w:val="008032A1"/>
    <w:rsid w:val="00803F06"/>
    <w:rsid w:val="008321BD"/>
    <w:rsid w:val="00846C12"/>
    <w:rsid w:val="0085336B"/>
    <w:rsid w:val="00863890"/>
    <w:rsid w:val="00874DC6"/>
    <w:rsid w:val="00881527"/>
    <w:rsid w:val="008925D6"/>
    <w:rsid w:val="008A084A"/>
    <w:rsid w:val="008C7E92"/>
    <w:rsid w:val="00902178"/>
    <w:rsid w:val="00905096"/>
    <w:rsid w:val="00905DB4"/>
    <w:rsid w:val="00911626"/>
    <w:rsid w:val="0092472D"/>
    <w:rsid w:val="009263F1"/>
    <w:rsid w:val="00950041"/>
    <w:rsid w:val="0095140D"/>
    <w:rsid w:val="00963D8D"/>
    <w:rsid w:val="00976254"/>
    <w:rsid w:val="009A0FAE"/>
    <w:rsid w:val="009A4DFB"/>
    <w:rsid w:val="009A522E"/>
    <w:rsid w:val="009B4E86"/>
    <w:rsid w:val="009D5D7B"/>
    <w:rsid w:val="00A05B25"/>
    <w:rsid w:val="00A24E3C"/>
    <w:rsid w:val="00A3369E"/>
    <w:rsid w:val="00A33FBB"/>
    <w:rsid w:val="00A4231C"/>
    <w:rsid w:val="00A4599C"/>
    <w:rsid w:val="00A51FF3"/>
    <w:rsid w:val="00A540B4"/>
    <w:rsid w:val="00A570C0"/>
    <w:rsid w:val="00A62B28"/>
    <w:rsid w:val="00A73F12"/>
    <w:rsid w:val="00A85539"/>
    <w:rsid w:val="00A90011"/>
    <w:rsid w:val="00AC25FE"/>
    <w:rsid w:val="00AD57FD"/>
    <w:rsid w:val="00AE264C"/>
    <w:rsid w:val="00AF46BF"/>
    <w:rsid w:val="00B03060"/>
    <w:rsid w:val="00B526A5"/>
    <w:rsid w:val="00B74046"/>
    <w:rsid w:val="00BA5EDA"/>
    <w:rsid w:val="00BB453E"/>
    <w:rsid w:val="00BC4018"/>
    <w:rsid w:val="00BC6067"/>
    <w:rsid w:val="00BD369C"/>
    <w:rsid w:val="00C30AA9"/>
    <w:rsid w:val="00C42F6B"/>
    <w:rsid w:val="00C554EE"/>
    <w:rsid w:val="00C746BE"/>
    <w:rsid w:val="00C84274"/>
    <w:rsid w:val="00CB0C73"/>
    <w:rsid w:val="00CB3476"/>
    <w:rsid w:val="00CB6760"/>
    <w:rsid w:val="00CC34B0"/>
    <w:rsid w:val="00CD0EA6"/>
    <w:rsid w:val="00D25E41"/>
    <w:rsid w:val="00D44D39"/>
    <w:rsid w:val="00D50590"/>
    <w:rsid w:val="00D56655"/>
    <w:rsid w:val="00D56C03"/>
    <w:rsid w:val="00D57762"/>
    <w:rsid w:val="00D6079C"/>
    <w:rsid w:val="00D61478"/>
    <w:rsid w:val="00D73B7F"/>
    <w:rsid w:val="00D74499"/>
    <w:rsid w:val="00D81BE2"/>
    <w:rsid w:val="00D8749F"/>
    <w:rsid w:val="00D90C62"/>
    <w:rsid w:val="00DA2D19"/>
    <w:rsid w:val="00DD1297"/>
    <w:rsid w:val="00DD1AB9"/>
    <w:rsid w:val="00DD3C3C"/>
    <w:rsid w:val="00DD7FD2"/>
    <w:rsid w:val="00DE2DF7"/>
    <w:rsid w:val="00DE78C4"/>
    <w:rsid w:val="00DF6807"/>
    <w:rsid w:val="00E034CC"/>
    <w:rsid w:val="00E0690D"/>
    <w:rsid w:val="00E12412"/>
    <w:rsid w:val="00E13E53"/>
    <w:rsid w:val="00E33F2A"/>
    <w:rsid w:val="00E45F8C"/>
    <w:rsid w:val="00E532AC"/>
    <w:rsid w:val="00EB1284"/>
    <w:rsid w:val="00EB32F2"/>
    <w:rsid w:val="00EE1C9B"/>
    <w:rsid w:val="00EE5D08"/>
    <w:rsid w:val="00EF6B28"/>
    <w:rsid w:val="00F22CC7"/>
    <w:rsid w:val="00F26785"/>
    <w:rsid w:val="00F27C41"/>
    <w:rsid w:val="00F32DB8"/>
    <w:rsid w:val="00F42067"/>
    <w:rsid w:val="00F42D5D"/>
    <w:rsid w:val="00F52826"/>
    <w:rsid w:val="00F66B9F"/>
    <w:rsid w:val="00F73174"/>
    <w:rsid w:val="00F75D27"/>
    <w:rsid w:val="00F81651"/>
    <w:rsid w:val="00F83651"/>
    <w:rsid w:val="00F87DBE"/>
    <w:rsid w:val="00FA535A"/>
    <w:rsid w:val="00FA6FB2"/>
    <w:rsid w:val="00FD714A"/>
    <w:rsid w:val="00FF5400"/>
    <w:rsid w:val="00FF61EA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F0D"/>
    <w:rPr>
      <w:lang w:eastAsia="de-DE"/>
    </w:rPr>
  </w:style>
  <w:style w:type="paragraph" w:styleId="berschrift3">
    <w:name w:val="heading 3"/>
    <w:basedOn w:val="Standard"/>
    <w:next w:val="Standard"/>
    <w:qFormat/>
    <w:rsid w:val="001C1F0D"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1C1F0D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1C1F0D"/>
  </w:style>
  <w:style w:type="paragraph" w:styleId="Kopfzeile">
    <w:name w:val="header"/>
    <w:basedOn w:val="Standard"/>
    <w:rsid w:val="001C1F0D"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link w:val="FuzeileZchn"/>
    <w:uiPriority w:val="99"/>
    <w:rsid w:val="001C1F0D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rsid w:val="001C1F0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rsid w:val="001C1F0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582118"/>
    <w:rPr>
      <w:lang w:val="en-GB" w:eastAsia="de-DE"/>
    </w:rPr>
  </w:style>
  <w:style w:type="paragraph" w:styleId="Sprechblasentext">
    <w:name w:val="Balloon Text"/>
    <w:basedOn w:val="Standard"/>
    <w:link w:val="SprechblasentextZchn"/>
    <w:rsid w:val="005821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82118"/>
    <w:rPr>
      <w:rFonts w:ascii="Tahoma" w:hAnsi="Tahoma" w:cs="Tahoma"/>
      <w:sz w:val="16"/>
      <w:szCs w:val="16"/>
      <w:lang w:val="en-GB" w:eastAsia="de-DE"/>
    </w:rPr>
  </w:style>
  <w:style w:type="character" w:styleId="Funotenzeichen">
    <w:name w:val="footnote reference"/>
    <w:basedOn w:val="Absatz-Standardschriftart"/>
    <w:rsid w:val="00DD3C3C"/>
    <w:rPr>
      <w:vertAlign w:val="superscript"/>
    </w:rPr>
  </w:style>
  <w:style w:type="character" w:styleId="Hyperlink">
    <w:name w:val="Hyperlink"/>
    <w:basedOn w:val="Absatz-Standardschriftart"/>
    <w:rsid w:val="00DD3C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46C12"/>
    <w:pPr>
      <w:ind w:left="720"/>
      <w:contextualSpacing/>
    </w:pPr>
  </w:style>
  <w:style w:type="character" w:styleId="BesuchterHyperlink">
    <w:name w:val="FollowedHyperlink"/>
    <w:basedOn w:val="Absatz-Standardschriftart"/>
    <w:rsid w:val="00BC60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4B43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43DC"/>
  </w:style>
  <w:style w:type="character" w:customStyle="1" w:styleId="KommentartextZchn">
    <w:name w:val="Kommentartext Zchn"/>
    <w:basedOn w:val="Absatz-Standardschriftart"/>
    <w:link w:val="Kommentartext"/>
    <w:rsid w:val="004B43D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4B43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B43DC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F0D"/>
    <w:rPr>
      <w:lang w:eastAsia="de-DE"/>
    </w:rPr>
  </w:style>
  <w:style w:type="paragraph" w:styleId="berschrift3">
    <w:name w:val="heading 3"/>
    <w:basedOn w:val="Standard"/>
    <w:next w:val="Standard"/>
    <w:qFormat/>
    <w:rsid w:val="001C1F0D"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1C1F0D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1C1F0D"/>
  </w:style>
  <w:style w:type="paragraph" w:styleId="Kopfzeile">
    <w:name w:val="header"/>
    <w:basedOn w:val="Standard"/>
    <w:rsid w:val="001C1F0D"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link w:val="FuzeileZchn"/>
    <w:uiPriority w:val="99"/>
    <w:rsid w:val="001C1F0D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rsid w:val="001C1F0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rsid w:val="001C1F0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582118"/>
    <w:rPr>
      <w:lang w:val="en-GB" w:eastAsia="de-DE"/>
    </w:rPr>
  </w:style>
  <w:style w:type="paragraph" w:styleId="Sprechblasentext">
    <w:name w:val="Balloon Text"/>
    <w:basedOn w:val="Standard"/>
    <w:link w:val="SprechblasentextZchn"/>
    <w:rsid w:val="005821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82118"/>
    <w:rPr>
      <w:rFonts w:ascii="Tahoma" w:hAnsi="Tahoma" w:cs="Tahoma"/>
      <w:sz w:val="16"/>
      <w:szCs w:val="16"/>
      <w:lang w:val="en-GB" w:eastAsia="de-DE"/>
    </w:rPr>
  </w:style>
  <w:style w:type="character" w:styleId="Funotenzeichen">
    <w:name w:val="footnote reference"/>
    <w:basedOn w:val="Absatz-Standardschriftart"/>
    <w:rsid w:val="00DD3C3C"/>
    <w:rPr>
      <w:vertAlign w:val="superscript"/>
    </w:rPr>
  </w:style>
  <w:style w:type="character" w:styleId="Hyperlink">
    <w:name w:val="Hyperlink"/>
    <w:basedOn w:val="Absatz-Standardschriftart"/>
    <w:rsid w:val="00DD3C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46C12"/>
    <w:pPr>
      <w:ind w:left="720"/>
      <w:contextualSpacing/>
    </w:pPr>
  </w:style>
  <w:style w:type="character" w:styleId="BesuchterHyperlink">
    <w:name w:val="FollowedHyperlink"/>
    <w:basedOn w:val="Absatz-Standardschriftart"/>
    <w:rsid w:val="00BC60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4B43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43DC"/>
  </w:style>
  <w:style w:type="character" w:customStyle="1" w:styleId="KommentartextZchn">
    <w:name w:val="Kommentartext Zchn"/>
    <w:basedOn w:val="Absatz-Standardschriftart"/>
    <w:link w:val="Kommentartext"/>
    <w:rsid w:val="004B43D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4B43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B43DC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-lex.europa.eu/LexUriServ/LexUriServ.do?uri=OJ:L:2009:149:0065:0068:EN:PDF" TargetMode="External"/><Relationship Id="rId2" Type="http://schemas.openxmlformats.org/officeDocument/2006/relationships/hyperlink" Target="http://eur-lex.europa.eu/LexUriServ/LexUriServ.do?uri=OJ:L:2008:172:0015:0024:EN:PDF" TargetMode="External"/><Relationship Id="rId1" Type="http://schemas.openxmlformats.org/officeDocument/2006/relationships/hyperlink" Target="http://eur-lex.europa.eu/LexUriServ/site/en/oj/2007/l_043/l_04320070215en0032003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D6C5-2603-4ABE-A0C0-294B17E8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Input FM48#3, Sept. 2011</vt:lpstr>
      <vt:lpstr>Input FM48#3, Sept. 2011</vt:lpstr>
      <vt:lpstr>Template for Brussels Contributions</vt:lpstr>
    </vt:vector>
  </TitlesOfParts>
  <Company>Inmarsat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FM48#3, Sept. 2011</dc:title>
  <dc:subject>MSS at 2 GHz</dc:subject>
  <dc:creator>Inmarsat (KDM)</dc:creator>
  <cp:lastModifiedBy>Thomas Weilacher</cp:lastModifiedBy>
  <cp:revision>4</cp:revision>
  <cp:lastPrinted>2011-09-12T10:46:00Z</cp:lastPrinted>
  <dcterms:created xsi:type="dcterms:W3CDTF">2011-09-12T11:47:00Z</dcterms:created>
  <dcterms:modified xsi:type="dcterms:W3CDTF">2011-09-12T11:50:00Z</dcterms:modified>
</cp:coreProperties>
</file>