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72" w:rsidRPr="005F40B3" w:rsidRDefault="002D48FC" w:rsidP="00DD6D46">
      <w:pPr>
        <w:pStyle w:val="KeinLeerraum"/>
        <w:jc w:val="right"/>
        <w:rPr>
          <w:b/>
          <w:color w:val="000000" w:themeColor="text1"/>
          <w:sz w:val="24"/>
          <w:szCs w:val="24"/>
          <w:lang w:val="en-GB"/>
        </w:rPr>
      </w:pPr>
      <w:r>
        <w:rPr>
          <w:b/>
          <w:color w:val="000000" w:themeColor="text1"/>
          <w:sz w:val="24"/>
          <w:szCs w:val="24"/>
          <w:lang w:val="en-GB"/>
        </w:rPr>
        <w:t>Annex 1 of FM48(11)043</w:t>
      </w:r>
    </w:p>
    <w:p w:rsidR="00DD6D46" w:rsidRPr="005F40B3" w:rsidRDefault="00DD6D46" w:rsidP="008072A0">
      <w:pPr>
        <w:pStyle w:val="KeinLeerraum"/>
        <w:rPr>
          <w:color w:val="000000" w:themeColor="text1"/>
          <w:lang w:val="en-GB"/>
        </w:rPr>
      </w:pPr>
    </w:p>
    <w:p w:rsidR="00F94730" w:rsidRPr="005F40B3" w:rsidRDefault="00F94730"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DD6D46" w:rsidRPr="005F40B3" w:rsidRDefault="004F7908" w:rsidP="00DD6D46">
      <w:pPr>
        <w:pStyle w:val="KeinLeerraum"/>
        <w:jc w:val="center"/>
        <w:rPr>
          <w:b/>
          <w:color w:val="000000" w:themeColor="text1"/>
          <w:sz w:val="28"/>
          <w:szCs w:val="28"/>
          <w:lang w:val="en-GB"/>
        </w:rPr>
      </w:pPr>
      <w:r w:rsidRPr="005F40B3">
        <w:rPr>
          <w:b/>
          <w:color w:val="000000" w:themeColor="text1"/>
          <w:sz w:val="28"/>
          <w:szCs w:val="28"/>
          <w:highlight w:val="yellow"/>
          <w:lang w:val="en-GB"/>
        </w:rPr>
        <w:t>[Draft]</w:t>
      </w:r>
      <w:r w:rsidRPr="005F40B3">
        <w:rPr>
          <w:b/>
          <w:color w:val="000000" w:themeColor="text1"/>
          <w:sz w:val="28"/>
          <w:szCs w:val="28"/>
          <w:lang w:val="en-GB"/>
        </w:rPr>
        <w:t xml:space="preserve"> </w:t>
      </w:r>
      <w:r w:rsidR="00DD6D46" w:rsidRPr="005F40B3">
        <w:rPr>
          <w:b/>
          <w:color w:val="000000" w:themeColor="text1"/>
          <w:sz w:val="28"/>
          <w:szCs w:val="28"/>
          <w:lang w:val="en-GB"/>
        </w:rPr>
        <w:t xml:space="preserve">Minutes of the </w:t>
      </w:r>
      <w:r w:rsidR="002D48FC">
        <w:rPr>
          <w:b/>
          <w:color w:val="000000" w:themeColor="text1"/>
          <w:sz w:val="28"/>
          <w:szCs w:val="28"/>
          <w:lang w:val="en-GB"/>
        </w:rPr>
        <w:t>3</w:t>
      </w:r>
      <w:r w:rsidR="002D48FC" w:rsidRPr="002D48FC">
        <w:rPr>
          <w:b/>
          <w:color w:val="000000" w:themeColor="text1"/>
          <w:sz w:val="28"/>
          <w:szCs w:val="28"/>
          <w:vertAlign w:val="superscript"/>
          <w:lang w:val="en-GB"/>
        </w:rPr>
        <w:t>rd</w:t>
      </w:r>
      <w:r w:rsidR="002D48FC">
        <w:rPr>
          <w:b/>
          <w:color w:val="000000" w:themeColor="text1"/>
          <w:sz w:val="28"/>
          <w:szCs w:val="28"/>
          <w:lang w:val="en-GB"/>
        </w:rPr>
        <w:t xml:space="preserve"> </w:t>
      </w:r>
      <w:r w:rsidR="00DD6D46" w:rsidRPr="005F40B3">
        <w:rPr>
          <w:b/>
          <w:color w:val="000000" w:themeColor="text1"/>
          <w:sz w:val="28"/>
          <w:szCs w:val="28"/>
          <w:lang w:val="en-GB"/>
        </w:rPr>
        <w:t xml:space="preserve">meeting of </w:t>
      </w:r>
      <w:r w:rsidRPr="005F40B3">
        <w:rPr>
          <w:b/>
          <w:color w:val="000000" w:themeColor="text1"/>
          <w:sz w:val="28"/>
          <w:szCs w:val="28"/>
          <w:lang w:val="en-GB"/>
        </w:rPr>
        <w:t>FM PT 48</w:t>
      </w:r>
      <w:r w:rsidR="00355231">
        <w:rPr>
          <w:rStyle w:val="Funotenzeichen"/>
          <w:b/>
          <w:color w:val="000000" w:themeColor="text1"/>
          <w:sz w:val="28"/>
          <w:szCs w:val="28"/>
          <w:lang w:val="en-GB"/>
        </w:rPr>
        <w:footnoteReference w:id="1"/>
      </w:r>
    </w:p>
    <w:p w:rsidR="00DD6D46" w:rsidRPr="005F40B3" w:rsidRDefault="004F7908" w:rsidP="00DD6D46">
      <w:pPr>
        <w:pStyle w:val="KeinLeerraum"/>
        <w:jc w:val="center"/>
        <w:rPr>
          <w:b/>
          <w:color w:val="000000" w:themeColor="text1"/>
          <w:sz w:val="28"/>
          <w:szCs w:val="28"/>
          <w:lang w:val="en-GB"/>
        </w:rPr>
      </w:pPr>
      <w:r w:rsidRPr="005F40B3">
        <w:rPr>
          <w:b/>
          <w:color w:val="000000" w:themeColor="text1"/>
          <w:sz w:val="28"/>
          <w:szCs w:val="28"/>
          <w:lang w:val="en-GB"/>
        </w:rPr>
        <w:t>1</w:t>
      </w:r>
      <w:r w:rsidR="002D48FC">
        <w:rPr>
          <w:b/>
          <w:color w:val="000000" w:themeColor="text1"/>
          <w:sz w:val="28"/>
          <w:szCs w:val="28"/>
          <w:lang w:val="en-GB"/>
        </w:rPr>
        <w:t>3</w:t>
      </w:r>
      <w:r w:rsidRPr="005F40B3">
        <w:rPr>
          <w:b/>
          <w:color w:val="000000" w:themeColor="text1"/>
          <w:sz w:val="28"/>
          <w:szCs w:val="28"/>
          <w:lang w:val="en-GB"/>
        </w:rPr>
        <w:t xml:space="preserve"> - 1</w:t>
      </w:r>
      <w:r w:rsidR="002D48FC">
        <w:rPr>
          <w:b/>
          <w:color w:val="000000" w:themeColor="text1"/>
          <w:sz w:val="28"/>
          <w:szCs w:val="28"/>
          <w:lang w:val="en-GB"/>
        </w:rPr>
        <w:t>4</w:t>
      </w:r>
      <w:r w:rsidRPr="005F40B3">
        <w:rPr>
          <w:b/>
          <w:color w:val="000000" w:themeColor="text1"/>
          <w:sz w:val="28"/>
          <w:szCs w:val="28"/>
          <w:lang w:val="en-GB"/>
        </w:rPr>
        <w:t xml:space="preserve"> </w:t>
      </w:r>
      <w:r w:rsidR="002D48FC">
        <w:rPr>
          <w:b/>
          <w:color w:val="000000" w:themeColor="text1"/>
          <w:sz w:val="28"/>
          <w:szCs w:val="28"/>
          <w:lang w:val="en-GB"/>
        </w:rPr>
        <w:t>September</w:t>
      </w:r>
      <w:r w:rsidRPr="005F40B3">
        <w:rPr>
          <w:b/>
          <w:color w:val="000000" w:themeColor="text1"/>
          <w:sz w:val="28"/>
          <w:szCs w:val="28"/>
          <w:lang w:val="en-GB"/>
        </w:rPr>
        <w:t xml:space="preserve"> 2011</w:t>
      </w:r>
      <w:r w:rsidR="00DD6D46" w:rsidRPr="005F40B3">
        <w:rPr>
          <w:b/>
          <w:color w:val="000000" w:themeColor="text1"/>
          <w:sz w:val="28"/>
          <w:szCs w:val="28"/>
          <w:lang w:val="en-GB"/>
        </w:rPr>
        <w:t>, Mai</w:t>
      </w:r>
      <w:r w:rsidR="002D48FC">
        <w:rPr>
          <w:b/>
          <w:color w:val="000000" w:themeColor="text1"/>
          <w:sz w:val="28"/>
          <w:szCs w:val="28"/>
          <w:lang w:val="en-GB"/>
        </w:rPr>
        <w:t>sons-Alfort</w:t>
      </w:r>
      <w:r w:rsidR="00DD6D46" w:rsidRPr="005F40B3">
        <w:rPr>
          <w:b/>
          <w:color w:val="000000" w:themeColor="text1"/>
          <w:sz w:val="28"/>
          <w:szCs w:val="28"/>
          <w:lang w:val="en-GB"/>
        </w:rPr>
        <w:t xml:space="preserve"> / </w:t>
      </w:r>
      <w:r w:rsidR="002D48FC">
        <w:rPr>
          <w:b/>
          <w:color w:val="000000" w:themeColor="text1"/>
          <w:sz w:val="28"/>
          <w:szCs w:val="28"/>
          <w:lang w:val="en-GB"/>
        </w:rPr>
        <w:t>France</w:t>
      </w:r>
    </w:p>
    <w:p w:rsidR="00DD6D46" w:rsidRPr="005F40B3" w:rsidRDefault="00DD6D46"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8072A0" w:rsidRPr="005F40B3" w:rsidRDefault="00C6250F" w:rsidP="005F40B3">
      <w:pPr>
        <w:pStyle w:val="berschrift1"/>
        <w:rPr>
          <w:color w:val="000000" w:themeColor="text1"/>
          <w:sz w:val="24"/>
          <w:szCs w:val="24"/>
        </w:rPr>
      </w:pPr>
      <w:r w:rsidRPr="005F40B3">
        <w:rPr>
          <w:color w:val="000000" w:themeColor="text1"/>
          <w:sz w:val="24"/>
          <w:szCs w:val="24"/>
        </w:rPr>
        <w:t>1)</w:t>
      </w:r>
      <w:r w:rsidRPr="005F40B3">
        <w:rPr>
          <w:color w:val="000000" w:themeColor="text1"/>
          <w:sz w:val="24"/>
          <w:szCs w:val="24"/>
        </w:rPr>
        <w:tab/>
        <w:t>Opening of the meeting</w:t>
      </w:r>
    </w:p>
    <w:p w:rsidR="008072A0" w:rsidRPr="005F40B3" w:rsidRDefault="008072A0" w:rsidP="005F40B3">
      <w:pPr>
        <w:rPr>
          <w:color w:val="000000" w:themeColor="text1"/>
        </w:rPr>
      </w:pPr>
    </w:p>
    <w:p w:rsidR="00C82A35" w:rsidRPr="005F40B3" w:rsidRDefault="00C82A35" w:rsidP="005F40B3">
      <w:pPr>
        <w:rPr>
          <w:color w:val="000000" w:themeColor="text1"/>
        </w:rPr>
      </w:pPr>
      <w:r w:rsidRPr="005F40B3">
        <w:rPr>
          <w:color w:val="000000" w:themeColor="text1"/>
        </w:rPr>
        <w:t xml:space="preserve">The Chairman of </w:t>
      </w:r>
      <w:r w:rsidR="004F7908" w:rsidRPr="005F40B3">
        <w:rPr>
          <w:color w:val="000000" w:themeColor="text1"/>
        </w:rPr>
        <w:t>FM PT 48</w:t>
      </w:r>
      <w:r w:rsidR="007416E7">
        <w:rPr>
          <w:color w:val="000000" w:themeColor="text1"/>
        </w:rPr>
        <w:t xml:space="preserve">, Mr </w:t>
      </w:r>
      <w:r w:rsidRPr="005F40B3">
        <w:rPr>
          <w:color w:val="000000" w:themeColor="text1"/>
        </w:rPr>
        <w:t xml:space="preserve">Weilacher, opened the meeting and welcomed the participants to the </w:t>
      </w:r>
      <w:r w:rsidR="00502156">
        <w:rPr>
          <w:color w:val="000000" w:themeColor="text1"/>
        </w:rPr>
        <w:t>third meeting of the project team</w:t>
      </w:r>
      <w:r w:rsidRPr="005F40B3">
        <w:rPr>
          <w:color w:val="000000" w:themeColor="text1"/>
        </w:rPr>
        <w:t>.</w:t>
      </w:r>
      <w:r w:rsidR="004F7908" w:rsidRPr="005F40B3">
        <w:rPr>
          <w:color w:val="000000" w:themeColor="text1"/>
        </w:rPr>
        <w:t xml:space="preserve"> He thanked Mr </w:t>
      </w:r>
      <w:r w:rsidR="00502156">
        <w:rPr>
          <w:color w:val="000000" w:themeColor="text1"/>
        </w:rPr>
        <w:t>Pellay (France)</w:t>
      </w:r>
      <w:r w:rsidR="004F7908" w:rsidRPr="005F40B3">
        <w:rPr>
          <w:color w:val="000000" w:themeColor="text1"/>
        </w:rPr>
        <w:t xml:space="preserve"> for the invitation</w:t>
      </w:r>
      <w:r w:rsidR="00502156">
        <w:rPr>
          <w:color w:val="000000" w:themeColor="text1"/>
        </w:rPr>
        <w:t xml:space="preserve"> to the ANFR in Maisons-Alfort</w:t>
      </w:r>
      <w:r w:rsidR="004F7908" w:rsidRPr="005F40B3">
        <w:rPr>
          <w:color w:val="000000" w:themeColor="text1"/>
        </w:rPr>
        <w:t>.</w:t>
      </w:r>
    </w:p>
    <w:p w:rsidR="00C82A35" w:rsidRPr="005F40B3" w:rsidRDefault="00C82A35" w:rsidP="005F40B3">
      <w:pPr>
        <w:rPr>
          <w:color w:val="000000" w:themeColor="text1"/>
          <w:sz w:val="24"/>
        </w:rPr>
      </w:pPr>
    </w:p>
    <w:p w:rsidR="003C5177" w:rsidRPr="005F40B3" w:rsidRDefault="003C5177" w:rsidP="003C5177">
      <w:pPr>
        <w:rPr>
          <w:color w:val="000000" w:themeColor="text1"/>
        </w:rPr>
      </w:pPr>
      <w:r w:rsidRPr="005F40B3">
        <w:rPr>
          <w:rFonts w:eastAsia="Arial" w:cs="Times New Roman"/>
          <w:color w:val="000000" w:themeColor="text1"/>
        </w:rPr>
        <w:t xml:space="preserve">The list of participants is given in </w:t>
      </w:r>
      <w:r w:rsidRPr="005F40B3">
        <w:rPr>
          <w:rFonts w:eastAsia="Arial" w:cs="Times New Roman"/>
          <w:b/>
          <w:color w:val="000000" w:themeColor="text1"/>
        </w:rPr>
        <w:t>Annex 2</w:t>
      </w:r>
      <w:r w:rsidRPr="005F40B3">
        <w:rPr>
          <w:rFonts w:eastAsia="Arial" w:cs="Times New Roman"/>
          <w:color w:val="000000" w:themeColor="text1"/>
        </w:rPr>
        <w:t>;</w:t>
      </w:r>
      <w:r w:rsidRPr="005F40B3">
        <w:rPr>
          <w:color w:val="000000" w:themeColor="text1"/>
        </w:rPr>
        <w:t xml:space="preserve"> </w:t>
      </w:r>
      <w:r w:rsidR="00502156">
        <w:rPr>
          <w:color w:val="000000" w:themeColor="text1"/>
        </w:rPr>
        <w:t>19</w:t>
      </w:r>
      <w:r w:rsidRPr="005F40B3">
        <w:rPr>
          <w:color w:val="000000" w:themeColor="text1"/>
        </w:rPr>
        <w:t xml:space="preserve"> participants were attending the meeting; </w:t>
      </w:r>
      <w:r w:rsidR="00502156">
        <w:rPr>
          <w:color w:val="000000" w:themeColor="text1"/>
        </w:rPr>
        <w:t>7</w:t>
      </w:r>
      <w:r w:rsidRPr="005F40B3">
        <w:rPr>
          <w:color w:val="000000" w:themeColor="text1"/>
        </w:rPr>
        <w:t xml:space="preserve"> de</w:t>
      </w:r>
      <w:r w:rsidR="00502156">
        <w:rPr>
          <w:color w:val="000000" w:themeColor="text1"/>
        </w:rPr>
        <w:softHyphen/>
      </w:r>
      <w:r w:rsidRPr="005F40B3">
        <w:rPr>
          <w:color w:val="000000" w:themeColor="text1"/>
        </w:rPr>
        <w:t xml:space="preserve">legates from </w:t>
      </w:r>
      <w:r w:rsidR="00502156">
        <w:rPr>
          <w:color w:val="000000" w:themeColor="text1"/>
        </w:rPr>
        <w:t>5</w:t>
      </w:r>
      <w:r w:rsidRPr="005F40B3">
        <w:rPr>
          <w:color w:val="000000" w:themeColor="text1"/>
        </w:rPr>
        <w:t xml:space="preserve"> </w:t>
      </w:r>
      <w:r w:rsidR="00502156">
        <w:rPr>
          <w:color w:val="000000" w:themeColor="text1"/>
        </w:rPr>
        <w:t xml:space="preserve">different </w:t>
      </w:r>
      <w:r w:rsidRPr="005F40B3">
        <w:rPr>
          <w:color w:val="000000" w:themeColor="text1"/>
        </w:rPr>
        <w:t>administrations, 1 representative from the ECO</w:t>
      </w:r>
      <w:r w:rsidR="00502156">
        <w:rPr>
          <w:color w:val="000000" w:themeColor="text1"/>
        </w:rPr>
        <w:t>, 10</w:t>
      </w:r>
      <w:r>
        <w:rPr>
          <w:color w:val="000000" w:themeColor="text1"/>
        </w:rPr>
        <w:t xml:space="preserve"> participants</w:t>
      </w:r>
      <w:r w:rsidRPr="005F40B3">
        <w:rPr>
          <w:color w:val="000000" w:themeColor="text1"/>
        </w:rPr>
        <w:t xml:space="preserve"> from the industry </w:t>
      </w:r>
      <w:r w:rsidR="00502156">
        <w:rPr>
          <w:color w:val="000000" w:themeColor="text1"/>
        </w:rPr>
        <w:t>and 1 representative from IATA</w:t>
      </w:r>
      <w:r w:rsidRPr="005F40B3">
        <w:rPr>
          <w:color w:val="000000" w:themeColor="text1"/>
        </w:rPr>
        <w:t>.</w:t>
      </w:r>
      <w:r w:rsidR="00165AD2">
        <w:rPr>
          <w:color w:val="000000" w:themeColor="text1"/>
        </w:rPr>
        <w:t xml:space="preserve"> Two administrations, not represented during the meeting, had provided written statements to </w:t>
      </w:r>
      <w:r w:rsidR="00165AD2" w:rsidRPr="00865ED0">
        <w:rPr>
          <w:color w:val="000000" w:themeColor="text1"/>
        </w:rPr>
        <w:t xml:space="preserve">agenda </w:t>
      </w:r>
      <w:r w:rsidR="003E4285" w:rsidRPr="00865ED0">
        <w:rPr>
          <w:color w:val="000000" w:themeColor="text1"/>
        </w:rPr>
        <w:t>item 7</w:t>
      </w:r>
      <w:r w:rsidR="00165AD2" w:rsidRPr="00865ED0">
        <w:rPr>
          <w:color w:val="000000" w:themeColor="text1"/>
        </w:rPr>
        <w:t>.</w:t>
      </w:r>
    </w:p>
    <w:p w:rsidR="00C6250F" w:rsidRPr="005F40B3" w:rsidRDefault="00C6250F" w:rsidP="005F40B3">
      <w:pPr>
        <w:pStyle w:val="berschrift1"/>
        <w:rPr>
          <w:color w:val="000000" w:themeColor="text1"/>
          <w:sz w:val="24"/>
          <w:szCs w:val="24"/>
        </w:rPr>
      </w:pPr>
      <w:r w:rsidRPr="005F40B3">
        <w:rPr>
          <w:color w:val="000000" w:themeColor="text1"/>
          <w:sz w:val="24"/>
          <w:szCs w:val="24"/>
        </w:rPr>
        <w:t>2)</w:t>
      </w:r>
      <w:r w:rsidRPr="005F40B3">
        <w:rPr>
          <w:color w:val="000000" w:themeColor="text1"/>
          <w:sz w:val="24"/>
          <w:szCs w:val="24"/>
        </w:rPr>
        <w:tab/>
        <w:t>Adoption of the Agenda and attribution of documents</w:t>
      </w:r>
    </w:p>
    <w:p w:rsidR="008072A0" w:rsidRPr="005F40B3" w:rsidRDefault="008072A0" w:rsidP="005F40B3">
      <w:pPr>
        <w:rPr>
          <w:color w:val="000000" w:themeColor="text1"/>
        </w:rPr>
      </w:pPr>
    </w:p>
    <w:p w:rsidR="00BE7D8E" w:rsidRPr="005F40B3" w:rsidRDefault="00BE7D8E" w:rsidP="005F40B3">
      <w:pPr>
        <w:rPr>
          <w:color w:val="000000" w:themeColor="text1"/>
        </w:rPr>
      </w:pPr>
      <w:r w:rsidRPr="005F40B3">
        <w:rPr>
          <w:color w:val="000000" w:themeColor="text1"/>
        </w:rPr>
        <w:t xml:space="preserve">The </w:t>
      </w:r>
      <w:r w:rsidR="00502156">
        <w:rPr>
          <w:color w:val="000000" w:themeColor="text1"/>
        </w:rPr>
        <w:t xml:space="preserve">latest input documents were </w:t>
      </w:r>
      <w:r w:rsidR="007416E7">
        <w:rPr>
          <w:color w:val="000000" w:themeColor="text1"/>
        </w:rPr>
        <w:t>referenced</w:t>
      </w:r>
      <w:r w:rsidR="00502156">
        <w:rPr>
          <w:color w:val="000000" w:themeColor="text1"/>
        </w:rPr>
        <w:t xml:space="preserve"> in the </w:t>
      </w:r>
      <w:r w:rsidR="00825FEF">
        <w:rPr>
          <w:color w:val="000000" w:themeColor="text1"/>
        </w:rPr>
        <w:t xml:space="preserve">draft </w:t>
      </w:r>
      <w:r w:rsidRPr="005F40B3">
        <w:rPr>
          <w:color w:val="000000" w:themeColor="text1"/>
        </w:rPr>
        <w:t>agenda</w:t>
      </w:r>
      <w:r w:rsidR="00502156">
        <w:rPr>
          <w:color w:val="000000" w:themeColor="text1"/>
        </w:rPr>
        <w:t xml:space="preserve">, after that the </w:t>
      </w:r>
      <w:r w:rsidR="00825FEF">
        <w:rPr>
          <w:color w:val="000000" w:themeColor="text1"/>
        </w:rPr>
        <w:t xml:space="preserve">final </w:t>
      </w:r>
      <w:r w:rsidR="00502156">
        <w:rPr>
          <w:color w:val="000000" w:themeColor="text1"/>
        </w:rPr>
        <w:t>agenda</w:t>
      </w:r>
      <w:r w:rsidRPr="005F40B3">
        <w:rPr>
          <w:color w:val="000000" w:themeColor="text1"/>
        </w:rPr>
        <w:t xml:space="preserve"> was adopted without </w:t>
      </w:r>
      <w:r w:rsidR="007416E7">
        <w:rPr>
          <w:color w:val="000000" w:themeColor="text1"/>
        </w:rPr>
        <w:t>further</w:t>
      </w:r>
      <w:r w:rsidRPr="005F40B3">
        <w:rPr>
          <w:color w:val="000000" w:themeColor="text1"/>
        </w:rPr>
        <w:t xml:space="preserve"> changes, see </w:t>
      </w:r>
      <w:r w:rsidR="004F7908" w:rsidRPr="005F40B3">
        <w:rPr>
          <w:b/>
          <w:color w:val="000000" w:themeColor="text1"/>
        </w:rPr>
        <w:t>Annex 3</w:t>
      </w:r>
      <w:r w:rsidRPr="005F40B3">
        <w:rPr>
          <w:color w:val="000000" w:themeColor="text1"/>
        </w:rPr>
        <w:t>.</w:t>
      </w:r>
    </w:p>
    <w:p w:rsidR="005F40B3" w:rsidRPr="005F40B3" w:rsidRDefault="005F40B3" w:rsidP="005F40B3">
      <w:pPr>
        <w:rPr>
          <w:color w:val="000000" w:themeColor="text1"/>
        </w:rPr>
      </w:pPr>
    </w:p>
    <w:p w:rsidR="000D60D3" w:rsidRDefault="00825FEF" w:rsidP="005F40B3">
      <w:pPr>
        <w:rPr>
          <w:color w:val="000000" w:themeColor="text1"/>
        </w:rPr>
      </w:pPr>
      <w:r>
        <w:rPr>
          <w:color w:val="000000" w:themeColor="text1"/>
        </w:rPr>
        <w:t>All input and information documents are available on the ECO web site:</w:t>
      </w:r>
    </w:p>
    <w:p w:rsidR="00825FEF" w:rsidRDefault="00C61B07" w:rsidP="005F40B3">
      <w:hyperlink r:id="rId9" w:history="1">
        <w:r w:rsidR="00825FEF">
          <w:rPr>
            <w:rStyle w:val="Hyperlink"/>
            <w:rFonts w:eastAsiaTheme="majorEastAsia"/>
          </w:rPr>
          <w:t>http://www.cept.org/ecc/groups/ecc/wg-fm/fm-48/client/meeting-documents</w:t>
        </w:r>
      </w:hyperlink>
    </w:p>
    <w:p w:rsidR="004C2B36" w:rsidRPr="004C2B36" w:rsidRDefault="004C2B36" w:rsidP="004C2B36">
      <w:pPr>
        <w:pStyle w:val="berschrift1"/>
        <w:rPr>
          <w:color w:val="000000" w:themeColor="text1"/>
          <w:sz w:val="24"/>
          <w:szCs w:val="24"/>
        </w:rPr>
      </w:pPr>
      <w:r w:rsidRPr="004C2B36">
        <w:rPr>
          <w:color w:val="000000" w:themeColor="text1"/>
          <w:sz w:val="24"/>
          <w:szCs w:val="24"/>
        </w:rPr>
        <w:t>3)</w:t>
      </w:r>
      <w:r w:rsidRPr="004C2B36">
        <w:rPr>
          <w:color w:val="000000" w:themeColor="text1"/>
          <w:sz w:val="24"/>
          <w:szCs w:val="24"/>
        </w:rPr>
        <w:tab/>
        <w:t>New web site of CEPT</w:t>
      </w:r>
    </w:p>
    <w:p w:rsidR="004C2B36" w:rsidRDefault="004C2B36" w:rsidP="005F40B3">
      <w:pPr>
        <w:rPr>
          <w:color w:val="000000" w:themeColor="text1"/>
        </w:rPr>
      </w:pPr>
    </w:p>
    <w:p w:rsidR="004C2B36" w:rsidRDefault="004C2B36" w:rsidP="005F40B3">
      <w:r>
        <w:rPr>
          <w:color w:val="000000" w:themeColor="text1"/>
        </w:rPr>
        <w:t>The chairman introduced the new web site of CEPT (</w:t>
      </w:r>
      <w:hyperlink r:id="rId10" w:history="1">
        <w:r>
          <w:rPr>
            <w:rStyle w:val="Hyperlink"/>
            <w:rFonts w:eastAsiaTheme="majorEastAsia"/>
          </w:rPr>
          <w:t>http://www.cept.org/</w:t>
        </w:r>
      </w:hyperlink>
      <w:r>
        <w:t xml:space="preserve">) and highlighted the most important aspects for FM PT 48, such as </w:t>
      </w:r>
      <w:r w:rsidR="007416E7">
        <w:t xml:space="preserve">the </w:t>
      </w:r>
      <w:r>
        <w:t xml:space="preserve">meeting documents server, </w:t>
      </w:r>
      <w:r w:rsidR="007416E7">
        <w:t xml:space="preserve">the </w:t>
      </w:r>
      <w:r>
        <w:t xml:space="preserve">meeting calendar </w:t>
      </w:r>
      <w:r w:rsidR="006455F9">
        <w:t xml:space="preserve">and </w:t>
      </w:r>
      <w:r w:rsidR="007416E7">
        <w:t xml:space="preserve">the </w:t>
      </w:r>
      <w:r w:rsidR="006455F9">
        <w:t>registration</w:t>
      </w:r>
      <w:r>
        <w:t xml:space="preserve"> for meetings. He emphasised that the group membership and the subscription to the email reflector of a group are completely independent from each other. Information on the availability of new meeting documents will still be send out via the email reflector for the time being. The group membership is necessary e.g. for getting access to protected documents. The user guide for the CEPT Portal (also available on the web site) was provided in infodoc. (11)001.</w:t>
      </w:r>
    </w:p>
    <w:p w:rsidR="002832A2" w:rsidRDefault="002832A2" w:rsidP="005F40B3"/>
    <w:p w:rsidR="002832A2" w:rsidRPr="005F40B3" w:rsidRDefault="002832A2" w:rsidP="005F40B3">
      <w:pPr>
        <w:rPr>
          <w:color w:val="000000" w:themeColor="text1"/>
        </w:rPr>
      </w:pPr>
      <w:r>
        <w:t>After a short discussion, it was agreed that the list of participants for the relevant FM PT 48 meeting will be made available for the public in the future. The relevant link can be found in the column “Registration” of the groups meeting calendar on the web site.</w:t>
      </w:r>
    </w:p>
    <w:p w:rsidR="00C6250F" w:rsidRPr="005F40B3" w:rsidRDefault="002832A2" w:rsidP="005F40B3">
      <w:pPr>
        <w:pStyle w:val="berschrift1"/>
        <w:rPr>
          <w:color w:val="000000" w:themeColor="text1"/>
          <w:sz w:val="24"/>
          <w:szCs w:val="24"/>
        </w:rPr>
      </w:pPr>
      <w:r>
        <w:rPr>
          <w:color w:val="000000" w:themeColor="text1"/>
          <w:sz w:val="24"/>
          <w:szCs w:val="24"/>
        </w:rPr>
        <w:t>4</w:t>
      </w:r>
      <w:r w:rsidR="00C6250F" w:rsidRPr="005F40B3">
        <w:rPr>
          <w:color w:val="000000" w:themeColor="text1"/>
          <w:sz w:val="24"/>
          <w:szCs w:val="24"/>
        </w:rPr>
        <w:t>)</w:t>
      </w:r>
      <w:r w:rsidR="00C6250F" w:rsidRPr="005F40B3">
        <w:rPr>
          <w:color w:val="000000" w:themeColor="text1"/>
          <w:sz w:val="24"/>
          <w:szCs w:val="24"/>
        </w:rPr>
        <w:tab/>
        <w:t xml:space="preserve">Minutes of </w:t>
      </w:r>
      <w:r>
        <w:rPr>
          <w:color w:val="000000" w:themeColor="text1"/>
          <w:sz w:val="24"/>
          <w:szCs w:val="24"/>
        </w:rPr>
        <w:t xml:space="preserve">/ Info from previous </w:t>
      </w:r>
      <w:r w:rsidR="00F94730" w:rsidRPr="005F40B3">
        <w:rPr>
          <w:color w:val="000000" w:themeColor="text1"/>
          <w:sz w:val="24"/>
          <w:szCs w:val="24"/>
        </w:rPr>
        <w:t>meetings</w:t>
      </w:r>
    </w:p>
    <w:p w:rsidR="00C6250F" w:rsidRPr="005F40B3" w:rsidRDefault="00C6250F" w:rsidP="005F40B3">
      <w:pPr>
        <w:rPr>
          <w:color w:val="000000" w:themeColor="text1"/>
        </w:rPr>
      </w:pPr>
    </w:p>
    <w:p w:rsidR="0097071C" w:rsidRPr="005F40B3" w:rsidRDefault="00833BAB" w:rsidP="005F40B3">
      <w:pPr>
        <w:rPr>
          <w:color w:val="000000" w:themeColor="text1"/>
        </w:rPr>
      </w:pPr>
      <w:r>
        <w:rPr>
          <w:color w:val="000000" w:themeColor="text1"/>
        </w:rPr>
        <w:t xml:space="preserve">The Minutes </w:t>
      </w:r>
      <w:r w:rsidR="008B2CC4">
        <w:rPr>
          <w:color w:val="000000" w:themeColor="text1"/>
        </w:rPr>
        <w:t xml:space="preserve">and further information from the </w:t>
      </w:r>
      <w:r>
        <w:rPr>
          <w:color w:val="000000" w:themeColor="text1"/>
        </w:rPr>
        <w:t>following meetings were introduced.</w:t>
      </w:r>
    </w:p>
    <w:p w:rsidR="00F94730" w:rsidRPr="005F40B3" w:rsidRDefault="00925056" w:rsidP="005F40B3">
      <w:pPr>
        <w:pStyle w:val="berschrift1"/>
        <w:rPr>
          <w:color w:val="000000" w:themeColor="text1"/>
          <w:sz w:val="24"/>
          <w:szCs w:val="24"/>
        </w:rPr>
      </w:pPr>
      <w:r>
        <w:rPr>
          <w:color w:val="000000" w:themeColor="text1"/>
          <w:sz w:val="24"/>
          <w:szCs w:val="24"/>
        </w:rPr>
        <w:lastRenderedPageBreak/>
        <w:t>4</w:t>
      </w:r>
      <w:r w:rsidR="00F94730" w:rsidRPr="005F40B3">
        <w:rPr>
          <w:color w:val="000000" w:themeColor="text1"/>
          <w:sz w:val="24"/>
          <w:szCs w:val="24"/>
        </w:rPr>
        <w:t>.1)</w:t>
      </w:r>
      <w:r w:rsidR="00F94730" w:rsidRPr="005F40B3">
        <w:rPr>
          <w:color w:val="000000" w:themeColor="text1"/>
          <w:sz w:val="24"/>
          <w:szCs w:val="24"/>
        </w:rPr>
        <w:tab/>
        <w:t>Final Minutes of latest FM PT 48 meeting</w:t>
      </w:r>
    </w:p>
    <w:p w:rsidR="00F94730" w:rsidRPr="005F40B3" w:rsidRDefault="00F94730" w:rsidP="005F40B3">
      <w:pPr>
        <w:rPr>
          <w:color w:val="000000" w:themeColor="text1"/>
        </w:rPr>
      </w:pPr>
    </w:p>
    <w:p w:rsidR="00833BAB" w:rsidRPr="005F40B3" w:rsidRDefault="00833BAB" w:rsidP="00833BAB">
      <w:pPr>
        <w:rPr>
          <w:color w:val="000000" w:themeColor="text1"/>
        </w:rPr>
      </w:pPr>
      <w:r>
        <w:rPr>
          <w:color w:val="000000" w:themeColor="text1"/>
        </w:rPr>
        <w:t xml:space="preserve">The </w:t>
      </w:r>
      <w:r w:rsidR="0097071C">
        <w:rPr>
          <w:color w:val="000000" w:themeColor="text1"/>
        </w:rPr>
        <w:t xml:space="preserve">final </w:t>
      </w:r>
      <w:r>
        <w:rPr>
          <w:color w:val="000000" w:themeColor="text1"/>
        </w:rPr>
        <w:t xml:space="preserve">Minutes </w:t>
      </w:r>
      <w:r w:rsidR="0097071C">
        <w:rPr>
          <w:color w:val="000000" w:themeColor="text1"/>
        </w:rPr>
        <w:t xml:space="preserve">of the second FM PT 48 meeting (15-16 March 2011) </w:t>
      </w:r>
      <w:r w:rsidR="007416E7">
        <w:rPr>
          <w:color w:val="000000" w:themeColor="text1"/>
        </w:rPr>
        <w:t>had been</w:t>
      </w:r>
      <w:r>
        <w:rPr>
          <w:color w:val="000000" w:themeColor="text1"/>
        </w:rPr>
        <w:t xml:space="preserve"> submitted to the WG FM meeting in </w:t>
      </w:r>
      <w:r w:rsidR="0097071C">
        <w:rPr>
          <w:color w:val="000000" w:themeColor="text1"/>
        </w:rPr>
        <w:t>Miesbach,</w:t>
      </w:r>
      <w:r>
        <w:rPr>
          <w:color w:val="000000" w:themeColor="text1"/>
        </w:rPr>
        <w:t xml:space="preserve"> </w:t>
      </w:r>
      <w:r w:rsidR="0097071C">
        <w:rPr>
          <w:color w:val="000000" w:themeColor="text1"/>
        </w:rPr>
        <w:t>May</w:t>
      </w:r>
      <w:r>
        <w:rPr>
          <w:color w:val="000000" w:themeColor="text1"/>
        </w:rPr>
        <w:t xml:space="preserve"> 2011</w:t>
      </w:r>
      <w:r w:rsidR="0097071C">
        <w:rPr>
          <w:color w:val="000000" w:themeColor="text1"/>
        </w:rPr>
        <w:t xml:space="preserve"> (FM48(11)018rev1)</w:t>
      </w:r>
      <w:r>
        <w:rPr>
          <w:color w:val="000000" w:themeColor="text1"/>
        </w:rPr>
        <w:t>.</w:t>
      </w:r>
    </w:p>
    <w:p w:rsidR="00F94730" w:rsidRPr="005F40B3" w:rsidRDefault="00925056" w:rsidP="005F40B3">
      <w:pPr>
        <w:pStyle w:val="berschrift1"/>
        <w:rPr>
          <w:color w:val="000000" w:themeColor="text1"/>
          <w:sz w:val="24"/>
          <w:szCs w:val="24"/>
        </w:rPr>
      </w:pPr>
      <w:r>
        <w:rPr>
          <w:color w:val="000000" w:themeColor="text1"/>
          <w:sz w:val="24"/>
          <w:szCs w:val="24"/>
        </w:rPr>
        <w:t>4</w:t>
      </w:r>
      <w:r w:rsidR="00F94730" w:rsidRPr="005F40B3">
        <w:rPr>
          <w:color w:val="000000" w:themeColor="text1"/>
          <w:sz w:val="24"/>
          <w:szCs w:val="24"/>
        </w:rPr>
        <w:t>.2)</w:t>
      </w:r>
      <w:r w:rsidR="00F94730" w:rsidRPr="005F40B3">
        <w:rPr>
          <w:color w:val="000000" w:themeColor="text1"/>
          <w:sz w:val="24"/>
          <w:szCs w:val="24"/>
        </w:rPr>
        <w:tab/>
      </w:r>
      <w:r w:rsidR="0097071C">
        <w:rPr>
          <w:color w:val="000000" w:themeColor="text1"/>
          <w:sz w:val="24"/>
          <w:szCs w:val="24"/>
        </w:rPr>
        <w:t>LS from WG SE on the creation of SE PT 44</w:t>
      </w:r>
    </w:p>
    <w:p w:rsidR="00F94730" w:rsidRPr="005F40B3" w:rsidRDefault="00F94730" w:rsidP="005F40B3">
      <w:pPr>
        <w:rPr>
          <w:color w:val="000000" w:themeColor="text1"/>
        </w:rPr>
      </w:pPr>
    </w:p>
    <w:p w:rsidR="00F94730" w:rsidRPr="005F40B3" w:rsidRDefault="0097071C" w:rsidP="005F40B3">
      <w:pPr>
        <w:rPr>
          <w:color w:val="000000" w:themeColor="text1"/>
        </w:rPr>
      </w:pPr>
      <w:r>
        <w:rPr>
          <w:color w:val="000000" w:themeColor="text1"/>
        </w:rPr>
        <w:t>WG SE i</w:t>
      </w:r>
      <w:r w:rsidR="004B5575">
        <w:rPr>
          <w:color w:val="000000" w:themeColor="text1"/>
        </w:rPr>
        <w:t>nformed about the creation of a</w:t>
      </w:r>
      <w:r>
        <w:rPr>
          <w:color w:val="000000" w:themeColor="text1"/>
        </w:rPr>
        <w:t xml:space="preserve"> new project team, SE PT 44, which is responsible for studies on compatibility and sharing issues concerning Broadband DA2GC. From WG SE point of view, a close cooperation between SE PT 44 and FM PT 48 is intended. The Terms of reference of SE PT 44 </w:t>
      </w:r>
      <w:r w:rsidR="00746DF9">
        <w:rPr>
          <w:color w:val="000000" w:themeColor="text1"/>
        </w:rPr>
        <w:t xml:space="preserve">and the relevant extract from the work programme </w:t>
      </w:r>
      <w:r>
        <w:rPr>
          <w:color w:val="000000" w:themeColor="text1"/>
        </w:rPr>
        <w:t>are attached to the liaison statement (</w:t>
      </w:r>
      <w:r w:rsidR="00746DF9">
        <w:rPr>
          <w:color w:val="000000" w:themeColor="text1"/>
        </w:rPr>
        <w:t>FM48(11)033)</w:t>
      </w:r>
      <w:r w:rsidR="004B5575">
        <w:rPr>
          <w:color w:val="000000" w:themeColor="text1"/>
        </w:rPr>
        <w:t xml:space="preserve"> which was introduced by the SE PT 44 chairman, Mr Bach (Germany)</w:t>
      </w:r>
      <w:r w:rsidR="00746DF9">
        <w:rPr>
          <w:color w:val="000000" w:themeColor="text1"/>
        </w:rPr>
        <w:t>.</w:t>
      </w:r>
    </w:p>
    <w:p w:rsidR="00F94730" w:rsidRPr="005F40B3" w:rsidRDefault="00925056" w:rsidP="005F40B3">
      <w:pPr>
        <w:pStyle w:val="berschrift1"/>
        <w:rPr>
          <w:color w:val="000000" w:themeColor="text1"/>
          <w:sz w:val="24"/>
          <w:szCs w:val="24"/>
        </w:rPr>
      </w:pPr>
      <w:r>
        <w:rPr>
          <w:color w:val="000000" w:themeColor="text1"/>
          <w:sz w:val="24"/>
          <w:szCs w:val="24"/>
        </w:rPr>
        <w:t>4</w:t>
      </w:r>
      <w:r w:rsidR="00F94730" w:rsidRPr="005F40B3">
        <w:rPr>
          <w:color w:val="000000" w:themeColor="text1"/>
          <w:sz w:val="24"/>
          <w:szCs w:val="24"/>
        </w:rPr>
        <w:t>.3)</w:t>
      </w:r>
      <w:r w:rsidR="00F94730" w:rsidRPr="005F40B3">
        <w:rPr>
          <w:color w:val="000000" w:themeColor="text1"/>
          <w:sz w:val="24"/>
          <w:szCs w:val="24"/>
        </w:rPr>
        <w:tab/>
      </w:r>
      <w:r w:rsidR="006455F9">
        <w:rPr>
          <w:color w:val="000000" w:themeColor="text1"/>
          <w:sz w:val="24"/>
          <w:szCs w:val="24"/>
        </w:rPr>
        <w:t>Final</w:t>
      </w:r>
      <w:r w:rsidR="00F94730" w:rsidRPr="005F40B3">
        <w:rPr>
          <w:color w:val="000000" w:themeColor="text1"/>
          <w:sz w:val="24"/>
          <w:szCs w:val="24"/>
        </w:rPr>
        <w:t xml:space="preserve"> Minutes of latest </w:t>
      </w:r>
      <w:r w:rsidR="006455F9">
        <w:rPr>
          <w:color w:val="000000" w:themeColor="text1"/>
          <w:sz w:val="24"/>
          <w:szCs w:val="24"/>
        </w:rPr>
        <w:t>WG FM</w:t>
      </w:r>
      <w:r w:rsidR="00F94730" w:rsidRPr="005F40B3">
        <w:rPr>
          <w:color w:val="000000" w:themeColor="text1"/>
          <w:sz w:val="24"/>
          <w:szCs w:val="24"/>
        </w:rPr>
        <w:t xml:space="preserve"> meeting (extract)</w:t>
      </w:r>
    </w:p>
    <w:p w:rsidR="00C6250F" w:rsidRPr="005F40B3" w:rsidRDefault="00C6250F" w:rsidP="005F40B3">
      <w:pPr>
        <w:rPr>
          <w:color w:val="000000" w:themeColor="text1"/>
        </w:rPr>
      </w:pPr>
    </w:p>
    <w:p w:rsidR="00925056" w:rsidRDefault="002005FE" w:rsidP="005F40B3">
      <w:pPr>
        <w:rPr>
          <w:color w:val="000000" w:themeColor="text1"/>
        </w:rPr>
      </w:pPr>
      <w:r>
        <w:rPr>
          <w:color w:val="000000" w:themeColor="text1"/>
        </w:rPr>
        <w:t>An extract of the Minutes of the WG FM meeting in May 2011 was introduced (FM48(11)020). WG FM, inter alia, had asked FM PT 48 to reconsider the candidate fre</w:t>
      </w:r>
      <w:r w:rsidR="002129B5">
        <w:rPr>
          <w:color w:val="000000" w:themeColor="text1"/>
        </w:rPr>
        <w:softHyphen/>
      </w:r>
      <w:r>
        <w:rPr>
          <w:color w:val="000000" w:themeColor="text1"/>
        </w:rPr>
        <w:t>quency bands with the aim to reduce the number. WG FM had also decided to inform ECC on the status of the discussions on the spectrum requirements and had tasked FM PT 48 to further discuss this issue. The next WG FM meeting will take place in Lille/France from 17-21 October 2011.</w:t>
      </w:r>
    </w:p>
    <w:p w:rsidR="00925056" w:rsidRPr="005F40B3" w:rsidRDefault="00925056" w:rsidP="00925056">
      <w:pPr>
        <w:pStyle w:val="berschrift1"/>
        <w:rPr>
          <w:color w:val="000000" w:themeColor="text1"/>
          <w:sz w:val="24"/>
          <w:szCs w:val="24"/>
        </w:rPr>
      </w:pPr>
      <w:r>
        <w:rPr>
          <w:color w:val="000000" w:themeColor="text1"/>
          <w:sz w:val="24"/>
          <w:szCs w:val="24"/>
        </w:rPr>
        <w:t>4.4</w:t>
      </w:r>
      <w:r w:rsidRPr="005F40B3">
        <w:rPr>
          <w:color w:val="000000" w:themeColor="text1"/>
          <w:sz w:val="24"/>
          <w:szCs w:val="24"/>
        </w:rPr>
        <w:t>)</w:t>
      </w:r>
      <w:r w:rsidRPr="005F40B3">
        <w:rPr>
          <w:color w:val="000000" w:themeColor="text1"/>
          <w:sz w:val="24"/>
          <w:szCs w:val="24"/>
        </w:rPr>
        <w:tab/>
      </w:r>
      <w:r w:rsidR="002005FE">
        <w:rPr>
          <w:color w:val="000000" w:themeColor="text1"/>
          <w:sz w:val="24"/>
          <w:szCs w:val="24"/>
        </w:rPr>
        <w:t>Final</w:t>
      </w:r>
      <w:r w:rsidRPr="005F40B3">
        <w:rPr>
          <w:color w:val="000000" w:themeColor="text1"/>
          <w:sz w:val="24"/>
          <w:szCs w:val="24"/>
        </w:rPr>
        <w:t xml:space="preserve"> Minutes of latest ECC meeting (extract)</w:t>
      </w:r>
    </w:p>
    <w:p w:rsidR="00925056" w:rsidRDefault="00925056" w:rsidP="005F40B3">
      <w:pPr>
        <w:rPr>
          <w:color w:val="000000" w:themeColor="text1"/>
        </w:rPr>
      </w:pPr>
    </w:p>
    <w:p w:rsidR="00925056" w:rsidRDefault="002129B5" w:rsidP="005F40B3">
      <w:pPr>
        <w:rPr>
          <w:color w:val="000000" w:themeColor="text1"/>
        </w:rPr>
      </w:pPr>
      <w:r>
        <w:rPr>
          <w:color w:val="000000" w:themeColor="text1"/>
        </w:rPr>
        <w:t xml:space="preserve">An extract of the Minutes of the ECC plenary meeting in June 2011 was introduced (FM48(11)026). ECC had adopted for public consultation a new Draft ECC Decision “on harmonised frequency arrangements for mobile/fixed communications networks (MFCN) (including IMT) operating in the bands 3400-3600 MHz and 3600-3800 </w:t>
      </w:r>
      <w:r w:rsidR="007416E7">
        <w:rPr>
          <w:color w:val="000000" w:themeColor="text1"/>
        </w:rPr>
        <w:t>MHz”. The band 3400-3600 MHz had</w:t>
      </w:r>
      <w:r>
        <w:rPr>
          <w:color w:val="000000" w:themeColor="text1"/>
        </w:rPr>
        <w:t xml:space="preserve"> already been identified by WG FM as a </w:t>
      </w:r>
      <w:r w:rsidR="007416E7">
        <w:rPr>
          <w:color w:val="000000" w:themeColor="text1"/>
        </w:rPr>
        <w:t>C</w:t>
      </w:r>
      <w:r>
        <w:rPr>
          <w:color w:val="000000" w:themeColor="text1"/>
        </w:rPr>
        <w:t xml:space="preserve">ategory 1 band. The spectrum requirements for Broadband DA2GC systems were also shortly discussed during the ECC meeting; see </w:t>
      </w:r>
      <w:r w:rsidRPr="007416E7">
        <w:rPr>
          <w:color w:val="000000" w:themeColor="text1"/>
        </w:rPr>
        <w:t>also section 5 below.</w:t>
      </w:r>
    </w:p>
    <w:p w:rsidR="00925056" w:rsidRPr="005F40B3" w:rsidRDefault="00925056" w:rsidP="00925056">
      <w:pPr>
        <w:pStyle w:val="berschrift1"/>
        <w:rPr>
          <w:color w:val="000000" w:themeColor="text1"/>
          <w:sz w:val="24"/>
          <w:szCs w:val="24"/>
        </w:rPr>
      </w:pPr>
      <w:r>
        <w:rPr>
          <w:color w:val="000000" w:themeColor="text1"/>
          <w:sz w:val="24"/>
          <w:szCs w:val="24"/>
        </w:rPr>
        <w:t>4.5</w:t>
      </w:r>
      <w:r w:rsidRPr="005F40B3">
        <w:rPr>
          <w:color w:val="000000" w:themeColor="text1"/>
          <w:sz w:val="24"/>
          <w:szCs w:val="24"/>
        </w:rPr>
        <w:t>)</w:t>
      </w:r>
      <w:r w:rsidRPr="005F40B3">
        <w:rPr>
          <w:color w:val="000000" w:themeColor="text1"/>
          <w:sz w:val="24"/>
          <w:szCs w:val="24"/>
        </w:rPr>
        <w:tab/>
      </w:r>
      <w:r w:rsidR="001B1B99">
        <w:rPr>
          <w:color w:val="000000" w:themeColor="text1"/>
          <w:sz w:val="24"/>
          <w:szCs w:val="24"/>
        </w:rPr>
        <w:t>ECC/FCC/IC meeting</w:t>
      </w:r>
    </w:p>
    <w:p w:rsidR="00925056" w:rsidRPr="005F40B3" w:rsidRDefault="00C34EC0" w:rsidP="005F40B3">
      <w:pPr>
        <w:rPr>
          <w:color w:val="000000" w:themeColor="text1"/>
        </w:rPr>
      </w:pPr>
      <w:r>
        <w:rPr>
          <w:color w:val="000000" w:themeColor="text1"/>
        </w:rPr>
        <w:t>From WG FM side a presentation on Broadband DA2GC had been prepared for the latest ECC/FCC/IC meeting (</w:t>
      </w:r>
      <w:r>
        <w:t>infodoc. (11)002</w:t>
      </w:r>
      <w:r>
        <w:rPr>
          <w:color w:val="000000" w:themeColor="text1"/>
        </w:rPr>
        <w:t>), which took place in Oxford/UK in June 2011.</w:t>
      </w:r>
    </w:p>
    <w:p w:rsidR="00C6250F" w:rsidRPr="005F40B3" w:rsidRDefault="00F10AC2" w:rsidP="005F40B3">
      <w:pPr>
        <w:pStyle w:val="berschrift1"/>
        <w:rPr>
          <w:color w:val="000000" w:themeColor="text1"/>
          <w:sz w:val="24"/>
          <w:szCs w:val="24"/>
        </w:rPr>
      </w:pPr>
      <w:r>
        <w:rPr>
          <w:color w:val="000000" w:themeColor="text1"/>
          <w:sz w:val="24"/>
          <w:szCs w:val="24"/>
        </w:rPr>
        <w:t>5</w:t>
      </w:r>
      <w:r w:rsidR="00C6250F" w:rsidRPr="005F40B3">
        <w:rPr>
          <w:color w:val="000000" w:themeColor="text1"/>
          <w:sz w:val="24"/>
          <w:szCs w:val="24"/>
        </w:rPr>
        <w:t>)</w:t>
      </w:r>
      <w:r w:rsidR="00C6250F" w:rsidRPr="005F40B3">
        <w:rPr>
          <w:color w:val="000000" w:themeColor="text1"/>
          <w:sz w:val="24"/>
          <w:szCs w:val="24"/>
        </w:rPr>
        <w:tab/>
      </w:r>
      <w:r w:rsidR="00F94730" w:rsidRPr="005F40B3">
        <w:rPr>
          <w:color w:val="000000" w:themeColor="text1"/>
          <w:sz w:val="24"/>
          <w:szCs w:val="24"/>
        </w:rPr>
        <w:t>System design, spectrum requirements, impact of antenna selection</w:t>
      </w:r>
    </w:p>
    <w:p w:rsidR="00C6250F" w:rsidRPr="005F40B3" w:rsidRDefault="00C6250F" w:rsidP="005F40B3">
      <w:pPr>
        <w:rPr>
          <w:color w:val="000000" w:themeColor="text1"/>
        </w:rPr>
      </w:pPr>
    </w:p>
    <w:p w:rsidR="00C6250F" w:rsidRDefault="00135B74" w:rsidP="005F40B3">
      <w:pPr>
        <w:rPr>
          <w:color w:val="000000" w:themeColor="text1"/>
        </w:rPr>
      </w:pPr>
      <w:r>
        <w:rPr>
          <w:color w:val="000000" w:themeColor="text1"/>
        </w:rPr>
        <w:t>As part of the follow-up activities after the second FM PT 48 meeting, a common contribution from Deutsche Telekom, Alcatel-Lucent, Airbus</w:t>
      </w:r>
      <w:r w:rsidR="00057AD8">
        <w:rPr>
          <w:color w:val="000000" w:themeColor="text1"/>
        </w:rPr>
        <w:t xml:space="preserve"> and</w:t>
      </w:r>
      <w:r>
        <w:rPr>
          <w:color w:val="000000" w:themeColor="text1"/>
        </w:rPr>
        <w:t xml:space="preserve"> Deutsche Lufthansa had been made available on the ECO Forum. This document had also been provided to WG FM for its meeting in May 2011. It had been planned to provide additional time for possible comments on the conclusions as described in the working document; therefore this issue had </w:t>
      </w:r>
      <w:r w:rsidR="00057AD8">
        <w:rPr>
          <w:color w:val="000000" w:themeColor="text1"/>
        </w:rPr>
        <w:t xml:space="preserve">again </w:t>
      </w:r>
      <w:r>
        <w:rPr>
          <w:color w:val="000000" w:themeColor="text1"/>
        </w:rPr>
        <w:t>been put on the agenda of the third FM PT 48 meeting.</w:t>
      </w:r>
      <w:r w:rsidR="003E556A">
        <w:rPr>
          <w:color w:val="000000" w:themeColor="text1"/>
        </w:rPr>
        <w:t xml:space="preserve"> Mr Rosowski (Deutsche Telekom) introduced the document (FM48(11)024).</w:t>
      </w:r>
    </w:p>
    <w:p w:rsidR="00A744A0" w:rsidRDefault="00A744A0" w:rsidP="005F40B3">
      <w:pPr>
        <w:rPr>
          <w:color w:val="000000" w:themeColor="text1"/>
        </w:rPr>
      </w:pPr>
    </w:p>
    <w:p w:rsidR="006D3E52" w:rsidRDefault="00A744A0" w:rsidP="005F40B3">
      <w:pPr>
        <w:rPr>
          <w:color w:val="000000" w:themeColor="text1"/>
        </w:rPr>
      </w:pPr>
      <w:r>
        <w:rPr>
          <w:color w:val="000000" w:themeColor="text1"/>
        </w:rPr>
        <w:t>Mr Weber (ECO) introduced the up-to-date information about the North American develop</w:t>
      </w:r>
      <w:r w:rsidR="00057AD8">
        <w:rPr>
          <w:color w:val="000000" w:themeColor="text1"/>
        </w:rPr>
        <w:softHyphen/>
      </w:r>
      <w:r>
        <w:rPr>
          <w:color w:val="000000" w:themeColor="text1"/>
        </w:rPr>
        <w:t xml:space="preserve">ments in Broadband DA2GC (FM48(11)034). According to the latest publications on the web, Aircell intends to improve the capacity of its Gogo system, inter alia, by using directional antennas for the aircraft stations. This is different to the system description as provided in the </w:t>
      </w:r>
      <w:r>
        <w:rPr>
          <w:color w:val="000000" w:themeColor="text1"/>
        </w:rPr>
        <w:lastRenderedPageBreak/>
        <w:t xml:space="preserve">ETSI </w:t>
      </w:r>
      <w:r w:rsidR="007416E7">
        <w:rPr>
          <w:color w:val="000000" w:themeColor="text1"/>
        </w:rPr>
        <w:t>System R</w:t>
      </w:r>
      <w:r>
        <w:rPr>
          <w:color w:val="000000" w:themeColor="text1"/>
        </w:rPr>
        <w:t xml:space="preserve">eference </w:t>
      </w:r>
      <w:r w:rsidR="007416E7">
        <w:rPr>
          <w:color w:val="000000" w:themeColor="text1"/>
        </w:rPr>
        <w:t>D</w:t>
      </w:r>
      <w:r>
        <w:rPr>
          <w:color w:val="000000" w:themeColor="text1"/>
        </w:rPr>
        <w:t xml:space="preserve">ocument, where aircraft stations </w:t>
      </w:r>
      <w:r w:rsidR="007C5A0F">
        <w:rPr>
          <w:color w:val="000000" w:themeColor="text1"/>
        </w:rPr>
        <w:t xml:space="preserve">with more or less hemispherical properties have been assumed. </w:t>
      </w:r>
      <w:r w:rsidR="006D3E52">
        <w:rPr>
          <w:color w:val="000000" w:themeColor="text1"/>
        </w:rPr>
        <w:t>A further contribution from Deutsche Telekom (FM48(11)039), which describes the differences between the Gogo system (Aircell) and a system according to the ETSI SRDoc., was introduced by Mr Rosowski. It was emphasised that Aircell’s ATG-4 service is using a 3G radio technology compared to the 4G technology ch</w:t>
      </w:r>
      <w:r w:rsidR="00BB7661">
        <w:rPr>
          <w:color w:val="000000" w:themeColor="text1"/>
        </w:rPr>
        <w:t>osen in the SRDoc. (ETSI TR 103 </w:t>
      </w:r>
      <w:r w:rsidR="006D3E52">
        <w:rPr>
          <w:color w:val="000000" w:themeColor="text1"/>
        </w:rPr>
        <w:t>054). In particular, MIMO technology and interference handling mechanisms as they are inherently included in the corresponding 3GPP stan</w:t>
      </w:r>
      <w:r w:rsidR="00057AD8">
        <w:rPr>
          <w:color w:val="000000" w:themeColor="text1"/>
        </w:rPr>
        <w:softHyphen/>
      </w:r>
      <w:r w:rsidR="006D3E52">
        <w:rPr>
          <w:color w:val="000000" w:themeColor="text1"/>
        </w:rPr>
        <w:t>dard</w:t>
      </w:r>
      <w:r w:rsidR="00AF2BAA">
        <w:rPr>
          <w:color w:val="000000" w:themeColor="text1"/>
        </w:rPr>
        <w:t>(</w:t>
      </w:r>
      <w:r w:rsidR="006D3E52">
        <w:rPr>
          <w:color w:val="000000" w:themeColor="text1"/>
        </w:rPr>
        <w:t>s</w:t>
      </w:r>
      <w:r w:rsidR="00AF2BAA">
        <w:rPr>
          <w:color w:val="000000" w:themeColor="text1"/>
        </w:rPr>
        <w:t>)</w:t>
      </w:r>
      <w:r w:rsidR="006D3E52">
        <w:rPr>
          <w:color w:val="000000" w:themeColor="text1"/>
        </w:rPr>
        <w:t>, have not been applied in the ATG-4 service.</w:t>
      </w:r>
      <w:r w:rsidR="00AF2BAA">
        <w:rPr>
          <w:color w:val="000000" w:themeColor="text1"/>
        </w:rPr>
        <w:t xml:space="preserve"> It was also highlighted during the discussion that within CEPT the aim is to find a solution which is able to provide a broadband service from the beginning. Whereas only a very limited amount of spectrum is available for air to ground communications</w:t>
      </w:r>
      <w:r w:rsidR="00BB7661">
        <w:rPr>
          <w:color w:val="000000" w:themeColor="text1"/>
        </w:rPr>
        <w:t xml:space="preserve"> in North America</w:t>
      </w:r>
      <w:r w:rsidR="00AF2BAA">
        <w:rPr>
          <w:color w:val="000000" w:themeColor="text1"/>
        </w:rPr>
        <w:t>.</w:t>
      </w:r>
    </w:p>
    <w:p w:rsidR="006D3E52" w:rsidRDefault="006D3E52" w:rsidP="005F40B3">
      <w:pPr>
        <w:rPr>
          <w:color w:val="000000" w:themeColor="text1"/>
        </w:rPr>
      </w:pPr>
    </w:p>
    <w:p w:rsidR="00A744A0" w:rsidRDefault="006D3E52" w:rsidP="005F40B3">
      <w:pPr>
        <w:rPr>
          <w:color w:val="000000" w:themeColor="text1"/>
        </w:rPr>
      </w:pPr>
      <w:r>
        <w:rPr>
          <w:color w:val="000000" w:themeColor="text1"/>
        </w:rPr>
        <w:t xml:space="preserve">By taking into account the differences of the systems, it was concluded by the meeting that there is no need to change the current working assumptions or to contact ETSI </w:t>
      </w:r>
      <w:r w:rsidR="00AF2BAA">
        <w:rPr>
          <w:color w:val="000000" w:themeColor="text1"/>
        </w:rPr>
        <w:t>for clarification.</w:t>
      </w:r>
    </w:p>
    <w:p w:rsidR="00224692" w:rsidRDefault="00224692" w:rsidP="005F40B3">
      <w:pPr>
        <w:rPr>
          <w:color w:val="000000" w:themeColor="text1"/>
        </w:rPr>
      </w:pPr>
    </w:p>
    <w:p w:rsidR="00224692" w:rsidRDefault="00224692" w:rsidP="005F40B3">
      <w:pPr>
        <w:rPr>
          <w:color w:val="000000" w:themeColor="text1"/>
        </w:rPr>
      </w:pPr>
      <w:r>
        <w:rPr>
          <w:color w:val="000000" w:themeColor="text1"/>
        </w:rPr>
        <w:t xml:space="preserve">Based on these three contributions the spectrum requirement was again discussed. By taking into account different impact factors, such as </w:t>
      </w:r>
      <w:r w:rsidR="00057AD8">
        <w:rPr>
          <w:color w:val="000000" w:themeColor="text1"/>
        </w:rPr>
        <w:t xml:space="preserve">the </w:t>
      </w:r>
      <w:r>
        <w:rPr>
          <w:color w:val="000000" w:themeColor="text1"/>
        </w:rPr>
        <w:t>cell size</w:t>
      </w:r>
      <w:r w:rsidR="00057AD8">
        <w:rPr>
          <w:color w:val="000000" w:themeColor="text1"/>
        </w:rPr>
        <w:t xml:space="preserve"> of the ground stations (GS)</w:t>
      </w:r>
      <w:r>
        <w:rPr>
          <w:color w:val="000000" w:themeColor="text1"/>
        </w:rPr>
        <w:t xml:space="preserve">, it was concluded that the </w:t>
      </w:r>
      <w:r w:rsidR="00057AD8">
        <w:rPr>
          <w:color w:val="000000" w:themeColor="text1"/>
        </w:rPr>
        <w:t xml:space="preserve">current </w:t>
      </w:r>
      <w:r>
        <w:rPr>
          <w:color w:val="000000" w:themeColor="text1"/>
        </w:rPr>
        <w:t xml:space="preserve">benchmark for a Broadband DA2GC system was </w:t>
      </w:r>
      <w:r w:rsidR="00057AD8">
        <w:rPr>
          <w:color w:val="000000" w:themeColor="text1"/>
        </w:rPr>
        <w:t>≥</w:t>
      </w:r>
      <w:r>
        <w:rPr>
          <w:color w:val="000000" w:themeColor="text1"/>
        </w:rPr>
        <w:t xml:space="preserve">15 MHz. However, also the expected air traffic increase in the European area for the next years has to be considered. It was </w:t>
      </w:r>
      <w:r w:rsidR="00B0229D">
        <w:rPr>
          <w:color w:val="000000" w:themeColor="text1"/>
        </w:rPr>
        <w:t>questioned</w:t>
      </w:r>
      <w:r>
        <w:rPr>
          <w:color w:val="000000" w:themeColor="text1"/>
        </w:rPr>
        <w:t xml:space="preserve"> by Aero3G whether, in case of TDD, contiguous spectrum is really required.</w:t>
      </w:r>
    </w:p>
    <w:p w:rsidR="00B0229D" w:rsidRDefault="00B0229D" w:rsidP="005F40B3">
      <w:pPr>
        <w:rPr>
          <w:color w:val="000000" w:themeColor="text1"/>
        </w:rPr>
      </w:pPr>
    </w:p>
    <w:p w:rsidR="00B0229D" w:rsidRDefault="00B0229D" w:rsidP="005F40B3">
      <w:pPr>
        <w:rPr>
          <w:color w:val="000000" w:themeColor="text1"/>
        </w:rPr>
      </w:pPr>
      <w:r>
        <w:rPr>
          <w:color w:val="000000" w:themeColor="text1"/>
        </w:rPr>
        <w:t>After the discussion, the meeting concluded that:</w:t>
      </w:r>
    </w:p>
    <w:p w:rsidR="00B0229D" w:rsidRDefault="00B0229D" w:rsidP="005F40B3">
      <w:pPr>
        <w:rPr>
          <w:color w:val="000000" w:themeColor="text1"/>
        </w:rPr>
      </w:pPr>
    </w:p>
    <w:p w:rsidR="00B0229D" w:rsidRDefault="00B0229D" w:rsidP="00B0229D">
      <w:pPr>
        <w:pStyle w:val="Listenabsatz"/>
        <w:numPr>
          <w:ilvl w:val="0"/>
          <w:numId w:val="1"/>
        </w:numPr>
        <w:jc w:val="both"/>
        <w:rPr>
          <w:lang w:val="en-US"/>
        </w:rPr>
      </w:pPr>
      <w:r w:rsidRPr="00B0229D">
        <w:rPr>
          <w:lang w:val="en-US"/>
        </w:rPr>
        <w:t>The spectrum demand for a Broadband DA2GC system is derived from a summary of relevant factors to be essential to cope with future capacity demand as well as from results achieved by system performance evaluations.</w:t>
      </w:r>
    </w:p>
    <w:p w:rsidR="00B0229D" w:rsidRPr="00A51E8A" w:rsidRDefault="00A51E8A" w:rsidP="00B0229D">
      <w:pPr>
        <w:pStyle w:val="Listenabsatz"/>
        <w:numPr>
          <w:ilvl w:val="0"/>
          <w:numId w:val="1"/>
        </w:numPr>
        <w:jc w:val="both"/>
        <w:rPr>
          <w:lang w:val="en-US"/>
        </w:rPr>
      </w:pPr>
      <w:r w:rsidRPr="00A51E8A">
        <w:rPr>
          <w:lang w:val="en-US"/>
        </w:rPr>
        <w:t>The conclusions as described in document FM48(11)024 (same as FM(11)091</w:t>
      </w:r>
      <w:r w:rsidR="00491058">
        <w:rPr>
          <w:lang w:val="en-US"/>
        </w:rPr>
        <w:t>, submitted to WG FM in May 2011)</w:t>
      </w:r>
      <w:r w:rsidR="00057AD8">
        <w:rPr>
          <w:lang w:val="en-US"/>
        </w:rPr>
        <w:t xml:space="preserve"> </w:t>
      </w:r>
      <w:r w:rsidR="00491058">
        <w:rPr>
          <w:lang w:val="en-US"/>
        </w:rPr>
        <w:t>are suppo</w:t>
      </w:r>
      <w:r w:rsidRPr="00A51E8A">
        <w:rPr>
          <w:lang w:val="en-US"/>
        </w:rPr>
        <w:t>rted.</w:t>
      </w:r>
    </w:p>
    <w:p w:rsidR="00B0229D" w:rsidRPr="00B0229D" w:rsidRDefault="00B0229D" w:rsidP="00B0229D">
      <w:pPr>
        <w:pStyle w:val="Listenabsatz"/>
        <w:numPr>
          <w:ilvl w:val="0"/>
          <w:numId w:val="1"/>
        </w:numPr>
        <w:rPr>
          <w:color w:val="000000" w:themeColor="text1"/>
        </w:rPr>
      </w:pPr>
      <w:r w:rsidRPr="00B0229D">
        <w:rPr>
          <w:lang w:val="en-US"/>
        </w:rPr>
        <w:t>Paired spectrum of 2 x 10 MHz for FDD operation is considered necessary to cope with short- to medium-term demand. Unpaired spectrum for TDD operation (20 MHz) would also be an option, but system performance would slightly suffer due to guard time intervals required for large cell sizes. Furthermore, it might be more complicated to identify a contiguous block of 20 MHz for TDD operation.</w:t>
      </w:r>
    </w:p>
    <w:p w:rsidR="00135B74" w:rsidRDefault="00135B74" w:rsidP="005F40B3">
      <w:pPr>
        <w:rPr>
          <w:color w:val="000000" w:themeColor="text1"/>
        </w:rPr>
      </w:pPr>
    </w:p>
    <w:p w:rsidR="00135B74" w:rsidRPr="005F40B3" w:rsidRDefault="00135B74" w:rsidP="00A51E8A">
      <w:pPr>
        <w:pBdr>
          <w:top w:val="single" w:sz="4" w:space="1" w:color="auto"/>
          <w:left w:val="single" w:sz="4" w:space="4" w:color="auto"/>
          <w:bottom w:val="single" w:sz="4" w:space="1" w:color="auto"/>
          <w:right w:val="single" w:sz="4" w:space="4" w:color="auto"/>
        </w:pBdr>
        <w:ind w:left="708"/>
        <w:rPr>
          <w:b/>
          <w:color w:val="000000" w:themeColor="text1"/>
        </w:rPr>
      </w:pPr>
      <w:r w:rsidRPr="005F40B3">
        <w:rPr>
          <w:b/>
          <w:color w:val="000000" w:themeColor="text1"/>
        </w:rPr>
        <w:t>WG FM is invited</w:t>
      </w:r>
      <w:r>
        <w:rPr>
          <w:b/>
          <w:color w:val="000000" w:themeColor="text1"/>
        </w:rPr>
        <w:t>:</w:t>
      </w:r>
    </w:p>
    <w:p w:rsidR="00135B74" w:rsidRPr="00BB7661" w:rsidRDefault="00135B74" w:rsidP="00A51E8A">
      <w:pPr>
        <w:pBdr>
          <w:top w:val="single" w:sz="4" w:space="1" w:color="auto"/>
          <w:left w:val="single" w:sz="4" w:space="4" w:color="auto"/>
          <w:bottom w:val="single" w:sz="4" w:space="1" w:color="auto"/>
          <w:right w:val="single" w:sz="4" w:space="4" w:color="auto"/>
        </w:pBdr>
        <w:ind w:left="708"/>
        <w:rPr>
          <w:color w:val="000000" w:themeColor="text1"/>
        </w:rPr>
      </w:pPr>
    </w:p>
    <w:p w:rsidR="00135B74" w:rsidRPr="00BB7661" w:rsidRDefault="00135B74" w:rsidP="00A51E8A">
      <w:pPr>
        <w:pBdr>
          <w:top w:val="single" w:sz="4" w:space="1" w:color="auto"/>
          <w:left w:val="single" w:sz="4" w:space="4" w:color="auto"/>
          <w:bottom w:val="single" w:sz="4" w:space="1" w:color="auto"/>
          <w:right w:val="single" w:sz="4" w:space="4" w:color="auto"/>
        </w:pBdr>
        <w:ind w:left="993" w:hanging="285"/>
        <w:rPr>
          <w:color w:val="000000" w:themeColor="text1"/>
        </w:rPr>
      </w:pPr>
      <w:r w:rsidRPr="005F40B3">
        <w:rPr>
          <w:b/>
          <w:color w:val="000000" w:themeColor="text1"/>
        </w:rPr>
        <w:t xml:space="preserve">a) To </w:t>
      </w:r>
      <w:r>
        <w:rPr>
          <w:b/>
          <w:color w:val="000000" w:themeColor="text1"/>
        </w:rPr>
        <w:t xml:space="preserve">confirm the conclusions </w:t>
      </w:r>
      <w:r w:rsidR="001979FE">
        <w:rPr>
          <w:b/>
          <w:color w:val="000000" w:themeColor="text1"/>
        </w:rPr>
        <w:t xml:space="preserve">on the spectrum requirements </w:t>
      </w:r>
      <w:r w:rsidR="003E556A">
        <w:rPr>
          <w:b/>
          <w:color w:val="000000" w:themeColor="text1"/>
        </w:rPr>
        <w:t xml:space="preserve">as described </w:t>
      </w:r>
      <w:r w:rsidR="00BB7661">
        <w:rPr>
          <w:b/>
          <w:color w:val="000000" w:themeColor="text1"/>
        </w:rPr>
        <w:t>above</w:t>
      </w:r>
      <w:r>
        <w:rPr>
          <w:b/>
          <w:color w:val="000000" w:themeColor="text1"/>
        </w:rPr>
        <w:t>;</w:t>
      </w:r>
      <w:r w:rsidR="00B0229D">
        <w:rPr>
          <w:b/>
          <w:color w:val="000000" w:themeColor="text1"/>
        </w:rPr>
        <w:br/>
      </w:r>
    </w:p>
    <w:p w:rsidR="00135B74" w:rsidRPr="00B0229D" w:rsidRDefault="00135B74" w:rsidP="00A51E8A">
      <w:pPr>
        <w:pBdr>
          <w:top w:val="single" w:sz="4" w:space="1" w:color="auto"/>
          <w:left w:val="single" w:sz="4" w:space="4" w:color="auto"/>
          <w:bottom w:val="single" w:sz="4" w:space="1" w:color="auto"/>
          <w:right w:val="single" w:sz="4" w:space="4" w:color="auto"/>
        </w:pBdr>
        <w:ind w:left="993" w:hanging="285"/>
        <w:rPr>
          <w:color w:val="000000" w:themeColor="text1"/>
        </w:rPr>
      </w:pPr>
      <w:r>
        <w:rPr>
          <w:b/>
          <w:color w:val="000000" w:themeColor="text1"/>
        </w:rPr>
        <w:t>b) To inform the ECC during the next plenary meeting in December 2011</w:t>
      </w:r>
      <w:r w:rsidR="00A51E8A">
        <w:rPr>
          <w:b/>
          <w:color w:val="000000" w:themeColor="text1"/>
        </w:rPr>
        <w:t xml:space="preserve"> </w:t>
      </w:r>
      <w:r w:rsidR="00BB7661">
        <w:rPr>
          <w:b/>
          <w:color w:val="000000" w:themeColor="text1"/>
        </w:rPr>
        <w:t xml:space="preserve">accordingly </w:t>
      </w:r>
      <w:r w:rsidR="00B0229D">
        <w:rPr>
          <w:b/>
          <w:color w:val="000000" w:themeColor="text1"/>
        </w:rPr>
        <w:br/>
      </w:r>
      <w:r w:rsidR="00B0229D" w:rsidRPr="00B0229D">
        <w:rPr>
          <w:color w:val="000000" w:themeColor="text1"/>
        </w:rPr>
        <w:t>(</w:t>
      </w:r>
      <w:r w:rsidR="00B0229D">
        <w:rPr>
          <w:color w:val="000000" w:themeColor="text1"/>
        </w:rPr>
        <w:t>ECC had tasked WG FM to consider further the spectrum requirements for Broadband DA2GC systems. The preliminary outcome of the c</w:t>
      </w:r>
      <w:r w:rsidR="00A51E8A">
        <w:rPr>
          <w:color w:val="000000" w:themeColor="text1"/>
        </w:rPr>
        <w:t>onsiderations was</w:t>
      </w:r>
      <w:r w:rsidR="00B0229D">
        <w:rPr>
          <w:color w:val="000000" w:themeColor="text1"/>
        </w:rPr>
        <w:t xml:space="preserve"> introduced by WG FM to the latest meeting of ECC in June 2011</w:t>
      </w:r>
      <w:r w:rsidR="00A51E8A">
        <w:rPr>
          <w:color w:val="000000" w:themeColor="text1"/>
        </w:rPr>
        <w:t xml:space="preserve">, </w:t>
      </w:r>
      <w:r w:rsidR="00B0229D">
        <w:rPr>
          <w:color w:val="000000" w:themeColor="text1"/>
        </w:rPr>
        <w:t>see section 8.10 of the ECC#29</w:t>
      </w:r>
      <w:r w:rsidR="00A51E8A">
        <w:rPr>
          <w:color w:val="000000" w:themeColor="text1"/>
        </w:rPr>
        <w:t xml:space="preserve"> Minutes</w:t>
      </w:r>
      <w:r w:rsidR="00B0229D">
        <w:rPr>
          <w:color w:val="000000" w:themeColor="text1"/>
        </w:rPr>
        <w:t>.</w:t>
      </w:r>
      <w:r w:rsidR="00B0229D" w:rsidRPr="00B0229D">
        <w:rPr>
          <w:color w:val="000000" w:themeColor="text1"/>
        </w:rPr>
        <w:t>)</w:t>
      </w:r>
    </w:p>
    <w:p w:rsidR="00C6250F" w:rsidRPr="00B45A49" w:rsidRDefault="00BB7661" w:rsidP="005F40B3">
      <w:pPr>
        <w:pStyle w:val="berschrift1"/>
        <w:rPr>
          <w:color w:val="000000" w:themeColor="text1"/>
          <w:sz w:val="24"/>
          <w:szCs w:val="24"/>
        </w:rPr>
      </w:pPr>
      <w:r w:rsidRPr="00613005">
        <w:rPr>
          <w:color w:val="000000" w:themeColor="text1"/>
          <w:sz w:val="24"/>
          <w:szCs w:val="24"/>
        </w:rPr>
        <w:t>6</w:t>
      </w:r>
      <w:r w:rsidR="00C6250F" w:rsidRPr="00613005">
        <w:rPr>
          <w:color w:val="000000" w:themeColor="text1"/>
          <w:sz w:val="24"/>
          <w:szCs w:val="24"/>
        </w:rPr>
        <w:t>)</w:t>
      </w:r>
      <w:r w:rsidR="00C6250F" w:rsidRPr="00613005">
        <w:rPr>
          <w:color w:val="000000" w:themeColor="text1"/>
          <w:sz w:val="24"/>
          <w:szCs w:val="24"/>
        </w:rPr>
        <w:tab/>
      </w:r>
      <w:r w:rsidRPr="00613005">
        <w:rPr>
          <w:color w:val="000000" w:themeColor="text1"/>
          <w:sz w:val="24"/>
          <w:szCs w:val="24"/>
        </w:rPr>
        <w:t>Frequency bands according Category 1</w:t>
      </w:r>
    </w:p>
    <w:p w:rsidR="00C6250F" w:rsidRPr="005F40B3" w:rsidRDefault="00C6250F" w:rsidP="005F40B3">
      <w:pPr>
        <w:rPr>
          <w:color w:val="000000" w:themeColor="text1"/>
        </w:rPr>
      </w:pPr>
    </w:p>
    <w:p w:rsidR="00613005" w:rsidRPr="005F40B3" w:rsidRDefault="003D45F7" w:rsidP="005F40B3">
      <w:pPr>
        <w:rPr>
          <w:color w:val="000000" w:themeColor="text1"/>
        </w:rPr>
      </w:pPr>
      <w:r>
        <w:rPr>
          <w:color w:val="000000" w:themeColor="text1"/>
        </w:rPr>
        <w:t>The following frequency bands were discussed based on the outcome of the second FM PT</w:t>
      </w:r>
      <w:r w:rsidR="00613005">
        <w:rPr>
          <w:color w:val="000000" w:themeColor="text1"/>
        </w:rPr>
        <w:t> </w:t>
      </w:r>
      <w:r>
        <w:rPr>
          <w:color w:val="000000" w:themeColor="text1"/>
        </w:rPr>
        <w:t xml:space="preserve">48 meeting and </w:t>
      </w:r>
      <w:r w:rsidR="00613005">
        <w:rPr>
          <w:color w:val="000000" w:themeColor="text1"/>
        </w:rPr>
        <w:t xml:space="preserve">based </w:t>
      </w:r>
      <w:r>
        <w:rPr>
          <w:color w:val="000000" w:themeColor="text1"/>
        </w:rPr>
        <w:t>on the conclusions drawn by WG FM in May 2011.</w:t>
      </w:r>
    </w:p>
    <w:p w:rsidR="00613005" w:rsidRPr="00B45A49" w:rsidRDefault="00613005" w:rsidP="00613005">
      <w:pPr>
        <w:pStyle w:val="berschrift1"/>
        <w:rPr>
          <w:color w:val="000000" w:themeColor="text1"/>
          <w:sz w:val="24"/>
          <w:szCs w:val="24"/>
        </w:rPr>
      </w:pPr>
      <w:r w:rsidRPr="00613005">
        <w:rPr>
          <w:color w:val="000000" w:themeColor="text1"/>
          <w:sz w:val="24"/>
          <w:szCs w:val="24"/>
        </w:rPr>
        <w:lastRenderedPageBreak/>
        <w:t>6</w:t>
      </w:r>
      <w:r>
        <w:rPr>
          <w:color w:val="000000" w:themeColor="text1"/>
          <w:sz w:val="24"/>
          <w:szCs w:val="24"/>
        </w:rPr>
        <w:t>.1</w:t>
      </w:r>
      <w:r w:rsidRPr="00613005">
        <w:rPr>
          <w:color w:val="000000" w:themeColor="text1"/>
          <w:sz w:val="24"/>
          <w:szCs w:val="24"/>
        </w:rPr>
        <w:t>)</w:t>
      </w:r>
      <w:r w:rsidRPr="00613005">
        <w:rPr>
          <w:color w:val="000000" w:themeColor="text1"/>
          <w:sz w:val="24"/>
          <w:szCs w:val="24"/>
        </w:rPr>
        <w:tab/>
      </w:r>
      <w:r>
        <w:rPr>
          <w:color w:val="000000" w:themeColor="text1"/>
          <w:sz w:val="24"/>
          <w:szCs w:val="24"/>
        </w:rPr>
        <w:t>B</w:t>
      </w:r>
      <w:r w:rsidRPr="00613005">
        <w:rPr>
          <w:color w:val="000000" w:themeColor="text1"/>
          <w:sz w:val="24"/>
          <w:szCs w:val="24"/>
        </w:rPr>
        <w:t xml:space="preserve">ands </w:t>
      </w:r>
      <w:r>
        <w:rPr>
          <w:color w:val="000000" w:themeColor="text1"/>
          <w:sz w:val="24"/>
          <w:szCs w:val="24"/>
        </w:rPr>
        <w:t>2400-2483.5 MHz and 5855-5875 MHz</w:t>
      </w:r>
    </w:p>
    <w:p w:rsidR="00C6250F" w:rsidRDefault="00C6250F" w:rsidP="005F40B3">
      <w:pPr>
        <w:rPr>
          <w:color w:val="000000" w:themeColor="text1"/>
        </w:rPr>
      </w:pPr>
    </w:p>
    <w:p w:rsidR="00613005" w:rsidRDefault="00613005" w:rsidP="005F40B3">
      <w:pPr>
        <w:rPr>
          <w:color w:val="000000" w:themeColor="text1"/>
        </w:rPr>
      </w:pPr>
      <w:r>
        <w:rPr>
          <w:color w:val="000000" w:themeColor="text1"/>
        </w:rPr>
        <w:t>WG FM had considered a contribution from Lufthansa Systems AG during its meeting in May 2011, describing an alternative system design and technology</w:t>
      </w:r>
      <w:r w:rsidR="007C1E1A">
        <w:rPr>
          <w:color w:val="000000" w:themeColor="text1"/>
        </w:rPr>
        <w:t xml:space="preserve"> compared to the ETSI SRDoc</w:t>
      </w:r>
      <w:r>
        <w:rPr>
          <w:color w:val="000000" w:themeColor="text1"/>
        </w:rPr>
        <w:t>. It is planned to be operated in unlicensed spectrum bands, including the bands around 2.4</w:t>
      </w:r>
      <w:r w:rsidR="007C1E1A">
        <w:rPr>
          <w:color w:val="000000" w:themeColor="text1"/>
        </w:rPr>
        <w:t> GHz and 5.8 </w:t>
      </w:r>
      <w:r>
        <w:rPr>
          <w:color w:val="000000" w:themeColor="text1"/>
        </w:rPr>
        <w:t xml:space="preserve">GHz which had, inter alia, been identified for the first phase of studies within WG SE. WG FM had </w:t>
      </w:r>
      <w:r w:rsidR="007C1E1A">
        <w:rPr>
          <w:color w:val="000000" w:themeColor="text1"/>
        </w:rPr>
        <w:t xml:space="preserve">already </w:t>
      </w:r>
      <w:r>
        <w:rPr>
          <w:color w:val="000000" w:themeColor="text1"/>
        </w:rPr>
        <w:t xml:space="preserve">asked WG SE to take into account this information in the compatibility and sharing studies </w:t>
      </w:r>
      <w:r w:rsidR="007C1E1A">
        <w:rPr>
          <w:color w:val="000000" w:themeColor="text1"/>
        </w:rPr>
        <w:t>(see docs. FM48(11)028 and FM48(11)023). It was expected by WG FM that further details on the system will be provided directly to SE PT 44.</w:t>
      </w:r>
    </w:p>
    <w:p w:rsidR="007C1E1A" w:rsidRDefault="007C1E1A" w:rsidP="005F40B3">
      <w:pPr>
        <w:rPr>
          <w:color w:val="000000" w:themeColor="text1"/>
        </w:rPr>
      </w:pPr>
    </w:p>
    <w:p w:rsidR="007C1E1A" w:rsidRDefault="007C1E1A" w:rsidP="005F40B3">
      <w:pPr>
        <w:rPr>
          <w:color w:val="000000" w:themeColor="text1"/>
        </w:rPr>
      </w:pPr>
      <w:r w:rsidRPr="001979FE">
        <w:rPr>
          <w:color w:val="000000" w:themeColor="text1"/>
        </w:rPr>
        <w:t xml:space="preserve">Mr Priestman (ClearWave Consulting Ltd) </w:t>
      </w:r>
      <w:r w:rsidR="002656CE" w:rsidRPr="001979FE">
        <w:rPr>
          <w:color w:val="000000" w:themeColor="text1"/>
        </w:rPr>
        <w:t xml:space="preserve">and Mr Hommel (Lufthansa Systems AG) </w:t>
      </w:r>
      <w:r w:rsidRPr="001979FE">
        <w:rPr>
          <w:color w:val="000000" w:themeColor="text1"/>
        </w:rPr>
        <w:t>introduced document FM48(11)023 from Lufthansa Systems AG</w:t>
      </w:r>
      <w:r w:rsidR="002656CE" w:rsidRPr="001979FE">
        <w:rPr>
          <w:color w:val="000000" w:themeColor="text1"/>
        </w:rPr>
        <w:t>, which describes an alternative Broadband DA2GC system</w:t>
      </w:r>
      <w:r w:rsidRPr="001979FE">
        <w:rPr>
          <w:color w:val="000000" w:themeColor="text1"/>
        </w:rPr>
        <w:t>.</w:t>
      </w:r>
      <w:r w:rsidR="002656CE" w:rsidRPr="001979FE">
        <w:rPr>
          <w:color w:val="000000" w:themeColor="text1"/>
        </w:rPr>
        <w:t xml:space="preserve"> The main difference, compared to the system description as provided by the ETSI SRDoc., is given by the fact that unlicensed spectrum should be used. The intension is to apply usage conditions similar to those described in the FCC Regulation CFR 47 Part 15.247. The typical radiated output power of a ground station would be around 45 dBm e.i.r.p.</w:t>
      </w:r>
      <w:r w:rsidR="00707B18" w:rsidRPr="001979FE">
        <w:rPr>
          <w:color w:val="000000" w:themeColor="text1"/>
        </w:rPr>
        <w:t xml:space="preserve"> (with transmit power control)</w:t>
      </w:r>
      <w:r w:rsidR="00AA179E" w:rsidRPr="001979FE">
        <w:rPr>
          <w:color w:val="000000" w:themeColor="text1"/>
        </w:rPr>
        <w:t>, sector antennas with beam forming are planned. In summary, an amount of spectrum of 15 MHz (either in 2.4 GHz or in 5.8 GHz</w:t>
      </w:r>
      <w:r w:rsidR="00707B18" w:rsidRPr="001979FE">
        <w:rPr>
          <w:color w:val="000000" w:themeColor="text1"/>
        </w:rPr>
        <w:t>,</w:t>
      </w:r>
      <w:r w:rsidR="00AA179E" w:rsidRPr="001979FE">
        <w:rPr>
          <w:color w:val="000000" w:themeColor="text1"/>
        </w:rPr>
        <w:t xml:space="preserve"> or in both bands</w:t>
      </w:r>
      <w:r w:rsidR="00707B18" w:rsidRPr="001979FE">
        <w:rPr>
          <w:color w:val="000000" w:themeColor="text1"/>
        </w:rPr>
        <w:t xml:space="preserve"> depending on the outcome of the compatibility studies</w:t>
      </w:r>
      <w:r w:rsidR="00AA179E" w:rsidRPr="001979FE">
        <w:rPr>
          <w:color w:val="000000" w:themeColor="text1"/>
        </w:rPr>
        <w:t>) would be sufficient. Hence the frequency re-use would be 1, with the possibility of 8 simultaneous links because of the beam forming antennas.</w:t>
      </w:r>
    </w:p>
    <w:p w:rsidR="00AA179E" w:rsidRDefault="00AA179E" w:rsidP="005F40B3">
      <w:pPr>
        <w:rPr>
          <w:color w:val="000000" w:themeColor="text1"/>
        </w:rPr>
      </w:pPr>
    </w:p>
    <w:p w:rsidR="00AA179E" w:rsidRDefault="00AA179E" w:rsidP="005F40B3">
      <w:pPr>
        <w:rPr>
          <w:color w:val="000000" w:themeColor="text1"/>
        </w:rPr>
      </w:pPr>
      <w:r>
        <w:rPr>
          <w:color w:val="000000" w:themeColor="text1"/>
        </w:rPr>
        <w:t xml:space="preserve">It was emphasised during the discussion, that more details are required to understand the proposal in detail. </w:t>
      </w:r>
      <w:r w:rsidR="00707B18">
        <w:rPr>
          <w:color w:val="000000" w:themeColor="text1"/>
        </w:rPr>
        <w:t>France indicated that no necessity can be seen for an alternative solution.</w:t>
      </w:r>
      <w:r w:rsidR="007F5A4B">
        <w:rPr>
          <w:color w:val="000000" w:themeColor="text1"/>
        </w:rPr>
        <w:t xml:space="preserve"> The meeting agreed that, because of the complexity of the FCC regulation, Lufthansa Systems AG should provide a clear set of relevant spectrum parameters to SE PT 44. After further discussion the meeting came to the view that a system description in the format of an ETSI SRDoc. would be the most appropriate way forward. Mr Hommel (Lufthansa Systems AG) indicated that </w:t>
      </w:r>
      <w:r w:rsidR="00874D71">
        <w:rPr>
          <w:color w:val="000000" w:themeColor="text1"/>
        </w:rPr>
        <w:t xml:space="preserve">he will prepare the creation of a new </w:t>
      </w:r>
      <w:r w:rsidR="007F5A4B">
        <w:rPr>
          <w:color w:val="000000" w:themeColor="text1"/>
        </w:rPr>
        <w:t xml:space="preserve">Work Item within ETSI for the development of </w:t>
      </w:r>
      <w:r w:rsidR="001979FE">
        <w:rPr>
          <w:color w:val="000000" w:themeColor="text1"/>
        </w:rPr>
        <w:t>a S</w:t>
      </w:r>
      <w:r w:rsidR="00874D71">
        <w:rPr>
          <w:color w:val="000000" w:themeColor="text1"/>
        </w:rPr>
        <w:t xml:space="preserve">ystem </w:t>
      </w:r>
      <w:r w:rsidR="001979FE">
        <w:rPr>
          <w:color w:val="000000" w:themeColor="text1"/>
        </w:rPr>
        <w:t>R</w:t>
      </w:r>
      <w:r w:rsidR="00874D71">
        <w:rPr>
          <w:color w:val="000000" w:themeColor="text1"/>
        </w:rPr>
        <w:t xml:space="preserve">eference </w:t>
      </w:r>
      <w:r w:rsidR="001979FE">
        <w:rPr>
          <w:color w:val="000000" w:themeColor="text1"/>
        </w:rPr>
        <w:t>D</w:t>
      </w:r>
      <w:r w:rsidR="00874D71">
        <w:rPr>
          <w:color w:val="000000" w:themeColor="text1"/>
        </w:rPr>
        <w:t>ocument.</w:t>
      </w:r>
      <w:r w:rsidR="007F5A4B">
        <w:rPr>
          <w:color w:val="000000" w:themeColor="text1"/>
        </w:rPr>
        <w:t xml:space="preserve"> </w:t>
      </w:r>
      <w:r w:rsidR="00874D71">
        <w:rPr>
          <w:color w:val="000000" w:themeColor="text1"/>
        </w:rPr>
        <w:t xml:space="preserve">It was a common understanding that the outstanding ETSI activities should not result in any delay </w:t>
      </w:r>
      <w:r w:rsidR="001979FE">
        <w:rPr>
          <w:color w:val="000000" w:themeColor="text1"/>
        </w:rPr>
        <w:t xml:space="preserve">of the work </w:t>
      </w:r>
      <w:r w:rsidR="00874D71">
        <w:rPr>
          <w:color w:val="000000" w:themeColor="text1"/>
        </w:rPr>
        <w:t>within FM PT 48 or SE PT 44.</w:t>
      </w:r>
    </w:p>
    <w:p w:rsidR="006C4F06" w:rsidRDefault="006C4F06" w:rsidP="006C4F06">
      <w:pPr>
        <w:rPr>
          <w:color w:val="000000" w:themeColor="text1"/>
        </w:rPr>
      </w:pPr>
    </w:p>
    <w:p w:rsidR="004D496C" w:rsidRDefault="006C4F06" w:rsidP="006C4F06">
      <w:pPr>
        <w:rPr>
          <w:color w:val="000000" w:themeColor="text1"/>
        </w:rPr>
      </w:pPr>
      <w:r>
        <w:rPr>
          <w:color w:val="000000" w:themeColor="text1"/>
        </w:rPr>
        <w:t xml:space="preserve">Mr Vangeel (Cisco Systems) introduced two contributions, one from DIGITALEUROPE (FM48(11)031) and one from the Wi-Fi Alliance (FM48(11)032). It was indicated in both contributions that all devices in the 2.4 GHz band according to ETSI EN 300 328 </w:t>
      </w:r>
      <w:r w:rsidR="00A70C4D">
        <w:rPr>
          <w:color w:val="000000" w:themeColor="text1"/>
        </w:rPr>
        <w:t>have to implement adequate spectrum sharing techniques. This approach, also supported by the European Commission (TCAM), had let to a revision of EN 300 328. The public enquiry for this</w:t>
      </w:r>
      <w:r w:rsidR="001979FE">
        <w:rPr>
          <w:color w:val="000000" w:themeColor="text1"/>
        </w:rPr>
        <w:t xml:space="preserve"> revised harmonised standard had</w:t>
      </w:r>
      <w:r w:rsidR="00A70C4D">
        <w:rPr>
          <w:color w:val="000000" w:themeColor="text1"/>
        </w:rPr>
        <w:t xml:space="preserve"> just started. Mr Vangeel also raised concerns because of the expected radiated output power for the Broadband DA2GC system according to the Lufthansa Systems AG proposal which is much above the limit for RLANs in the 2.4 GHz band (100 mW e.i.r.p.).</w:t>
      </w:r>
      <w:r w:rsidR="00AD5DC5">
        <w:rPr>
          <w:color w:val="000000" w:themeColor="text1"/>
        </w:rPr>
        <w:t xml:space="preserve"> Also by taking into account that, according to Wi-Fi Alliance, worldwide more than one billion Wi-Fi products are in use today, interferences from future Broadband DA2GC systems in the 2.4 GHz band should be avoided.</w:t>
      </w:r>
    </w:p>
    <w:p w:rsidR="006C4F06" w:rsidRDefault="006C4F06" w:rsidP="006C4F06">
      <w:pPr>
        <w:rPr>
          <w:color w:val="000000" w:themeColor="text1"/>
        </w:rPr>
      </w:pPr>
    </w:p>
    <w:p w:rsidR="00AD5DC5" w:rsidRDefault="004D496C" w:rsidP="005F40B3">
      <w:pPr>
        <w:rPr>
          <w:color w:val="000000" w:themeColor="text1"/>
        </w:rPr>
      </w:pPr>
      <w:r>
        <w:rPr>
          <w:color w:val="000000" w:themeColor="text1"/>
        </w:rPr>
        <w:t xml:space="preserve">By taking into account this discussion and also the conclusions of the latest ECC Steering Group meeting in May 2011 (the Steering Group concluded that WG FM should inform ETSI about the on-going process, see section 8.10 of the ECC#29 Minutes (FM48(11)026)), </w:t>
      </w:r>
      <w:r w:rsidR="008F7DAD">
        <w:rPr>
          <w:color w:val="000000" w:themeColor="text1"/>
        </w:rPr>
        <w:t xml:space="preserve">it was concluded that WG FM should inform ETSI TC ERM as proposed in </w:t>
      </w:r>
      <w:r w:rsidR="008F7DAD" w:rsidRPr="008F7DAD">
        <w:rPr>
          <w:b/>
          <w:color w:val="000000" w:themeColor="text1"/>
        </w:rPr>
        <w:t>Annex 5</w:t>
      </w:r>
      <w:r w:rsidR="008F7DAD">
        <w:rPr>
          <w:color w:val="000000" w:themeColor="text1"/>
        </w:rPr>
        <w:t>.</w:t>
      </w:r>
      <w:r w:rsidR="000C4BD5">
        <w:rPr>
          <w:color w:val="000000" w:themeColor="text1"/>
        </w:rPr>
        <w:t xml:space="preserve"> This approach would also support the cooperation and communication between ETSI and ECC. Furthermore such a SRDoc. would help to receive a consolidated ETSI view and to make </w:t>
      </w:r>
    </w:p>
    <w:p w:rsidR="00AD5DC5" w:rsidRDefault="00AD5DC5">
      <w:pPr>
        <w:spacing w:after="200" w:line="276" w:lineRule="auto"/>
        <w:rPr>
          <w:color w:val="000000" w:themeColor="text1"/>
        </w:rPr>
      </w:pPr>
      <w:r>
        <w:rPr>
          <w:color w:val="000000" w:themeColor="text1"/>
        </w:rPr>
        <w:br w:type="page"/>
      </w:r>
    </w:p>
    <w:p w:rsidR="004D496C" w:rsidRDefault="000C4BD5" w:rsidP="005F40B3">
      <w:pPr>
        <w:rPr>
          <w:color w:val="000000" w:themeColor="text1"/>
        </w:rPr>
      </w:pPr>
      <w:r>
        <w:rPr>
          <w:color w:val="000000" w:themeColor="text1"/>
        </w:rPr>
        <w:lastRenderedPageBreak/>
        <w:t>available the full system requirements to WG SE (SE PT 44).</w:t>
      </w:r>
    </w:p>
    <w:p w:rsidR="008F7DAD" w:rsidRDefault="008F7DAD" w:rsidP="005F40B3">
      <w:pPr>
        <w:rPr>
          <w:color w:val="000000" w:themeColor="text1"/>
        </w:rPr>
      </w:pPr>
    </w:p>
    <w:p w:rsidR="00AD5DC5" w:rsidRPr="005F40B3" w:rsidRDefault="00AD5DC5" w:rsidP="00AD5DC5">
      <w:pPr>
        <w:pBdr>
          <w:top w:val="single" w:sz="4" w:space="1" w:color="auto"/>
          <w:left w:val="single" w:sz="4" w:space="4" w:color="auto"/>
          <w:bottom w:val="single" w:sz="4" w:space="1" w:color="auto"/>
          <w:right w:val="single" w:sz="4" w:space="4" w:color="auto"/>
        </w:pBdr>
        <w:ind w:left="708"/>
        <w:rPr>
          <w:b/>
          <w:color w:val="000000" w:themeColor="text1"/>
        </w:rPr>
      </w:pPr>
      <w:r w:rsidRPr="005F40B3">
        <w:rPr>
          <w:b/>
          <w:color w:val="000000" w:themeColor="text1"/>
        </w:rPr>
        <w:t>WG FM is invited</w:t>
      </w:r>
      <w:r>
        <w:rPr>
          <w:b/>
          <w:color w:val="000000" w:themeColor="text1"/>
        </w:rPr>
        <w:t>:</w:t>
      </w:r>
    </w:p>
    <w:p w:rsidR="00AD5DC5" w:rsidRPr="00BB7661" w:rsidRDefault="00AD5DC5" w:rsidP="00AD5DC5">
      <w:pPr>
        <w:pBdr>
          <w:top w:val="single" w:sz="4" w:space="1" w:color="auto"/>
          <w:left w:val="single" w:sz="4" w:space="4" w:color="auto"/>
          <w:bottom w:val="single" w:sz="4" w:space="1" w:color="auto"/>
          <w:right w:val="single" w:sz="4" w:space="4" w:color="auto"/>
        </w:pBdr>
        <w:ind w:left="708"/>
        <w:rPr>
          <w:color w:val="000000" w:themeColor="text1"/>
        </w:rPr>
      </w:pPr>
    </w:p>
    <w:p w:rsidR="00AD5DC5" w:rsidRPr="008F7DAD" w:rsidRDefault="00AD5DC5" w:rsidP="00AD5DC5">
      <w:pPr>
        <w:pBdr>
          <w:top w:val="single" w:sz="4" w:space="1" w:color="auto"/>
          <w:left w:val="single" w:sz="4" w:space="4" w:color="auto"/>
          <w:bottom w:val="single" w:sz="4" w:space="1" w:color="auto"/>
          <w:right w:val="single" w:sz="4" w:space="4" w:color="auto"/>
        </w:pBdr>
        <w:ind w:left="993" w:hanging="285"/>
        <w:rPr>
          <w:color w:val="000000" w:themeColor="text1"/>
        </w:rPr>
      </w:pPr>
      <w:r w:rsidRPr="005F40B3">
        <w:rPr>
          <w:b/>
          <w:color w:val="000000" w:themeColor="text1"/>
        </w:rPr>
        <w:t xml:space="preserve">a) To </w:t>
      </w:r>
      <w:r>
        <w:rPr>
          <w:b/>
          <w:color w:val="000000" w:themeColor="text1"/>
        </w:rPr>
        <w:t>confirm that an ETSI System Reference Document should be developed for the alternative Broadband DA2GC system;</w:t>
      </w:r>
      <w:r>
        <w:rPr>
          <w:b/>
          <w:color w:val="000000" w:themeColor="text1"/>
        </w:rPr>
        <w:br/>
      </w:r>
    </w:p>
    <w:p w:rsidR="00AD5DC5" w:rsidRPr="00BB7661" w:rsidRDefault="00AD5DC5" w:rsidP="00AD5DC5">
      <w:pPr>
        <w:pBdr>
          <w:top w:val="single" w:sz="4" w:space="1" w:color="auto"/>
          <w:left w:val="single" w:sz="4" w:space="4" w:color="auto"/>
          <w:bottom w:val="single" w:sz="4" w:space="1" w:color="auto"/>
          <w:right w:val="single" w:sz="4" w:space="4" w:color="auto"/>
        </w:pBdr>
        <w:ind w:left="993" w:hanging="285"/>
        <w:rPr>
          <w:color w:val="000000" w:themeColor="text1"/>
        </w:rPr>
      </w:pPr>
      <w:r>
        <w:rPr>
          <w:b/>
          <w:color w:val="000000" w:themeColor="text1"/>
        </w:rPr>
        <w:t>b) To send a liaison statement to ETSI as proposed (in Annex 5).</w:t>
      </w:r>
      <w:r>
        <w:rPr>
          <w:b/>
          <w:color w:val="000000" w:themeColor="text1"/>
        </w:rPr>
        <w:br/>
      </w:r>
    </w:p>
    <w:p w:rsidR="00AD5DC5" w:rsidRDefault="00AD5DC5" w:rsidP="005F40B3">
      <w:pPr>
        <w:rPr>
          <w:color w:val="000000" w:themeColor="text1"/>
        </w:rPr>
      </w:pPr>
    </w:p>
    <w:p w:rsidR="00D90EE3" w:rsidRDefault="00AD5DC5" w:rsidP="005F40B3">
      <w:pPr>
        <w:rPr>
          <w:color w:val="000000" w:themeColor="text1"/>
        </w:rPr>
      </w:pPr>
      <w:r>
        <w:rPr>
          <w:color w:val="000000" w:themeColor="text1"/>
        </w:rPr>
        <w:t>Mr Bailey (Aero3G) introduced a compatibility analysis between a DA2GC system based on 3G technology and other systems in the band 5850-5870 MHz (FM48(11)038).</w:t>
      </w:r>
    </w:p>
    <w:p w:rsidR="00D90EE3" w:rsidRDefault="00D90EE3" w:rsidP="005F40B3">
      <w:pPr>
        <w:rPr>
          <w:color w:val="000000" w:themeColor="text1"/>
        </w:rPr>
      </w:pPr>
    </w:p>
    <w:p w:rsidR="00AD5DC5" w:rsidRDefault="00086C01" w:rsidP="005F40B3">
      <w:pPr>
        <w:rPr>
          <w:color w:val="000000" w:themeColor="text1"/>
        </w:rPr>
      </w:pPr>
      <w:r>
        <w:rPr>
          <w:color w:val="000000" w:themeColor="text1"/>
        </w:rPr>
        <w:t xml:space="preserve">On the one hand this system as described in the input document fits with the way forward as decided by WG FM because the 5.8 GHz band has already been identified as part of the </w:t>
      </w:r>
      <w:r w:rsidR="001979FE">
        <w:rPr>
          <w:color w:val="000000" w:themeColor="text1"/>
        </w:rPr>
        <w:t>C</w:t>
      </w:r>
      <w:r>
        <w:rPr>
          <w:color w:val="000000" w:themeColor="text1"/>
        </w:rPr>
        <w:t>ategory 1 bands. On the other hand it was assumed in the input document that the system is based on 3G technology</w:t>
      </w:r>
      <w:r w:rsidR="00D90EE3">
        <w:rPr>
          <w:color w:val="000000" w:themeColor="text1"/>
        </w:rPr>
        <w:t xml:space="preserve"> (UMTS 3G TDD, modified for aeronautical use in the 5 GHz band)</w:t>
      </w:r>
      <w:r>
        <w:rPr>
          <w:color w:val="000000" w:themeColor="text1"/>
        </w:rPr>
        <w:t>, whereas 4G technology was assumed in the ETSI System Reference Document</w:t>
      </w:r>
      <w:r w:rsidR="00D90EE3">
        <w:rPr>
          <w:color w:val="000000" w:themeColor="text1"/>
        </w:rPr>
        <w:t xml:space="preserve"> (TR 103 054).</w:t>
      </w:r>
    </w:p>
    <w:p w:rsidR="00D90EE3" w:rsidRDefault="00D90EE3" w:rsidP="005F40B3">
      <w:pPr>
        <w:rPr>
          <w:color w:val="000000" w:themeColor="text1"/>
        </w:rPr>
      </w:pPr>
    </w:p>
    <w:p w:rsidR="00D90EE3" w:rsidRDefault="00D90EE3" w:rsidP="005F40B3">
      <w:pPr>
        <w:rPr>
          <w:color w:val="000000" w:themeColor="text1"/>
        </w:rPr>
      </w:pPr>
      <w:r>
        <w:rPr>
          <w:color w:val="000000" w:themeColor="text1"/>
        </w:rPr>
        <w:t xml:space="preserve">In the contribution from Aero3G the compatibility situation with regard to different possible victim </w:t>
      </w:r>
      <w:r w:rsidR="00BD15B6">
        <w:rPr>
          <w:color w:val="000000" w:themeColor="text1"/>
        </w:rPr>
        <w:t>services/</w:t>
      </w:r>
      <w:r>
        <w:rPr>
          <w:color w:val="000000" w:themeColor="text1"/>
        </w:rPr>
        <w:t xml:space="preserve">applications </w:t>
      </w:r>
      <w:r w:rsidR="00BD15B6">
        <w:rPr>
          <w:color w:val="000000" w:themeColor="text1"/>
        </w:rPr>
        <w:t xml:space="preserve">(BBDR, radars, FSS, ITS, BFWA, SRDs) </w:t>
      </w:r>
      <w:r w:rsidR="001979FE">
        <w:rPr>
          <w:color w:val="000000" w:themeColor="text1"/>
        </w:rPr>
        <w:t>had</w:t>
      </w:r>
      <w:r>
        <w:rPr>
          <w:color w:val="000000" w:themeColor="text1"/>
        </w:rPr>
        <w:t xml:space="preserve"> been analysed. As far as possible, conclusions </w:t>
      </w:r>
      <w:r w:rsidR="00147DAF">
        <w:rPr>
          <w:color w:val="000000" w:themeColor="text1"/>
        </w:rPr>
        <w:t xml:space="preserve">and methodologies </w:t>
      </w:r>
      <w:r>
        <w:rPr>
          <w:color w:val="000000" w:themeColor="text1"/>
        </w:rPr>
        <w:t xml:space="preserve">already available in other ECC Reports </w:t>
      </w:r>
      <w:r w:rsidR="00147DAF">
        <w:rPr>
          <w:color w:val="000000" w:themeColor="text1"/>
        </w:rPr>
        <w:t xml:space="preserve">or in the ITU documentation </w:t>
      </w:r>
      <w:r w:rsidR="001979FE">
        <w:rPr>
          <w:color w:val="000000" w:themeColor="text1"/>
        </w:rPr>
        <w:t>had</w:t>
      </w:r>
      <w:r>
        <w:rPr>
          <w:color w:val="000000" w:themeColor="text1"/>
        </w:rPr>
        <w:t xml:space="preserve"> been taken into account.</w:t>
      </w:r>
      <w:r w:rsidR="00BD15B6">
        <w:rPr>
          <w:color w:val="000000" w:themeColor="text1"/>
        </w:rPr>
        <w:t xml:space="preserve"> The analyses conclude that the DA2GC system based on 3G technology is compatible with other systems operating in the frequency band 5850-5870 MHz and radiolocation systems operating in the lower adjacent band. Where mitigation is required this can be achieved by appropriate siting of the DA2G (3G) base stations. There are no compatibility issues regarding interference caused by the DA2G (3G) aircraft station</w:t>
      </w:r>
      <w:r w:rsidR="001979FE">
        <w:rPr>
          <w:color w:val="000000" w:themeColor="text1"/>
        </w:rPr>
        <w:t>s</w:t>
      </w:r>
      <w:r w:rsidR="00BD15B6">
        <w:rPr>
          <w:color w:val="000000" w:themeColor="text1"/>
        </w:rPr>
        <w:t xml:space="preserve"> (AS).</w:t>
      </w:r>
    </w:p>
    <w:p w:rsidR="00147DAF" w:rsidRDefault="00147DAF" w:rsidP="005F40B3">
      <w:pPr>
        <w:rPr>
          <w:color w:val="000000" w:themeColor="text1"/>
        </w:rPr>
      </w:pPr>
    </w:p>
    <w:p w:rsidR="00147DAF" w:rsidRDefault="00147DAF" w:rsidP="005F40B3">
      <w:pPr>
        <w:rPr>
          <w:color w:val="000000" w:themeColor="text1"/>
        </w:rPr>
      </w:pPr>
      <w:r>
        <w:rPr>
          <w:color w:val="000000" w:themeColor="text1"/>
        </w:rPr>
        <w:t>The same contribution was also provided to SE PT 44 which met immediately after FM PT 48. FM PT 48 had the view that compatibility issues should be discussed more in detail within SE PT 44. However, the contributions from Aero3G and also from Lufthansa Systems AG let to some fundamental considerations. In principle there are three different approaches on the table; from ETSI (SRDoc.), Lufthansa Systems AG and Aero3G. Two of them are based on 4G technology (ETSI, Lufthansa Systems AG)</w:t>
      </w:r>
      <w:r w:rsidR="00273598">
        <w:rPr>
          <w:color w:val="000000" w:themeColor="text1"/>
        </w:rPr>
        <w:t>;</w:t>
      </w:r>
      <w:r>
        <w:rPr>
          <w:color w:val="000000" w:themeColor="text1"/>
        </w:rPr>
        <w:t xml:space="preserve"> one is based on 3G technology (Aero3G). </w:t>
      </w:r>
      <w:r w:rsidR="00273598">
        <w:rPr>
          <w:color w:val="000000" w:themeColor="text1"/>
        </w:rPr>
        <w:t>Two different approaches are under discussion with regard to the licensing (individual licensing, or licence exemption (light licensing) as proposed by Lufthansa Systems AG).</w:t>
      </w:r>
    </w:p>
    <w:p w:rsidR="00F2629D" w:rsidRDefault="00F2629D" w:rsidP="005F40B3">
      <w:pPr>
        <w:rPr>
          <w:color w:val="000000" w:themeColor="text1"/>
        </w:rPr>
      </w:pPr>
    </w:p>
    <w:p w:rsidR="00F2629D" w:rsidRDefault="00F2629D" w:rsidP="00F2629D">
      <w:pPr>
        <w:rPr>
          <w:color w:val="000000" w:themeColor="text1"/>
        </w:rPr>
      </w:pPr>
      <w:r>
        <w:rPr>
          <w:color w:val="000000" w:themeColor="text1"/>
        </w:rPr>
        <w:t>The meeting concluded that,</w:t>
      </w:r>
      <w:r w:rsidRPr="00F2629D">
        <w:rPr>
          <w:color w:val="000000" w:themeColor="text1"/>
        </w:rPr>
        <w:t xml:space="preserve"> in a first step</w:t>
      </w:r>
      <w:r>
        <w:rPr>
          <w:color w:val="000000" w:themeColor="text1"/>
        </w:rPr>
        <w:t>, it would be very helpful to develop</w:t>
      </w:r>
      <w:r w:rsidRPr="00F2629D">
        <w:rPr>
          <w:color w:val="000000" w:themeColor="text1"/>
        </w:rPr>
        <w:t xml:space="preserve"> an ECC Report before trying to create an ECC Decision</w:t>
      </w:r>
      <w:r>
        <w:rPr>
          <w:color w:val="000000" w:themeColor="text1"/>
        </w:rPr>
        <w:t xml:space="preserve"> (assumed that at least for one band positive sharing/compatibility studies have been provided)</w:t>
      </w:r>
      <w:r w:rsidRPr="00F2629D">
        <w:rPr>
          <w:color w:val="000000" w:themeColor="text1"/>
        </w:rPr>
        <w:t>. The DA2G</w:t>
      </w:r>
      <w:r>
        <w:rPr>
          <w:color w:val="000000" w:themeColor="text1"/>
        </w:rPr>
        <w:t>C issue</w:t>
      </w:r>
      <w:r w:rsidRPr="00F2629D">
        <w:rPr>
          <w:color w:val="000000" w:themeColor="text1"/>
        </w:rPr>
        <w:t xml:space="preserve"> raises important questions other than spectrum engineering</w:t>
      </w:r>
      <w:r>
        <w:rPr>
          <w:color w:val="000000" w:themeColor="text1"/>
        </w:rPr>
        <w:t xml:space="preserve"> for which WG SE (</w:t>
      </w:r>
      <w:r w:rsidRPr="00F2629D">
        <w:rPr>
          <w:color w:val="000000" w:themeColor="text1"/>
        </w:rPr>
        <w:t>SE</w:t>
      </w:r>
      <w:r>
        <w:rPr>
          <w:color w:val="000000" w:themeColor="text1"/>
        </w:rPr>
        <w:t xml:space="preserve"> PT </w:t>
      </w:r>
      <w:r w:rsidRPr="00F2629D">
        <w:rPr>
          <w:color w:val="000000" w:themeColor="text1"/>
        </w:rPr>
        <w:t>44</w:t>
      </w:r>
      <w:r>
        <w:rPr>
          <w:color w:val="000000" w:themeColor="text1"/>
        </w:rPr>
        <w:t>) is responsible</w:t>
      </w:r>
      <w:r w:rsidRPr="00F2629D">
        <w:rPr>
          <w:color w:val="000000" w:themeColor="text1"/>
        </w:rPr>
        <w:t xml:space="preserve">. There are </w:t>
      </w:r>
      <w:r>
        <w:rPr>
          <w:color w:val="000000" w:themeColor="text1"/>
        </w:rPr>
        <w:t>currently three different approaches under discussion</w:t>
      </w:r>
      <w:r w:rsidR="00267F51">
        <w:rPr>
          <w:color w:val="000000" w:themeColor="text1"/>
        </w:rPr>
        <w:t>.</w:t>
      </w:r>
      <w:r w:rsidRPr="00F2629D">
        <w:rPr>
          <w:color w:val="000000" w:themeColor="text1"/>
        </w:rPr>
        <w:t xml:space="preserve"> </w:t>
      </w:r>
      <w:r w:rsidR="00267F51">
        <w:rPr>
          <w:color w:val="000000" w:themeColor="text1"/>
        </w:rPr>
        <w:t>T</w:t>
      </w:r>
      <w:r w:rsidRPr="00F2629D">
        <w:rPr>
          <w:color w:val="000000" w:themeColor="text1"/>
        </w:rPr>
        <w:t>he</w:t>
      </w:r>
      <w:r w:rsidR="00267F51">
        <w:rPr>
          <w:color w:val="000000" w:themeColor="text1"/>
        </w:rPr>
        <w:t xml:space="preserve">re is a </w:t>
      </w:r>
      <w:r w:rsidRPr="00F2629D">
        <w:rPr>
          <w:color w:val="000000" w:themeColor="text1"/>
        </w:rPr>
        <w:t>need for a</w:t>
      </w:r>
      <w:r w:rsidR="00267F51">
        <w:rPr>
          <w:color w:val="000000" w:themeColor="text1"/>
        </w:rPr>
        <w:t xml:space="preserve"> harmonised</w:t>
      </w:r>
      <w:r w:rsidRPr="00F2629D">
        <w:rPr>
          <w:color w:val="000000" w:themeColor="text1"/>
        </w:rPr>
        <w:t xml:space="preserve"> European approach while at the same time spectrum might be not available to support </w:t>
      </w:r>
      <w:r w:rsidR="00267F51">
        <w:rPr>
          <w:color w:val="000000" w:themeColor="text1"/>
        </w:rPr>
        <w:t>three different</w:t>
      </w:r>
      <w:r w:rsidRPr="00F2629D">
        <w:rPr>
          <w:color w:val="000000" w:themeColor="text1"/>
        </w:rPr>
        <w:t xml:space="preserve"> systems</w:t>
      </w:r>
      <w:r w:rsidR="00267F51">
        <w:rPr>
          <w:color w:val="000000" w:themeColor="text1"/>
        </w:rPr>
        <w:t>. Issues such as</w:t>
      </w:r>
      <w:r w:rsidRPr="00F2629D">
        <w:rPr>
          <w:color w:val="000000" w:themeColor="text1"/>
        </w:rPr>
        <w:t xml:space="preserve"> level of competition in the first generation</w:t>
      </w:r>
      <w:r w:rsidR="00267F51">
        <w:rPr>
          <w:color w:val="000000" w:themeColor="text1"/>
        </w:rPr>
        <w:t xml:space="preserve">, questions around technology </w:t>
      </w:r>
      <w:r w:rsidRPr="00F2629D">
        <w:rPr>
          <w:color w:val="000000" w:themeColor="text1"/>
        </w:rPr>
        <w:t>neutrality and system interconnections</w:t>
      </w:r>
      <w:r w:rsidR="00267F51">
        <w:rPr>
          <w:color w:val="000000" w:themeColor="text1"/>
        </w:rPr>
        <w:t xml:space="preserve"> could also be described in such an ECC Report</w:t>
      </w:r>
      <w:r w:rsidRPr="00F2629D">
        <w:rPr>
          <w:color w:val="000000" w:themeColor="text1"/>
        </w:rPr>
        <w:t>.</w:t>
      </w:r>
    </w:p>
    <w:p w:rsidR="00267F51" w:rsidRDefault="00267F51">
      <w:pPr>
        <w:spacing w:after="200" w:line="276" w:lineRule="auto"/>
        <w:rPr>
          <w:color w:val="000000" w:themeColor="text1"/>
        </w:rPr>
      </w:pPr>
      <w:r>
        <w:rPr>
          <w:color w:val="000000" w:themeColor="text1"/>
        </w:rPr>
        <w:br w:type="page"/>
      </w:r>
    </w:p>
    <w:p w:rsidR="00267F51" w:rsidRDefault="00267F51" w:rsidP="00F2629D">
      <w:pPr>
        <w:rPr>
          <w:color w:val="000000" w:themeColor="text1"/>
        </w:rPr>
      </w:pPr>
    </w:p>
    <w:p w:rsidR="00267F51" w:rsidRPr="00F2629D" w:rsidRDefault="00267F51" w:rsidP="00F2629D">
      <w:pPr>
        <w:rPr>
          <w:color w:val="000000" w:themeColor="text1"/>
        </w:rPr>
      </w:pPr>
      <w:r w:rsidRPr="001979FE">
        <w:rPr>
          <w:color w:val="000000" w:themeColor="text1"/>
        </w:rPr>
        <w:t>Possible elements which might be relevant for such a</w:t>
      </w:r>
      <w:r w:rsidR="001979FE">
        <w:rPr>
          <w:color w:val="000000" w:themeColor="text1"/>
        </w:rPr>
        <w:t>n</w:t>
      </w:r>
      <w:r w:rsidRPr="001979FE">
        <w:rPr>
          <w:color w:val="000000" w:themeColor="text1"/>
        </w:rPr>
        <w:t xml:space="preserve"> ECC Report are provided in </w:t>
      </w:r>
      <w:r w:rsidRPr="001979FE">
        <w:rPr>
          <w:b/>
          <w:color w:val="000000" w:themeColor="text1"/>
        </w:rPr>
        <w:t>Annex 7</w:t>
      </w:r>
      <w:r w:rsidRPr="001979FE">
        <w:rPr>
          <w:color w:val="000000" w:themeColor="text1"/>
        </w:rPr>
        <w:t>.</w:t>
      </w:r>
    </w:p>
    <w:p w:rsidR="00F2629D" w:rsidRDefault="00F2629D" w:rsidP="005F40B3">
      <w:pPr>
        <w:rPr>
          <w:color w:val="000000" w:themeColor="text1"/>
        </w:rPr>
      </w:pPr>
    </w:p>
    <w:p w:rsidR="00267F51" w:rsidRPr="00BB7661" w:rsidRDefault="00267F51" w:rsidP="00BB6828">
      <w:pPr>
        <w:pBdr>
          <w:top w:val="single" w:sz="4" w:space="1" w:color="auto"/>
          <w:left w:val="single" w:sz="4" w:space="4" w:color="auto"/>
          <w:bottom w:val="single" w:sz="4" w:space="1" w:color="auto"/>
          <w:right w:val="single" w:sz="4" w:space="4" w:color="auto"/>
        </w:pBdr>
        <w:ind w:left="708"/>
        <w:rPr>
          <w:color w:val="000000" w:themeColor="text1"/>
        </w:rPr>
      </w:pPr>
      <w:r w:rsidRPr="005F40B3">
        <w:rPr>
          <w:b/>
          <w:color w:val="000000" w:themeColor="text1"/>
        </w:rPr>
        <w:t>WG FM is invited</w:t>
      </w:r>
      <w:r>
        <w:rPr>
          <w:b/>
          <w:color w:val="000000" w:themeColor="text1"/>
        </w:rPr>
        <w:t>:</w:t>
      </w:r>
      <w:r w:rsidR="00BB6828">
        <w:rPr>
          <w:b/>
          <w:color w:val="000000" w:themeColor="text1"/>
        </w:rPr>
        <w:br/>
      </w:r>
      <w:r w:rsidR="00BB6828">
        <w:rPr>
          <w:b/>
          <w:color w:val="000000" w:themeColor="text1"/>
        </w:rPr>
        <w:br/>
      </w:r>
      <w:r w:rsidRPr="005F40B3">
        <w:rPr>
          <w:b/>
          <w:color w:val="000000" w:themeColor="text1"/>
        </w:rPr>
        <w:t xml:space="preserve">To </w:t>
      </w:r>
      <w:r>
        <w:rPr>
          <w:b/>
          <w:color w:val="000000" w:themeColor="text1"/>
        </w:rPr>
        <w:t>task FM PT 48 to develop a new ECC Report on Broadband DA2GC as described above.</w:t>
      </w:r>
      <w:r w:rsidR="00BB6828">
        <w:rPr>
          <w:b/>
          <w:color w:val="000000" w:themeColor="text1"/>
        </w:rPr>
        <w:br/>
      </w:r>
    </w:p>
    <w:p w:rsidR="005F7607" w:rsidRPr="00B45A49" w:rsidRDefault="005F7607" w:rsidP="005F7607">
      <w:pPr>
        <w:pStyle w:val="berschrift1"/>
        <w:rPr>
          <w:color w:val="000000" w:themeColor="text1"/>
          <w:sz w:val="24"/>
          <w:szCs w:val="24"/>
        </w:rPr>
      </w:pPr>
      <w:r w:rsidRPr="00613005">
        <w:rPr>
          <w:color w:val="000000" w:themeColor="text1"/>
          <w:sz w:val="24"/>
          <w:szCs w:val="24"/>
        </w:rPr>
        <w:t>6</w:t>
      </w:r>
      <w:r>
        <w:rPr>
          <w:color w:val="000000" w:themeColor="text1"/>
          <w:sz w:val="24"/>
          <w:szCs w:val="24"/>
        </w:rPr>
        <w:t>.2</w:t>
      </w:r>
      <w:r w:rsidRPr="00613005">
        <w:rPr>
          <w:color w:val="000000" w:themeColor="text1"/>
          <w:sz w:val="24"/>
          <w:szCs w:val="24"/>
        </w:rPr>
        <w:t>)</w:t>
      </w:r>
      <w:r w:rsidRPr="00613005">
        <w:rPr>
          <w:color w:val="000000" w:themeColor="text1"/>
          <w:sz w:val="24"/>
          <w:szCs w:val="24"/>
        </w:rPr>
        <w:tab/>
      </w:r>
      <w:r>
        <w:rPr>
          <w:color w:val="000000" w:themeColor="text1"/>
          <w:sz w:val="24"/>
          <w:szCs w:val="24"/>
        </w:rPr>
        <w:t>B</w:t>
      </w:r>
      <w:r w:rsidRPr="00613005">
        <w:rPr>
          <w:color w:val="000000" w:themeColor="text1"/>
          <w:sz w:val="24"/>
          <w:szCs w:val="24"/>
        </w:rPr>
        <w:t xml:space="preserve">ands </w:t>
      </w:r>
      <w:r>
        <w:rPr>
          <w:color w:val="000000" w:themeColor="text1"/>
          <w:sz w:val="24"/>
          <w:szCs w:val="24"/>
        </w:rPr>
        <w:t>1670-1675 MHz / 1800-1805 MHz</w:t>
      </w:r>
    </w:p>
    <w:p w:rsidR="005F7607" w:rsidRDefault="005F7607" w:rsidP="005F7607">
      <w:pPr>
        <w:rPr>
          <w:color w:val="000000" w:themeColor="text1"/>
        </w:rPr>
      </w:pPr>
    </w:p>
    <w:p w:rsidR="005F7607" w:rsidRDefault="00D147A1" w:rsidP="005F40B3">
      <w:pPr>
        <w:rPr>
          <w:color w:val="000000" w:themeColor="text1"/>
        </w:rPr>
      </w:pPr>
      <w:r>
        <w:rPr>
          <w:color w:val="000000" w:themeColor="text1"/>
        </w:rPr>
        <w:t>Two administrations had already submitted proposals to the latest WG FM meeting in May 2011 with the aim to remove the band 1670-1675 MHz from the list of candidate bands. The Ukraine (FM48(11)021, also other bands are concerned as described below) and the United Kingdom (FM48(11)022). Both documents had been forwarded to FM PT 48 by WG FM. ECC Decision (04)09 designates the band 1518-1525 MHz for the operation of MSS downlinks and designates the band 1670-1675 MHz for the operation of MSS uplinks.</w:t>
      </w:r>
      <w:r w:rsidR="00165AD2">
        <w:rPr>
          <w:color w:val="000000" w:themeColor="text1"/>
        </w:rPr>
        <w:t xml:space="preserve"> It was mentioned in the document from the UK that the first satellite system which will be launched end of 2012 will be Alphasat.</w:t>
      </w:r>
    </w:p>
    <w:p w:rsidR="00BB6828" w:rsidRDefault="00BB6828" w:rsidP="005F40B3">
      <w:pPr>
        <w:rPr>
          <w:color w:val="000000" w:themeColor="text1"/>
        </w:rPr>
      </w:pPr>
    </w:p>
    <w:p w:rsidR="00BB6828" w:rsidRDefault="00BB6828" w:rsidP="005F40B3">
      <w:pPr>
        <w:rPr>
          <w:color w:val="000000" w:themeColor="text1"/>
        </w:rPr>
      </w:pPr>
      <w:r>
        <w:rPr>
          <w:color w:val="000000" w:themeColor="text1"/>
        </w:rPr>
        <w:t xml:space="preserve">The band 1800-1805 MHz is currently under discussion within WG SE (SE PT 7) and WG FM (SRD/MG) with regard to a possible </w:t>
      </w:r>
      <w:r w:rsidR="00165AD2">
        <w:rPr>
          <w:color w:val="000000" w:themeColor="text1"/>
        </w:rPr>
        <w:t xml:space="preserve">future </w:t>
      </w:r>
      <w:r>
        <w:rPr>
          <w:color w:val="000000" w:themeColor="text1"/>
        </w:rPr>
        <w:t>usage for PMSE.</w:t>
      </w:r>
      <w:r w:rsidR="00065B79">
        <w:rPr>
          <w:color w:val="000000" w:themeColor="text1"/>
        </w:rPr>
        <w:t xml:space="preserve"> Also in the contribution from Deutsche Telekom and Alcatel-Lucent (FM48(11)029rev1) it was indicated that the two 5</w:t>
      </w:r>
      <w:r w:rsidR="00165AD2">
        <w:rPr>
          <w:color w:val="000000" w:themeColor="text1"/>
        </w:rPr>
        <w:t> </w:t>
      </w:r>
      <w:r w:rsidR="00065B79">
        <w:rPr>
          <w:color w:val="000000" w:themeColor="text1"/>
        </w:rPr>
        <w:t>MHz bands are too narrow to cope with the spectrum demand for Broadband DA2GC and a combination with other bands was considered as not suitable from an implementation point of view.</w:t>
      </w:r>
    </w:p>
    <w:p w:rsidR="00BB6828" w:rsidRDefault="00BB6828" w:rsidP="005F40B3">
      <w:pPr>
        <w:rPr>
          <w:color w:val="000000" w:themeColor="text1"/>
        </w:rPr>
      </w:pPr>
    </w:p>
    <w:p w:rsidR="00BB6828" w:rsidRDefault="00165AD2" w:rsidP="005F40B3">
      <w:pPr>
        <w:rPr>
          <w:color w:val="000000" w:themeColor="text1"/>
        </w:rPr>
      </w:pPr>
      <w:r>
        <w:rPr>
          <w:color w:val="000000" w:themeColor="text1"/>
        </w:rPr>
        <w:t>Without any objections, t</w:t>
      </w:r>
      <w:r w:rsidR="00BB6828">
        <w:rPr>
          <w:color w:val="000000" w:themeColor="text1"/>
        </w:rPr>
        <w:t xml:space="preserve">he meeting decided to remove the former TFTS bands (1670-1675 MHz / 1800-1805 MHz) from the list of candidate bands (Category 1). However, this needs to be confirmed by WG FM. FM PT 48 recommended to SE PT 44 not to start with studies on these bands, see liaison statement as provided in </w:t>
      </w:r>
      <w:r w:rsidR="00BB6828" w:rsidRPr="0003201A">
        <w:rPr>
          <w:b/>
          <w:color w:val="000000" w:themeColor="text1"/>
        </w:rPr>
        <w:t>Annex</w:t>
      </w:r>
      <w:r w:rsidR="0003201A" w:rsidRPr="0003201A">
        <w:rPr>
          <w:b/>
          <w:color w:val="000000" w:themeColor="text1"/>
        </w:rPr>
        <w:t xml:space="preserve"> 4</w:t>
      </w:r>
      <w:r w:rsidR="0003201A">
        <w:rPr>
          <w:color w:val="000000" w:themeColor="text1"/>
        </w:rPr>
        <w:t>.</w:t>
      </w:r>
    </w:p>
    <w:p w:rsidR="00BB6828" w:rsidRDefault="00BB6828" w:rsidP="005F40B3">
      <w:pPr>
        <w:rPr>
          <w:color w:val="000000" w:themeColor="text1"/>
        </w:rPr>
      </w:pPr>
    </w:p>
    <w:p w:rsidR="00BB6828" w:rsidRPr="00BB7661" w:rsidRDefault="00BB6828" w:rsidP="00BB6828">
      <w:pPr>
        <w:pBdr>
          <w:top w:val="single" w:sz="4" w:space="1" w:color="auto"/>
          <w:left w:val="single" w:sz="4" w:space="4" w:color="auto"/>
          <w:bottom w:val="single" w:sz="4" w:space="1" w:color="auto"/>
          <w:right w:val="single" w:sz="4" w:space="4" w:color="auto"/>
        </w:pBdr>
        <w:ind w:left="708"/>
        <w:rPr>
          <w:color w:val="000000" w:themeColor="text1"/>
        </w:rPr>
      </w:pPr>
      <w:r w:rsidRPr="005F40B3">
        <w:rPr>
          <w:b/>
          <w:color w:val="000000" w:themeColor="text1"/>
        </w:rPr>
        <w:t>WG FM is invited</w:t>
      </w:r>
      <w:r>
        <w:rPr>
          <w:b/>
          <w:color w:val="000000" w:themeColor="text1"/>
        </w:rPr>
        <w:t>:</w:t>
      </w:r>
      <w:r>
        <w:rPr>
          <w:b/>
          <w:color w:val="000000" w:themeColor="text1"/>
        </w:rPr>
        <w:br/>
      </w:r>
      <w:r>
        <w:rPr>
          <w:b/>
          <w:color w:val="000000" w:themeColor="text1"/>
        </w:rPr>
        <w:br/>
      </w:r>
      <w:r w:rsidRPr="005F40B3">
        <w:rPr>
          <w:b/>
          <w:color w:val="000000" w:themeColor="text1"/>
        </w:rPr>
        <w:t xml:space="preserve">To </w:t>
      </w:r>
      <w:r>
        <w:rPr>
          <w:b/>
          <w:color w:val="000000" w:themeColor="text1"/>
        </w:rPr>
        <w:t>remove the bands 1670-1675 MHz / 1800-1805 MHz from the list of candidate bands (Category 1) as proposed in Annex 6 and to inform WG SE</w:t>
      </w:r>
      <w:r w:rsidR="00065B79">
        <w:rPr>
          <w:b/>
          <w:color w:val="000000" w:themeColor="text1"/>
        </w:rPr>
        <w:t xml:space="preserve"> accordingly</w:t>
      </w:r>
      <w:r>
        <w:rPr>
          <w:b/>
          <w:color w:val="000000" w:themeColor="text1"/>
        </w:rPr>
        <w:t>.</w:t>
      </w:r>
      <w:r>
        <w:rPr>
          <w:b/>
          <w:color w:val="000000" w:themeColor="text1"/>
        </w:rPr>
        <w:br/>
      </w:r>
    </w:p>
    <w:p w:rsidR="00C6250F" w:rsidRPr="005F40B3" w:rsidRDefault="00C6250F" w:rsidP="005F40B3">
      <w:pPr>
        <w:pStyle w:val="berschrift1"/>
        <w:ind w:left="709" w:hanging="709"/>
        <w:rPr>
          <w:color w:val="000000" w:themeColor="text1"/>
          <w:sz w:val="24"/>
          <w:szCs w:val="24"/>
        </w:rPr>
      </w:pPr>
      <w:r w:rsidRPr="00F448A5">
        <w:rPr>
          <w:color w:val="000000" w:themeColor="text1"/>
          <w:sz w:val="24"/>
          <w:szCs w:val="24"/>
        </w:rPr>
        <w:t>6</w:t>
      </w:r>
      <w:r w:rsidR="00065B79" w:rsidRPr="00F448A5">
        <w:rPr>
          <w:color w:val="000000" w:themeColor="text1"/>
          <w:sz w:val="24"/>
          <w:szCs w:val="24"/>
        </w:rPr>
        <w:t>.3</w:t>
      </w:r>
      <w:r w:rsidRPr="00F448A5">
        <w:rPr>
          <w:color w:val="000000" w:themeColor="text1"/>
          <w:sz w:val="24"/>
          <w:szCs w:val="24"/>
        </w:rPr>
        <w:t>)</w:t>
      </w:r>
      <w:r w:rsidRPr="00F448A5">
        <w:rPr>
          <w:color w:val="000000" w:themeColor="text1"/>
          <w:sz w:val="24"/>
          <w:szCs w:val="24"/>
        </w:rPr>
        <w:tab/>
      </w:r>
      <w:r w:rsidR="00065B79" w:rsidRPr="00F448A5">
        <w:rPr>
          <w:color w:val="000000" w:themeColor="text1"/>
          <w:sz w:val="24"/>
          <w:szCs w:val="24"/>
        </w:rPr>
        <w:t>Band 3400-3600 MHz</w:t>
      </w:r>
    </w:p>
    <w:p w:rsidR="00C6250F" w:rsidRDefault="00C6250F" w:rsidP="005F40B3">
      <w:pPr>
        <w:rPr>
          <w:color w:val="000000" w:themeColor="text1"/>
        </w:rPr>
      </w:pPr>
    </w:p>
    <w:p w:rsidR="00F448A5" w:rsidRDefault="00F448A5" w:rsidP="005F40B3">
      <w:pPr>
        <w:rPr>
          <w:color w:val="000000" w:themeColor="text1"/>
        </w:rPr>
      </w:pPr>
      <w:r>
        <w:rPr>
          <w:color w:val="000000" w:themeColor="text1"/>
        </w:rPr>
        <w:t>The band 3400-3600 MHz had also been identified by WG FM as a “Category 1 band”. The meeting noted that the ECC plenary adopted a draft new ECC Decision on harmonised frequency arrangements for MFCN (including IMT) operating in the bands 3400-3600 MHz and 3600-3800 MHz for public consultation during its 29</w:t>
      </w:r>
      <w:r w:rsidRPr="00F448A5">
        <w:rPr>
          <w:color w:val="000000" w:themeColor="text1"/>
          <w:vertAlign w:val="superscript"/>
        </w:rPr>
        <w:t>th</w:t>
      </w:r>
      <w:r>
        <w:rPr>
          <w:color w:val="000000" w:themeColor="text1"/>
        </w:rPr>
        <w:t xml:space="preserve"> meeting in June 2011 (FM48(11)027). The public consultation took place from 29 June to 26 August 2011. The analysis of the comments was not available during the FM PT 48 meeting, because ECC PT 1 met in the same week.</w:t>
      </w:r>
    </w:p>
    <w:p w:rsidR="00F448A5" w:rsidRDefault="00F448A5" w:rsidP="005F40B3">
      <w:pPr>
        <w:rPr>
          <w:color w:val="000000" w:themeColor="text1"/>
        </w:rPr>
      </w:pPr>
    </w:p>
    <w:p w:rsidR="00F448A5" w:rsidRDefault="001979FE" w:rsidP="005F40B3">
      <w:pPr>
        <w:rPr>
          <w:color w:val="000000" w:themeColor="text1"/>
        </w:rPr>
      </w:pPr>
      <w:r>
        <w:rPr>
          <w:color w:val="000000" w:themeColor="text1"/>
        </w:rPr>
        <w:t>A</w:t>
      </w:r>
      <w:r w:rsidR="00F448A5">
        <w:rPr>
          <w:color w:val="000000" w:themeColor="text1"/>
        </w:rPr>
        <w:t xml:space="preserve"> liaison statement from ECC PT 1 (FM48(11)025, 12 May 2011) was also noted. ECC PT 1 had indicated that further work would be needed for the investigation of the suitability of the current BEM (as referred in ECC Recommendation (04)05) with the large bandwidth systems that are expected for future MFCN (IMT) systems.</w:t>
      </w:r>
    </w:p>
    <w:p w:rsidR="00F448A5" w:rsidRDefault="00F448A5" w:rsidP="005F40B3">
      <w:pPr>
        <w:rPr>
          <w:color w:val="000000" w:themeColor="text1"/>
        </w:rPr>
      </w:pPr>
    </w:p>
    <w:p w:rsidR="00CD2D45" w:rsidRDefault="00CD2D45" w:rsidP="005F40B3">
      <w:pPr>
        <w:rPr>
          <w:color w:val="000000" w:themeColor="text1"/>
        </w:rPr>
      </w:pPr>
      <w:r>
        <w:rPr>
          <w:color w:val="000000" w:themeColor="text1"/>
        </w:rPr>
        <w:lastRenderedPageBreak/>
        <w:t xml:space="preserve">The meeting decided during the discussion that </w:t>
      </w:r>
      <w:r w:rsidR="00794D3E">
        <w:rPr>
          <w:color w:val="000000" w:themeColor="text1"/>
        </w:rPr>
        <w:t xml:space="preserve">it would be useful to provide some additional guidance to SE PT 44 for the forthcoming compatibility and sharing studies. The following considerations were sent to SE PT 44 with the liaison statement as given in </w:t>
      </w:r>
      <w:r w:rsidR="00794D3E" w:rsidRPr="00794D3E">
        <w:rPr>
          <w:b/>
          <w:color w:val="000000" w:themeColor="text1"/>
        </w:rPr>
        <w:t>Annex 4</w:t>
      </w:r>
      <w:r w:rsidR="00794D3E">
        <w:rPr>
          <w:color w:val="000000" w:themeColor="text1"/>
        </w:rPr>
        <w:t>.</w:t>
      </w:r>
    </w:p>
    <w:p w:rsidR="00F448A5" w:rsidRPr="00D8284A" w:rsidRDefault="00F448A5" w:rsidP="00F448A5">
      <w:pPr>
        <w:ind w:left="142"/>
        <w:rPr>
          <w:szCs w:val="22"/>
        </w:rPr>
      </w:pPr>
    </w:p>
    <w:p w:rsidR="00F448A5" w:rsidRDefault="00F448A5" w:rsidP="00F448A5">
      <w:pPr>
        <w:pStyle w:val="Listenabsatz"/>
        <w:numPr>
          <w:ilvl w:val="0"/>
          <w:numId w:val="3"/>
        </w:numPr>
        <w:rPr>
          <w:szCs w:val="22"/>
        </w:rPr>
      </w:pPr>
      <w:r>
        <w:rPr>
          <w:szCs w:val="22"/>
        </w:rPr>
        <w:t>The lower edge of the TDD band plan for MFCN (starting at 3400 MHz according to the Draft ECC Decision(11)HH which was developed by ECC PT 1 and has been under public consultation recently) may be more suitable for TDD Broadband DA2GC systems than blocks in the higher portion of the band. However, it might also be necessary to carry out adjacent band compatibility studies with regard to the Radiolocation Service below 3400 MHz.</w:t>
      </w:r>
    </w:p>
    <w:p w:rsidR="00F448A5" w:rsidRDefault="00F448A5" w:rsidP="00F448A5">
      <w:pPr>
        <w:pStyle w:val="Listenabsatz"/>
        <w:numPr>
          <w:ilvl w:val="0"/>
          <w:numId w:val="3"/>
        </w:numPr>
        <w:rPr>
          <w:szCs w:val="22"/>
        </w:rPr>
      </w:pPr>
      <w:r>
        <w:rPr>
          <w:szCs w:val="22"/>
        </w:rPr>
        <w:t>Spectrum within the duplex gap of the FDD band plan for MFCN, 3490-3510 MHz, may also be considered for TDD Broadband DA2GC systems.</w:t>
      </w:r>
    </w:p>
    <w:p w:rsidR="00F448A5" w:rsidRPr="006A70E4" w:rsidRDefault="00F448A5" w:rsidP="005F40B3">
      <w:pPr>
        <w:pStyle w:val="Listenabsatz"/>
        <w:numPr>
          <w:ilvl w:val="0"/>
          <w:numId w:val="3"/>
        </w:numPr>
        <w:rPr>
          <w:color w:val="000000" w:themeColor="text1"/>
        </w:rPr>
      </w:pPr>
      <w:r w:rsidRPr="006A70E4">
        <w:rPr>
          <w:szCs w:val="22"/>
        </w:rPr>
        <w:t>The lower duplex band of the FDD band plan for MFCN (uplink for MFCN) would be suitable for the Reverse Link for FDD Broadband DA2GC systems (Aircraft Station to Ground Station), because this band is considered to be less used for FSS Earth stations (space to Earth) within CEPT compared to spectrum above 3500 MHz.</w:t>
      </w:r>
    </w:p>
    <w:p w:rsidR="00017451" w:rsidRPr="005F40B3" w:rsidRDefault="00017451" w:rsidP="00017451">
      <w:pPr>
        <w:pStyle w:val="berschrift1"/>
        <w:ind w:left="709" w:hanging="709"/>
        <w:rPr>
          <w:color w:val="000000" w:themeColor="text1"/>
          <w:sz w:val="24"/>
          <w:szCs w:val="24"/>
        </w:rPr>
      </w:pPr>
      <w:r>
        <w:rPr>
          <w:color w:val="000000" w:themeColor="text1"/>
          <w:sz w:val="24"/>
          <w:szCs w:val="24"/>
        </w:rPr>
        <w:t>7</w:t>
      </w:r>
      <w:r w:rsidRPr="005F40B3">
        <w:rPr>
          <w:color w:val="000000" w:themeColor="text1"/>
          <w:sz w:val="24"/>
          <w:szCs w:val="24"/>
        </w:rPr>
        <w:t>)</w:t>
      </w:r>
      <w:r w:rsidRPr="005F40B3">
        <w:rPr>
          <w:color w:val="000000" w:themeColor="text1"/>
          <w:sz w:val="24"/>
          <w:szCs w:val="24"/>
        </w:rPr>
        <w:tab/>
      </w:r>
      <w:r>
        <w:rPr>
          <w:color w:val="000000" w:themeColor="text1"/>
          <w:sz w:val="24"/>
          <w:szCs w:val="24"/>
        </w:rPr>
        <w:t>Frequency bands according Category 2</w:t>
      </w:r>
    </w:p>
    <w:p w:rsidR="00017451" w:rsidRDefault="00017451" w:rsidP="00017451">
      <w:pPr>
        <w:rPr>
          <w:color w:val="000000" w:themeColor="text1"/>
        </w:rPr>
      </w:pPr>
    </w:p>
    <w:p w:rsidR="006A70E4" w:rsidRDefault="009F202E" w:rsidP="00017451">
      <w:pPr>
        <w:rPr>
          <w:color w:val="000000" w:themeColor="text1"/>
        </w:rPr>
      </w:pPr>
      <w:r>
        <w:rPr>
          <w:color w:val="000000" w:themeColor="text1"/>
        </w:rPr>
        <w:t xml:space="preserve">The two frequency bands which had been identified </w:t>
      </w:r>
      <w:r w:rsidR="003E4285">
        <w:rPr>
          <w:color w:val="000000" w:themeColor="text1"/>
        </w:rPr>
        <w:t xml:space="preserve">so far </w:t>
      </w:r>
      <w:r>
        <w:rPr>
          <w:color w:val="000000" w:themeColor="text1"/>
        </w:rPr>
        <w:t xml:space="preserve">as “Category 2 bands” (frequency bands to be considered next or in case the studies for the </w:t>
      </w:r>
      <w:r w:rsidR="00BB0922">
        <w:rPr>
          <w:color w:val="000000" w:themeColor="text1"/>
        </w:rPr>
        <w:t>C</w:t>
      </w:r>
      <w:r>
        <w:rPr>
          <w:color w:val="000000" w:themeColor="text1"/>
        </w:rPr>
        <w:t>ategory 1 bands will not show positive results) are described in Annex 5 of document FM48(11)018rev1 (Progress Report for the 2</w:t>
      </w:r>
      <w:r w:rsidRPr="009F202E">
        <w:rPr>
          <w:color w:val="000000" w:themeColor="text1"/>
          <w:vertAlign w:val="superscript"/>
        </w:rPr>
        <w:t>nd</w:t>
      </w:r>
      <w:r>
        <w:rPr>
          <w:color w:val="000000" w:themeColor="text1"/>
        </w:rPr>
        <w:t xml:space="preserve"> meeting).</w:t>
      </w:r>
    </w:p>
    <w:p w:rsidR="009F202E" w:rsidRDefault="009F202E" w:rsidP="00017451">
      <w:pPr>
        <w:rPr>
          <w:color w:val="000000" w:themeColor="text1"/>
        </w:rPr>
      </w:pPr>
    </w:p>
    <w:p w:rsidR="00FF3D90" w:rsidRPr="00FF3D90" w:rsidRDefault="00FF3D90" w:rsidP="00017451">
      <w:pPr>
        <w:rPr>
          <w:color w:val="000000" w:themeColor="text1"/>
          <w:u w:val="single"/>
        </w:rPr>
      </w:pPr>
      <w:r w:rsidRPr="00FF3D90">
        <w:rPr>
          <w:color w:val="000000" w:themeColor="text1"/>
          <w:u w:val="single"/>
        </w:rPr>
        <w:t>Proposal to include the bands 1980-2010 MHz / 2170-2200 MHz</w:t>
      </w:r>
    </w:p>
    <w:p w:rsidR="00FF3D90" w:rsidRDefault="00FF3D90" w:rsidP="00017451">
      <w:pPr>
        <w:rPr>
          <w:color w:val="000000" w:themeColor="text1"/>
        </w:rPr>
      </w:pPr>
    </w:p>
    <w:p w:rsidR="009F202E" w:rsidRDefault="003E4285" w:rsidP="00017451">
      <w:pPr>
        <w:rPr>
          <w:color w:val="000000" w:themeColor="text1"/>
        </w:rPr>
      </w:pPr>
      <w:r>
        <w:rPr>
          <w:color w:val="000000" w:themeColor="text1"/>
        </w:rPr>
        <w:t xml:space="preserve">A proposal from Deutsche Telekom and Alcatel-Lucent </w:t>
      </w:r>
      <w:r w:rsidR="007E684B">
        <w:rPr>
          <w:color w:val="000000" w:themeColor="text1"/>
        </w:rPr>
        <w:t>for an additional candidate band for Broadband DA2GC was introduced by Mr Rosowski (Deutsche Telekom), doc</w:t>
      </w:r>
      <w:r w:rsidR="009B00ED">
        <w:rPr>
          <w:color w:val="000000" w:themeColor="text1"/>
        </w:rPr>
        <w:t>s</w:t>
      </w:r>
      <w:r w:rsidR="007E684B">
        <w:rPr>
          <w:color w:val="000000" w:themeColor="text1"/>
        </w:rPr>
        <w:t>. FM48(11)029rev1</w:t>
      </w:r>
      <w:r w:rsidR="00FF3D90">
        <w:rPr>
          <w:color w:val="000000" w:themeColor="text1"/>
        </w:rPr>
        <w:t xml:space="preserve"> and FM48(11)030rev1</w:t>
      </w:r>
      <w:r w:rsidR="007E684B">
        <w:rPr>
          <w:color w:val="000000" w:themeColor="text1"/>
        </w:rPr>
        <w:t>. It was proposed to include the bands 1980-2010</w:t>
      </w:r>
      <w:r w:rsidR="00001B06">
        <w:rPr>
          <w:color w:val="000000" w:themeColor="text1"/>
        </w:rPr>
        <w:t> MHz / 2170-2200 </w:t>
      </w:r>
      <w:r w:rsidR="007E684B">
        <w:rPr>
          <w:color w:val="000000" w:themeColor="text1"/>
        </w:rPr>
        <w:t>MHz in the list of candidate bands (</w:t>
      </w:r>
      <w:r w:rsidR="009B00ED">
        <w:rPr>
          <w:color w:val="000000" w:themeColor="text1"/>
        </w:rPr>
        <w:t xml:space="preserve">preferably </w:t>
      </w:r>
      <w:r w:rsidR="007E684B">
        <w:rPr>
          <w:color w:val="000000" w:themeColor="text1"/>
        </w:rPr>
        <w:t xml:space="preserve">for Category 2). These </w:t>
      </w:r>
      <w:r w:rsidR="009B00ED">
        <w:rPr>
          <w:color w:val="000000" w:themeColor="text1"/>
        </w:rPr>
        <w:t xml:space="preserve">2 GHz </w:t>
      </w:r>
      <w:r w:rsidR="007E684B">
        <w:rPr>
          <w:color w:val="000000" w:themeColor="text1"/>
        </w:rPr>
        <w:t>bands are currently allocated to the mobile service and the mobile-satellite service (both with a primary status)</w:t>
      </w:r>
      <w:r w:rsidR="009B00ED">
        <w:rPr>
          <w:color w:val="000000" w:themeColor="text1"/>
        </w:rPr>
        <w:t>. The</w:t>
      </w:r>
      <w:r w:rsidR="007E684B">
        <w:rPr>
          <w:color w:val="000000" w:themeColor="text1"/>
        </w:rPr>
        <w:t xml:space="preserve"> bands have been designated within CEPT for use by systems in the MSS (including those supplemented by a CGC) by ECC Decision (06)09. A corresponding Decision was developed and set into force by the European Commission (2007/98/EC).</w:t>
      </w:r>
      <w:r w:rsidR="009B70BD">
        <w:rPr>
          <w:color w:val="000000" w:themeColor="text1"/>
        </w:rPr>
        <w:t xml:space="preserve"> According to the proposal, a DA2GC FDD operation within the 2 GHz bands could be considered within a part of the MSS downlink band and the MSS uplink band respectively. A DA2GC TDD operation could be considered within a part of one band, e.g. within the uplink band. Relevant criteria for the selection are also given in the input document.</w:t>
      </w:r>
      <w:r w:rsidR="00001B06">
        <w:rPr>
          <w:color w:val="000000" w:themeColor="text1"/>
        </w:rPr>
        <w:t xml:space="preserve"> DA2GC operation on a secondary basis, compared to MSS, might also be one option.</w:t>
      </w:r>
    </w:p>
    <w:p w:rsidR="009B00ED" w:rsidRDefault="009B00ED" w:rsidP="00017451">
      <w:pPr>
        <w:rPr>
          <w:color w:val="000000" w:themeColor="text1"/>
        </w:rPr>
      </w:pPr>
    </w:p>
    <w:p w:rsidR="009B00ED" w:rsidRDefault="00001B06" w:rsidP="00017451">
      <w:pPr>
        <w:rPr>
          <w:color w:val="000000" w:themeColor="text1"/>
        </w:rPr>
      </w:pPr>
      <w:r>
        <w:rPr>
          <w:color w:val="000000" w:themeColor="text1"/>
        </w:rPr>
        <w:t xml:space="preserve">Ms Farren (Solaris Mobile Ltd) introduced a contribution (FM48(11)036), proposing that the 2 GHz MSS bands (1980-2010 MHz / 2170-2200 MHz) should not be included in the list of candidate bands for Broadband DA2GC. It was highlighted by Solaris Mobile Ltd (SML) that SML and Inmarsat Ventures Ltd (INM) had been selected by the European Commission to use </w:t>
      </w:r>
      <w:r w:rsidR="00BB0922">
        <w:rPr>
          <w:color w:val="000000" w:themeColor="text1"/>
        </w:rPr>
        <w:t>the spectrum</w:t>
      </w:r>
      <w:r>
        <w:rPr>
          <w:color w:val="000000" w:themeColor="text1"/>
        </w:rPr>
        <w:t xml:space="preserve"> for MSS in Europe. The authorisation for each operator is valid for a period of 18 years, until 12 May 2027, subject to the operators fulfilling various conditions at European and national level.</w:t>
      </w:r>
      <w:r w:rsidR="006D48BD">
        <w:rPr>
          <w:color w:val="000000" w:themeColor="text1"/>
        </w:rPr>
        <w:t xml:space="preserve"> SML is using the portion 1995-2010 MHz / 2185-2200 MHz of the band.</w:t>
      </w:r>
      <w:r w:rsidR="00054261">
        <w:rPr>
          <w:color w:val="000000" w:themeColor="text1"/>
        </w:rPr>
        <w:t xml:space="preserve"> Commercial contracts have been launched by Solaris, including CGC.</w:t>
      </w:r>
    </w:p>
    <w:p w:rsidR="006D48BD" w:rsidRDefault="006D48BD" w:rsidP="00017451">
      <w:pPr>
        <w:rPr>
          <w:color w:val="000000" w:themeColor="text1"/>
        </w:rPr>
      </w:pPr>
    </w:p>
    <w:p w:rsidR="006D48BD" w:rsidRDefault="006D48BD" w:rsidP="00017451">
      <w:pPr>
        <w:rPr>
          <w:color w:val="000000" w:themeColor="text1"/>
        </w:rPr>
      </w:pPr>
      <w:r>
        <w:rPr>
          <w:color w:val="000000" w:themeColor="text1"/>
        </w:rPr>
        <w:t>The administration of Luxembourg had informed the meeting via email (FM48(11)037) that the views provided by Solaris Mobile Ltd are supported and that the Luxembourg administration disagrees to consider the 2 GHz MSS bands for DA2GC.</w:t>
      </w:r>
    </w:p>
    <w:p w:rsidR="00880FFE" w:rsidRDefault="00880FFE" w:rsidP="00017451">
      <w:pPr>
        <w:rPr>
          <w:color w:val="000000" w:themeColor="text1"/>
        </w:rPr>
      </w:pPr>
    </w:p>
    <w:p w:rsidR="00880FFE" w:rsidRDefault="00880FFE" w:rsidP="00017451">
      <w:pPr>
        <w:rPr>
          <w:color w:val="000000" w:themeColor="text1"/>
        </w:rPr>
      </w:pPr>
      <w:r>
        <w:rPr>
          <w:color w:val="000000" w:themeColor="text1"/>
        </w:rPr>
        <w:lastRenderedPageBreak/>
        <w:t>France had a similar view as Luxembourg.</w:t>
      </w:r>
    </w:p>
    <w:p w:rsidR="00FE3B05" w:rsidRDefault="00FE3B05" w:rsidP="00017451">
      <w:pPr>
        <w:rPr>
          <w:color w:val="000000" w:themeColor="text1"/>
        </w:rPr>
      </w:pPr>
    </w:p>
    <w:p w:rsidR="00FE3B05" w:rsidRDefault="00FE3B05" w:rsidP="00017451">
      <w:pPr>
        <w:rPr>
          <w:rFonts w:eastAsiaTheme="minorHAnsi"/>
          <w:szCs w:val="22"/>
          <w:lang w:eastAsia="en-US"/>
        </w:rPr>
      </w:pPr>
      <w:r>
        <w:rPr>
          <w:color w:val="000000" w:themeColor="text1"/>
        </w:rPr>
        <w:t>A contribution from Inmarsat Ventures Ltd (FM48(11)041) was introduced by Mr Masrani and by Mr Cemmell (both Inmarsat Ventures Ltd).</w:t>
      </w:r>
      <w:r w:rsidR="00BF0F41">
        <w:rPr>
          <w:color w:val="000000" w:themeColor="text1"/>
        </w:rPr>
        <w:t xml:space="preserve"> It was proposed by Inmarsat that </w:t>
      </w:r>
      <w:r w:rsidR="00BF0F41" w:rsidRPr="00300376">
        <w:rPr>
          <w:rFonts w:eastAsiaTheme="minorHAnsi"/>
          <w:szCs w:val="22"/>
          <w:lang w:eastAsia="en-US"/>
        </w:rPr>
        <w:t>the 2</w:t>
      </w:r>
      <w:r w:rsidR="00BF0F41">
        <w:rPr>
          <w:rFonts w:eastAsiaTheme="minorHAnsi"/>
          <w:szCs w:val="22"/>
          <w:lang w:eastAsia="en-US"/>
        </w:rPr>
        <w:t> </w:t>
      </w:r>
      <w:r w:rsidR="00BF0F41" w:rsidRPr="00300376">
        <w:rPr>
          <w:rFonts w:eastAsiaTheme="minorHAnsi"/>
          <w:szCs w:val="22"/>
          <w:lang w:eastAsia="en-US"/>
        </w:rPr>
        <w:t xml:space="preserve">GHz bands (1980-2010 </w:t>
      </w:r>
      <w:r w:rsidR="00BF0F41">
        <w:rPr>
          <w:rFonts w:eastAsiaTheme="minorHAnsi"/>
          <w:szCs w:val="22"/>
          <w:lang w:eastAsia="en-US"/>
        </w:rPr>
        <w:t xml:space="preserve">MHz </w:t>
      </w:r>
      <w:r w:rsidR="00BF0F41" w:rsidRPr="00300376">
        <w:rPr>
          <w:rFonts w:eastAsiaTheme="minorHAnsi"/>
          <w:szCs w:val="22"/>
          <w:lang w:eastAsia="en-US"/>
        </w:rPr>
        <w:t xml:space="preserve">/ 2170-2200 MHz) </w:t>
      </w:r>
      <w:r w:rsidR="00BF0F41">
        <w:rPr>
          <w:rFonts w:eastAsiaTheme="minorHAnsi"/>
          <w:szCs w:val="22"/>
          <w:lang w:eastAsia="en-US"/>
        </w:rPr>
        <w:t xml:space="preserve">should not be identified </w:t>
      </w:r>
      <w:r w:rsidR="00BF0F41" w:rsidRPr="00300376">
        <w:rPr>
          <w:rFonts w:eastAsiaTheme="minorHAnsi"/>
          <w:szCs w:val="22"/>
          <w:lang w:eastAsia="en-US"/>
        </w:rPr>
        <w:t>as additional candidate bands for DA2GC systems</w:t>
      </w:r>
      <w:r w:rsidR="00BF0F41">
        <w:rPr>
          <w:rFonts w:eastAsiaTheme="minorHAnsi"/>
          <w:szCs w:val="22"/>
          <w:lang w:eastAsia="en-US"/>
        </w:rPr>
        <w:t xml:space="preserve">. </w:t>
      </w:r>
      <w:r w:rsidR="00054261">
        <w:rPr>
          <w:rFonts w:eastAsiaTheme="minorHAnsi"/>
          <w:szCs w:val="22"/>
          <w:lang w:eastAsia="en-US"/>
        </w:rPr>
        <w:t>This was considered as d</w:t>
      </w:r>
      <w:r w:rsidR="00BF0F41" w:rsidRPr="00300376">
        <w:rPr>
          <w:rFonts w:eastAsiaTheme="minorHAnsi"/>
          <w:szCs w:val="22"/>
          <w:lang w:eastAsia="en-US"/>
        </w:rPr>
        <w:t xml:space="preserve">ue to the lack of technical compatibility of DA2GC systems </w:t>
      </w:r>
      <w:r w:rsidR="00880FFE">
        <w:rPr>
          <w:rFonts w:eastAsiaTheme="minorHAnsi"/>
          <w:szCs w:val="22"/>
          <w:lang w:eastAsia="en-US"/>
        </w:rPr>
        <w:t>with existing and planned MSS and</w:t>
      </w:r>
      <w:r w:rsidR="00BF0F41" w:rsidRPr="00300376">
        <w:rPr>
          <w:rFonts w:eastAsiaTheme="minorHAnsi"/>
          <w:szCs w:val="22"/>
          <w:lang w:eastAsia="en-US"/>
        </w:rPr>
        <w:t xml:space="preserve"> CGC systems. In addition, </w:t>
      </w:r>
      <w:r w:rsidR="00BF0F41">
        <w:rPr>
          <w:rFonts w:eastAsiaTheme="minorHAnsi"/>
          <w:szCs w:val="22"/>
          <w:lang w:eastAsia="en-US"/>
        </w:rPr>
        <w:t xml:space="preserve">from Inmarsat point of view, </w:t>
      </w:r>
      <w:r w:rsidR="00BF0F41" w:rsidRPr="00300376">
        <w:rPr>
          <w:rFonts w:eastAsiaTheme="minorHAnsi"/>
          <w:szCs w:val="22"/>
          <w:lang w:eastAsia="en-US"/>
        </w:rPr>
        <w:t>there would need to be a resolution of the significant legal and regulatory obstacles in amending the existing EC Decisions and the associated national licence grants for the operation of MSS and CGC systems within Europe, which would preclude the suitability of the 2</w:t>
      </w:r>
      <w:r w:rsidR="00880FFE">
        <w:rPr>
          <w:rFonts w:eastAsiaTheme="minorHAnsi"/>
          <w:szCs w:val="22"/>
          <w:lang w:eastAsia="en-US"/>
        </w:rPr>
        <w:t> </w:t>
      </w:r>
      <w:r w:rsidR="00BF0F41" w:rsidRPr="00300376">
        <w:rPr>
          <w:rFonts w:eastAsiaTheme="minorHAnsi"/>
          <w:szCs w:val="22"/>
          <w:lang w:eastAsia="en-US"/>
        </w:rPr>
        <w:t>GHz bands for DA2GC systems.</w:t>
      </w:r>
      <w:r w:rsidR="00880FFE">
        <w:rPr>
          <w:rFonts w:eastAsiaTheme="minorHAnsi"/>
          <w:szCs w:val="22"/>
          <w:lang w:eastAsia="en-US"/>
        </w:rPr>
        <w:t xml:space="preserve"> It was also indicated by Inmarsat that no parts of the spectrum within the 2 GHz MSS bands will be unused</w:t>
      </w:r>
      <w:r w:rsidR="00054261">
        <w:rPr>
          <w:rFonts w:eastAsiaTheme="minorHAnsi"/>
          <w:szCs w:val="22"/>
          <w:lang w:eastAsia="en-US"/>
        </w:rPr>
        <w:t xml:space="preserve"> and Inmarsat intents to use the uplink and downlink bands for MSS at 2 GHz.</w:t>
      </w:r>
    </w:p>
    <w:p w:rsidR="004748B6" w:rsidRDefault="004748B6" w:rsidP="00017451">
      <w:pPr>
        <w:rPr>
          <w:rFonts w:eastAsiaTheme="minorHAnsi"/>
          <w:szCs w:val="22"/>
          <w:lang w:eastAsia="en-US"/>
        </w:rPr>
      </w:pPr>
    </w:p>
    <w:p w:rsidR="004748B6" w:rsidRDefault="004748B6" w:rsidP="00017451">
      <w:pPr>
        <w:rPr>
          <w:rStyle w:val="Hyperlink"/>
          <w:rFonts w:eastAsiaTheme="majorEastAsia"/>
          <w:color w:val="auto"/>
          <w:szCs w:val="22"/>
          <w:u w:val="none"/>
          <w:lang w:val="en-US"/>
        </w:rPr>
      </w:pPr>
      <w:r>
        <w:rPr>
          <w:color w:val="000000" w:themeColor="text1"/>
        </w:rPr>
        <w:t xml:space="preserve">The administration of Ireland had informed the meeting via email (FM48(11)042) that </w:t>
      </w:r>
      <w:r w:rsidRPr="005818AD">
        <w:rPr>
          <w:szCs w:val="22"/>
        </w:rPr>
        <w:t>CEPT should be cautious about considering the potential of the 2</w:t>
      </w:r>
      <w:r>
        <w:rPr>
          <w:szCs w:val="22"/>
        </w:rPr>
        <w:t> </w:t>
      </w:r>
      <w:r w:rsidRPr="005818AD">
        <w:rPr>
          <w:szCs w:val="22"/>
        </w:rPr>
        <w:t xml:space="preserve">GHz band for other uses at present as it risks destabilising the development of the EC supported MSS in the band. </w:t>
      </w:r>
      <w:r>
        <w:rPr>
          <w:szCs w:val="22"/>
        </w:rPr>
        <w:t>From the Irish point of view it would be</w:t>
      </w:r>
      <w:r w:rsidRPr="005818AD">
        <w:rPr>
          <w:szCs w:val="22"/>
        </w:rPr>
        <w:t xml:space="preserve"> premature to make judgements now about the level of take-up of the MSS in Europe. </w:t>
      </w:r>
      <w:r>
        <w:rPr>
          <w:szCs w:val="22"/>
          <w:lang w:val="en-US"/>
        </w:rPr>
        <w:t>If FM PT 48 decided</w:t>
      </w:r>
      <w:r w:rsidRPr="005818AD">
        <w:rPr>
          <w:szCs w:val="22"/>
          <w:lang w:val="en-US"/>
        </w:rPr>
        <w:t xml:space="preserve"> to include the 2</w:t>
      </w:r>
      <w:r>
        <w:rPr>
          <w:szCs w:val="22"/>
          <w:lang w:val="en-US"/>
        </w:rPr>
        <w:t> </w:t>
      </w:r>
      <w:r w:rsidRPr="005818AD">
        <w:rPr>
          <w:szCs w:val="22"/>
          <w:lang w:val="en-US"/>
        </w:rPr>
        <w:t xml:space="preserve">GHz MSS bands in the list of candidate bands for DA2GC this should be followed by complete compatibility studies to examine the feasibility of </w:t>
      </w:r>
      <w:r>
        <w:rPr>
          <w:szCs w:val="22"/>
          <w:lang w:val="en-US"/>
        </w:rPr>
        <w:t xml:space="preserve">sharing between DA2GC and MSS. </w:t>
      </w:r>
      <w:r w:rsidRPr="005818AD">
        <w:rPr>
          <w:szCs w:val="22"/>
          <w:lang w:val="en-US"/>
        </w:rPr>
        <w:t xml:space="preserve">The status of MSS CGC on a pan-European basis should be noted in the context of the relevant EC MSS Decisions (2007/98/EC, 626/2008/EC and 2009/449/EC), in particular Article 3 of </w:t>
      </w:r>
      <w:hyperlink r:id="rId11" w:history="1">
        <w:r w:rsidRPr="005818AD">
          <w:rPr>
            <w:rStyle w:val="Hyperlink"/>
            <w:rFonts w:eastAsiaTheme="majorEastAsia"/>
            <w:color w:val="auto"/>
            <w:szCs w:val="22"/>
            <w:u w:val="none"/>
            <w:lang w:val="en-US"/>
          </w:rPr>
          <w:t>Commission Decision 2007/98/EC</w:t>
        </w:r>
      </w:hyperlink>
      <w:r w:rsidR="00BB0922">
        <w:rPr>
          <w:rStyle w:val="Hyperlink"/>
          <w:rFonts w:eastAsiaTheme="majorEastAsia"/>
          <w:color w:val="auto"/>
          <w:szCs w:val="22"/>
          <w:u w:val="none"/>
          <w:lang w:val="en-US"/>
        </w:rPr>
        <w:t xml:space="preserve"> should be taken into account</w:t>
      </w:r>
    </w:p>
    <w:p w:rsidR="00880FFE" w:rsidRDefault="00880FFE" w:rsidP="00017451">
      <w:pPr>
        <w:rPr>
          <w:rStyle w:val="Hyperlink"/>
          <w:rFonts w:eastAsiaTheme="majorEastAsia"/>
          <w:color w:val="auto"/>
          <w:szCs w:val="22"/>
          <w:u w:val="none"/>
          <w:lang w:val="en-US"/>
        </w:rPr>
      </w:pPr>
    </w:p>
    <w:p w:rsidR="00880FFE" w:rsidRDefault="00880FFE" w:rsidP="00017451">
      <w:pPr>
        <w:rPr>
          <w:rStyle w:val="Hyperlink"/>
          <w:rFonts w:eastAsiaTheme="majorEastAsia"/>
          <w:color w:val="auto"/>
          <w:szCs w:val="22"/>
          <w:u w:val="none"/>
          <w:lang w:val="en-US"/>
        </w:rPr>
      </w:pPr>
      <w:r>
        <w:rPr>
          <w:rStyle w:val="Hyperlink"/>
          <w:rFonts w:eastAsiaTheme="majorEastAsia"/>
          <w:color w:val="auto"/>
          <w:szCs w:val="22"/>
          <w:u w:val="none"/>
          <w:lang w:val="en-US"/>
        </w:rPr>
        <w:t>Germany supported to study the feasibility of sharing between Broadband DA2GC and MSS systems.</w:t>
      </w:r>
    </w:p>
    <w:p w:rsidR="00054261" w:rsidRDefault="00054261" w:rsidP="00017451">
      <w:pPr>
        <w:rPr>
          <w:rStyle w:val="Hyperlink"/>
          <w:rFonts w:eastAsiaTheme="majorEastAsia"/>
          <w:color w:val="auto"/>
          <w:szCs w:val="22"/>
          <w:u w:val="none"/>
          <w:lang w:val="en-US"/>
        </w:rPr>
      </w:pPr>
    </w:p>
    <w:p w:rsidR="00054261" w:rsidRDefault="00054261" w:rsidP="00017451">
      <w:pPr>
        <w:rPr>
          <w:rStyle w:val="Hyperlink"/>
          <w:rFonts w:eastAsiaTheme="majorEastAsia"/>
          <w:color w:val="auto"/>
          <w:szCs w:val="22"/>
          <w:u w:val="none"/>
          <w:lang w:val="en-US"/>
        </w:rPr>
      </w:pPr>
      <w:r>
        <w:rPr>
          <w:rStyle w:val="Hyperlink"/>
          <w:rFonts w:eastAsiaTheme="majorEastAsia"/>
          <w:color w:val="auto"/>
          <w:szCs w:val="22"/>
          <w:u w:val="none"/>
          <w:lang w:val="en-US"/>
        </w:rPr>
        <w:t>Mr Jokela (Finland) compared the DA2GC issue with mobile services on board aircraft, where originally only GSM was under discussion but also other systems would be possible in the future. Different systems should also be taken into account for the studies on DA2GC systems.</w:t>
      </w:r>
    </w:p>
    <w:p w:rsidR="00054261" w:rsidRDefault="00054261" w:rsidP="00017451">
      <w:pPr>
        <w:rPr>
          <w:rStyle w:val="Hyperlink"/>
          <w:rFonts w:eastAsiaTheme="majorEastAsia"/>
          <w:color w:val="auto"/>
          <w:szCs w:val="22"/>
          <w:u w:val="none"/>
          <w:lang w:val="en-US"/>
        </w:rPr>
      </w:pPr>
    </w:p>
    <w:p w:rsidR="00054261" w:rsidRDefault="00054261" w:rsidP="00017451">
      <w:pPr>
        <w:rPr>
          <w:color w:val="000000" w:themeColor="text1"/>
        </w:rPr>
      </w:pPr>
      <w:r>
        <w:rPr>
          <w:color w:val="000000" w:themeColor="text1"/>
        </w:rPr>
        <w:t>During the discussion it was also mentioned that SE PT 40 is currently carrying out studies regarding the adjacent band compatibility.</w:t>
      </w:r>
      <w:r w:rsidR="00D95DD5">
        <w:rPr>
          <w:color w:val="000000" w:themeColor="text1"/>
        </w:rPr>
        <w:t xml:space="preserve"> Furthermore it was emphasised that Article 3 </w:t>
      </w:r>
      <w:r w:rsidR="00901EB2">
        <w:rPr>
          <w:color w:val="000000" w:themeColor="text1"/>
        </w:rPr>
        <w:t xml:space="preserve">(par. 1) </w:t>
      </w:r>
      <w:r w:rsidR="00D95DD5">
        <w:rPr>
          <w:color w:val="000000" w:themeColor="text1"/>
        </w:rPr>
        <w:t>of Commission Decision 2007/98/EC provides a possibility for other uses, but any other use of the bands shall not cause harmful interference to systems providing MSS and may not claim protection from harmful interference caused by systems providing MSS.</w:t>
      </w:r>
    </w:p>
    <w:p w:rsidR="00367CF1" w:rsidRDefault="00367CF1" w:rsidP="00017451">
      <w:pPr>
        <w:rPr>
          <w:color w:val="000000" w:themeColor="text1"/>
        </w:rPr>
      </w:pPr>
    </w:p>
    <w:p w:rsidR="00367CF1" w:rsidRDefault="00367CF1" w:rsidP="00017451">
      <w:pPr>
        <w:rPr>
          <w:color w:val="000000" w:themeColor="text1"/>
        </w:rPr>
      </w:pPr>
      <w:r>
        <w:rPr>
          <w:color w:val="000000" w:themeColor="text1"/>
        </w:rPr>
        <w:t xml:space="preserve">By summarising the discussion on the 2 GHz MSS bands it </w:t>
      </w:r>
      <w:r w:rsidR="00BB0922">
        <w:rPr>
          <w:color w:val="000000" w:themeColor="text1"/>
        </w:rPr>
        <w:t>wa</w:t>
      </w:r>
      <w:r>
        <w:rPr>
          <w:color w:val="000000" w:themeColor="text1"/>
        </w:rPr>
        <w:t xml:space="preserve">s obvious that this issue </w:t>
      </w:r>
      <w:r w:rsidR="00BB0922">
        <w:rPr>
          <w:color w:val="000000" w:themeColor="text1"/>
        </w:rPr>
        <w:t>i</w:t>
      </w:r>
      <w:r>
        <w:rPr>
          <w:color w:val="000000" w:themeColor="text1"/>
        </w:rPr>
        <w:t xml:space="preserve">s very controversial </w:t>
      </w:r>
      <w:r w:rsidR="00175210">
        <w:rPr>
          <w:color w:val="000000" w:themeColor="text1"/>
        </w:rPr>
        <w:t>within FM PT 48. Besides the con</w:t>
      </w:r>
      <w:r w:rsidR="00BB0922">
        <w:rPr>
          <w:color w:val="000000" w:themeColor="text1"/>
        </w:rPr>
        <w:t>flictive</w:t>
      </w:r>
      <w:r w:rsidR="00175210">
        <w:rPr>
          <w:color w:val="000000" w:themeColor="text1"/>
        </w:rPr>
        <w:t xml:space="preserve"> positions coming from the proponents of a DA2GC system and the MSS licensees, also legal aspects arising from the EU legislation are relevant and have to</w:t>
      </w:r>
      <w:r w:rsidR="00BB0922">
        <w:rPr>
          <w:color w:val="000000" w:themeColor="text1"/>
        </w:rPr>
        <w:t xml:space="preserve"> be considered. Because of that</w:t>
      </w:r>
      <w:r w:rsidR="00175210">
        <w:rPr>
          <w:color w:val="000000" w:themeColor="text1"/>
        </w:rPr>
        <w:t xml:space="preserve"> and the limited representation of administrations it was seen necessary to get some guidance from WG FM. Two administrations were clearly against a consideration of the MSS 2 GHz bands (Luxembourg and France), two administrations supported (Germany) or at least could accept (Ireland) studies</w:t>
      </w:r>
      <w:r w:rsidR="0056296C">
        <w:rPr>
          <w:color w:val="000000" w:themeColor="text1"/>
        </w:rPr>
        <w:t xml:space="preserve"> in order to clarify the feasibility for Broadband DA2GC systems.</w:t>
      </w:r>
    </w:p>
    <w:p w:rsidR="0056296C" w:rsidRDefault="0056296C" w:rsidP="00017451">
      <w:pPr>
        <w:rPr>
          <w:color w:val="000000" w:themeColor="text1"/>
        </w:rPr>
      </w:pPr>
    </w:p>
    <w:p w:rsidR="0056296C" w:rsidRPr="00BB7661" w:rsidRDefault="0056296C" w:rsidP="0056296C">
      <w:pPr>
        <w:pBdr>
          <w:top w:val="single" w:sz="4" w:space="1" w:color="auto"/>
          <w:left w:val="single" w:sz="4" w:space="4" w:color="auto"/>
          <w:bottom w:val="single" w:sz="4" w:space="1" w:color="auto"/>
          <w:right w:val="single" w:sz="4" w:space="4" w:color="auto"/>
        </w:pBdr>
        <w:ind w:left="708"/>
        <w:rPr>
          <w:color w:val="000000" w:themeColor="text1"/>
        </w:rPr>
      </w:pPr>
      <w:r w:rsidRPr="005F40B3">
        <w:rPr>
          <w:b/>
          <w:color w:val="000000" w:themeColor="text1"/>
        </w:rPr>
        <w:t>WG FM is invited</w:t>
      </w:r>
      <w:r>
        <w:rPr>
          <w:b/>
          <w:color w:val="000000" w:themeColor="text1"/>
        </w:rPr>
        <w:t>:</w:t>
      </w:r>
      <w:r>
        <w:rPr>
          <w:b/>
          <w:color w:val="000000" w:themeColor="text1"/>
        </w:rPr>
        <w:br/>
      </w:r>
      <w:r>
        <w:rPr>
          <w:b/>
          <w:color w:val="000000" w:themeColor="text1"/>
        </w:rPr>
        <w:br/>
      </w:r>
      <w:r w:rsidRPr="005F40B3">
        <w:rPr>
          <w:b/>
          <w:color w:val="000000" w:themeColor="text1"/>
        </w:rPr>
        <w:t xml:space="preserve">To </w:t>
      </w:r>
      <w:r>
        <w:rPr>
          <w:b/>
          <w:color w:val="000000" w:themeColor="text1"/>
        </w:rPr>
        <w:t>decide whether the 2 GHz MSS bands (1980-2010 MHz / 2170-220 MHz) should be included in the list of candidate bands for Broadband DA2GC.</w:t>
      </w:r>
      <w:r>
        <w:rPr>
          <w:b/>
          <w:color w:val="000000" w:themeColor="text1"/>
        </w:rPr>
        <w:br/>
      </w:r>
    </w:p>
    <w:p w:rsidR="00413D1C" w:rsidRDefault="00413D1C">
      <w:pPr>
        <w:spacing w:after="200" w:line="276" w:lineRule="auto"/>
        <w:rPr>
          <w:color w:val="000000" w:themeColor="text1"/>
        </w:rPr>
      </w:pPr>
      <w:r>
        <w:rPr>
          <w:color w:val="000000" w:themeColor="text1"/>
        </w:rPr>
        <w:br w:type="page"/>
      </w:r>
    </w:p>
    <w:p w:rsidR="0056296C" w:rsidRDefault="0056296C" w:rsidP="00017451">
      <w:pPr>
        <w:rPr>
          <w:color w:val="000000" w:themeColor="text1"/>
        </w:rPr>
      </w:pPr>
    </w:p>
    <w:p w:rsidR="0056296C" w:rsidRPr="00865ED0" w:rsidRDefault="00865ED0" w:rsidP="00017451">
      <w:pPr>
        <w:rPr>
          <w:color w:val="000000" w:themeColor="text1"/>
          <w:u w:val="single"/>
        </w:rPr>
      </w:pPr>
      <w:r w:rsidRPr="00865ED0">
        <w:rPr>
          <w:color w:val="000000" w:themeColor="text1"/>
          <w:u w:val="single"/>
        </w:rPr>
        <w:t>Proposal to remove the band 5150-5170 MHz</w:t>
      </w:r>
    </w:p>
    <w:p w:rsidR="00865ED0" w:rsidRDefault="00865ED0" w:rsidP="00017451">
      <w:pPr>
        <w:rPr>
          <w:color w:val="000000" w:themeColor="text1"/>
        </w:rPr>
      </w:pPr>
    </w:p>
    <w:p w:rsidR="00865ED0" w:rsidRDefault="00865ED0" w:rsidP="00017451">
      <w:pPr>
        <w:rPr>
          <w:color w:val="000000" w:themeColor="text1"/>
        </w:rPr>
      </w:pPr>
      <w:r>
        <w:rPr>
          <w:color w:val="000000" w:themeColor="text1"/>
        </w:rPr>
        <w:t>Ms D’Amato (IATA) introduced the IATA proposal on the removal of the band 5150-5170 MHz from the list of candidate bands (FM48(11)040). This band is also used for aeronautical radars as outlined in the Annex of the contribution (Preliminary draft new Recommendation ITU-R M.[5</w:t>
      </w:r>
      <w:r w:rsidR="00413D1C">
        <w:rPr>
          <w:color w:val="000000" w:themeColor="text1"/>
        </w:rPr>
        <w:t> </w:t>
      </w:r>
      <w:r>
        <w:rPr>
          <w:color w:val="000000" w:themeColor="text1"/>
        </w:rPr>
        <w:t>150-5</w:t>
      </w:r>
      <w:r w:rsidR="00413D1C">
        <w:rPr>
          <w:color w:val="000000" w:themeColor="text1"/>
        </w:rPr>
        <w:t> </w:t>
      </w:r>
      <w:r>
        <w:rPr>
          <w:color w:val="000000" w:themeColor="text1"/>
        </w:rPr>
        <w:t>250 MHz ARNS RADARS]).</w:t>
      </w:r>
    </w:p>
    <w:p w:rsidR="00413D1C" w:rsidRDefault="00413D1C" w:rsidP="00017451">
      <w:pPr>
        <w:rPr>
          <w:color w:val="000000" w:themeColor="text1"/>
        </w:rPr>
      </w:pPr>
    </w:p>
    <w:p w:rsidR="00413D1C" w:rsidRDefault="00413D1C" w:rsidP="00017451">
      <w:pPr>
        <w:rPr>
          <w:color w:val="000000" w:themeColor="text1"/>
        </w:rPr>
      </w:pPr>
      <w:r>
        <w:rPr>
          <w:color w:val="000000" w:themeColor="text1"/>
        </w:rPr>
        <w:t xml:space="preserve">Nobody had objections on the proposed removal. The meeting agreed to remove the band 5150-5170 MHz from Category 2, see </w:t>
      </w:r>
      <w:r w:rsidRPr="00413D1C">
        <w:rPr>
          <w:b/>
          <w:color w:val="000000" w:themeColor="text1"/>
        </w:rPr>
        <w:t>Annex 6</w:t>
      </w:r>
      <w:r>
        <w:rPr>
          <w:color w:val="000000" w:themeColor="text1"/>
        </w:rPr>
        <w:t>.</w:t>
      </w:r>
    </w:p>
    <w:p w:rsidR="002F0B76" w:rsidRDefault="002F0B76" w:rsidP="00017451">
      <w:pPr>
        <w:rPr>
          <w:color w:val="000000" w:themeColor="text1"/>
        </w:rPr>
      </w:pPr>
    </w:p>
    <w:p w:rsidR="0033566B" w:rsidRPr="0033566B" w:rsidRDefault="0033566B" w:rsidP="00017451">
      <w:pPr>
        <w:rPr>
          <w:color w:val="000000" w:themeColor="text1"/>
          <w:u w:val="single"/>
        </w:rPr>
      </w:pPr>
      <w:r w:rsidRPr="0033566B">
        <w:rPr>
          <w:color w:val="000000" w:themeColor="text1"/>
          <w:u w:val="single"/>
        </w:rPr>
        <w:t>Frequency band 1452-1492 MHz</w:t>
      </w:r>
    </w:p>
    <w:p w:rsidR="0033566B" w:rsidRDefault="0033566B" w:rsidP="00017451">
      <w:pPr>
        <w:rPr>
          <w:color w:val="000000" w:themeColor="text1"/>
        </w:rPr>
      </w:pPr>
    </w:p>
    <w:p w:rsidR="0033566B" w:rsidRDefault="00CF7BA8" w:rsidP="00017451">
      <w:pPr>
        <w:rPr>
          <w:color w:val="000000" w:themeColor="text1"/>
        </w:rPr>
      </w:pPr>
      <w:r>
        <w:rPr>
          <w:color w:val="000000" w:themeColor="text1"/>
        </w:rPr>
        <w:t>Mr Rosowski (Deutsche Telekom) introduced a contribution from Deutsche Telekom and Alcatel-Lucent (FM48(11)030rev1). I</w:t>
      </w:r>
      <w:r w:rsidR="0033566B">
        <w:rPr>
          <w:color w:val="000000" w:themeColor="text1"/>
        </w:rPr>
        <w:t>t was proposed to shift the band 1452-1492 MHz from Category 3 to Category 2. FM PT 48 is not considering this band for the time being, because FM PT 50 is responsible for that. However, depending on the outcome of FM PT 50 this band could be studied in the future for Broadband DA2GC which is one option among others.</w:t>
      </w:r>
    </w:p>
    <w:p w:rsidR="00675E6E" w:rsidRDefault="00675E6E" w:rsidP="00017451">
      <w:pPr>
        <w:rPr>
          <w:color w:val="000000" w:themeColor="text1"/>
        </w:rPr>
      </w:pPr>
    </w:p>
    <w:p w:rsidR="00675E6E" w:rsidRDefault="00675E6E" w:rsidP="00017451">
      <w:pPr>
        <w:rPr>
          <w:color w:val="000000" w:themeColor="text1"/>
        </w:rPr>
      </w:pPr>
      <w:r>
        <w:rPr>
          <w:color w:val="000000" w:themeColor="text1"/>
        </w:rPr>
        <w:t>Qualcomm preferred to delete this band from the list at all.</w:t>
      </w:r>
    </w:p>
    <w:p w:rsidR="0033566B" w:rsidRDefault="0033566B" w:rsidP="00017451">
      <w:pPr>
        <w:rPr>
          <w:color w:val="000000" w:themeColor="text1"/>
        </w:rPr>
      </w:pPr>
    </w:p>
    <w:p w:rsidR="0033566B" w:rsidRDefault="0033566B" w:rsidP="00017451">
      <w:pPr>
        <w:rPr>
          <w:color w:val="000000" w:themeColor="text1"/>
        </w:rPr>
      </w:pPr>
      <w:r>
        <w:rPr>
          <w:color w:val="000000" w:themeColor="text1"/>
        </w:rPr>
        <w:t xml:space="preserve">The meeting did not support the change </w:t>
      </w:r>
      <w:r w:rsidR="00BB0922">
        <w:rPr>
          <w:color w:val="000000" w:themeColor="text1"/>
        </w:rPr>
        <w:t xml:space="preserve">of </w:t>
      </w:r>
      <w:r w:rsidR="00675E6E">
        <w:rPr>
          <w:color w:val="000000" w:themeColor="text1"/>
        </w:rPr>
        <w:t xml:space="preserve">the band 1452-1492 MHz </w:t>
      </w:r>
      <w:r>
        <w:rPr>
          <w:color w:val="000000" w:themeColor="text1"/>
        </w:rPr>
        <w:t>from Category 3 to Category 2. But the band should still be kept for completeness.</w:t>
      </w:r>
    </w:p>
    <w:p w:rsidR="00017451" w:rsidRPr="005F40B3" w:rsidRDefault="00017451" w:rsidP="00017451">
      <w:pPr>
        <w:pStyle w:val="berschrift1"/>
        <w:ind w:left="709" w:hanging="709"/>
        <w:rPr>
          <w:color w:val="000000" w:themeColor="text1"/>
          <w:sz w:val="24"/>
          <w:szCs w:val="24"/>
        </w:rPr>
      </w:pPr>
      <w:r>
        <w:rPr>
          <w:color w:val="000000" w:themeColor="text1"/>
          <w:sz w:val="24"/>
          <w:szCs w:val="24"/>
        </w:rPr>
        <w:t>8</w:t>
      </w:r>
      <w:r w:rsidRPr="005F40B3">
        <w:rPr>
          <w:color w:val="000000" w:themeColor="text1"/>
          <w:sz w:val="24"/>
          <w:szCs w:val="24"/>
        </w:rPr>
        <w:t>)</w:t>
      </w:r>
      <w:r w:rsidRPr="005F40B3">
        <w:rPr>
          <w:color w:val="000000" w:themeColor="text1"/>
          <w:sz w:val="24"/>
          <w:szCs w:val="24"/>
        </w:rPr>
        <w:tab/>
      </w:r>
      <w:r>
        <w:rPr>
          <w:color w:val="000000" w:themeColor="text1"/>
          <w:sz w:val="24"/>
          <w:szCs w:val="24"/>
        </w:rPr>
        <w:t>Frequency bands according Category 3</w:t>
      </w:r>
    </w:p>
    <w:p w:rsidR="00017451" w:rsidRDefault="00017451" w:rsidP="00017451">
      <w:pPr>
        <w:rPr>
          <w:color w:val="000000" w:themeColor="text1"/>
        </w:rPr>
      </w:pPr>
    </w:p>
    <w:p w:rsidR="00CF7BA8" w:rsidRDefault="00CF7BA8" w:rsidP="00017451">
      <w:pPr>
        <w:rPr>
          <w:color w:val="000000" w:themeColor="text1"/>
        </w:rPr>
      </w:pPr>
      <w:r>
        <w:rPr>
          <w:color w:val="000000" w:themeColor="text1"/>
        </w:rPr>
        <w:t xml:space="preserve">In the contribution from Deutsche Telekom and Alcatel-Lucent (FM48(11)030rev1) it was also proposed to consider the deletion of the bands in Category 3, besides the band 1452-1492 MHz. In the contribution from Ukraine (FM48(11)021) the deletion of different bands in Category 3 was </w:t>
      </w:r>
      <w:r w:rsidR="00BB0922">
        <w:rPr>
          <w:color w:val="000000" w:themeColor="text1"/>
        </w:rPr>
        <w:t xml:space="preserve">also </w:t>
      </w:r>
      <w:r>
        <w:rPr>
          <w:color w:val="000000" w:themeColor="text1"/>
        </w:rPr>
        <w:t>proposed.</w:t>
      </w:r>
    </w:p>
    <w:p w:rsidR="00CF7BA8" w:rsidRDefault="00CF7BA8" w:rsidP="00017451">
      <w:pPr>
        <w:rPr>
          <w:color w:val="000000" w:themeColor="text1"/>
        </w:rPr>
      </w:pPr>
    </w:p>
    <w:p w:rsidR="00CF7BA8" w:rsidRDefault="00CF7BA8" w:rsidP="00017451">
      <w:pPr>
        <w:rPr>
          <w:color w:val="000000" w:themeColor="text1"/>
        </w:rPr>
      </w:pPr>
      <w:r>
        <w:rPr>
          <w:color w:val="000000" w:themeColor="text1"/>
        </w:rPr>
        <w:t xml:space="preserve">The meeting agreed that bands can be removed from the table if this is based on unanimity within the participants of the meeting. The outcome is provided in </w:t>
      </w:r>
      <w:r w:rsidRPr="00CF7BA8">
        <w:rPr>
          <w:b/>
          <w:color w:val="000000" w:themeColor="text1"/>
        </w:rPr>
        <w:t>Annex 6</w:t>
      </w:r>
      <w:r>
        <w:rPr>
          <w:color w:val="000000" w:themeColor="text1"/>
        </w:rPr>
        <w:t>.</w:t>
      </w:r>
    </w:p>
    <w:p w:rsidR="00675E6E" w:rsidRDefault="00675E6E" w:rsidP="00675E6E">
      <w:pPr>
        <w:rPr>
          <w:color w:val="000000" w:themeColor="text1"/>
        </w:rPr>
      </w:pPr>
    </w:p>
    <w:p w:rsidR="00675E6E" w:rsidRDefault="00675E6E" w:rsidP="00675E6E">
      <w:pPr>
        <w:rPr>
          <w:color w:val="000000" w:themeColor="text1"/>
        </w:rPr>
      </w:pPr>
      <w:r>
        <w:rPr>
          <w:color w:val="000000" w:themeColor="text1"/>
        </w:rPr>
        <w:t>The meeting also decided to keep the four categories of frequency bands for the time being.</w:t>
      </w:r>
    </w:p>
    <w:p w:rsidR="00017451" w:rsidRPr="005F40B3" w:rsidRDefault="00017451" w:rsidP="00017451">
      <w:pPr>
        <w:pStyle w:val="berschrift1"/>
        <w:ind w:left="709" w:hanging="709"/>
        <w:rPr>
          <w:color w:val="000000" w:themeColor="text1"/>
          <w:sz w:val="24"/>
          <w:szCs w:val="24"/>
        </w:rPr>
      </w:pPr>
      <w:r>
        <w:rPr>
          <w:color w:val="000000" w:themeColor="text1"/>
          <w:sz w:val="24"/>
          <w:szCs w:val="24"/>
        </w:rPr>
        <w:t>9</w:t>
      </w:r>
      <w:r w:rsidRPr="005F40B3">
        <w:rPr>
          <w:color w:val="000000" w:themeColor="text1"/>
          <w:sz w:val="24"/>
          <w:szCs w:val="24"/>
        </w:rPr>
        <w:t>)</w:t>
      </w:r>
      <w:r w:rsidRPr="005F40B3">
        <w:rPr>
          <w:color w:val="000000" w:themeColor="text1"/>
          <w:sz w:val="24"/>
          <w:szCs w:val="24"/>
        </w:rPr>
        <w:tab/>
      </w:r>
      <w:r>
        <w:rPr>
          <w:color w:val="000000" w:themeColor="text1"/>
          <w:sz w:val="24"/>
          <w:szCs w:val="24"/>
        </w:rPr>
        <w:t>Frequency bands according Category 4</w:t>
      </w:r>
    </w:p>
    <w:p w:rsidR="00017451" w:rsidRPr="005F40B3" w:rsidRDefault="00017451" w:rsidP="00017451">
      <w:pPr>
        <w:rPr>
          <w:color w:val="000000" w:themeColor="text1"/>
        </w:rPr>
      </w:pPr>
    </w:p>
    <w:p w:rsidR="00CF7BA8" w:rsidRPr="002F0B76" w:rsidRDefault="00CF7BA8" w:rsidP="00CF7BA8">
      <w:pPr>
        <w:rPr>
          <w:color w:val="000000" w:themeColor="text1"/>
          <w:u w:val="single"/>
        </w:rPr>
      </w:pPr>
      <w:r w:rsidRPr="002F0B76">
        <w:rPr>
          <w:color w:val="000000" w:themeColor="text1"/>
          <w:u w:val="single"/>
        </w:rPr>
        <w:t>Proposal to remove all bands in Category 4</w:t>
      </w:r>
    </w:p>
    <w:p w:rsidR="00CF7BA8" w:rsidRDefault="00CF7BA8" w:rsidP="00CF7BA8">
      <w:pPr>
        <w:rPr>
          <w:color w:val="000000" w:themeColor="text1"/>
        </w:rPr>
      </w:pPr>
    </w:p>
    <w:p w:rsidR="00CF7BA8" w:rsidRDefault="00CF7BA8" w:rsidP="00CF7BA8">
      <w:pPr>
        <w:rPr>
          <w:color w:val="000000" w:themeColor="text1"/>
        </w:rPr>
      </w:pPr>
      <w:r>
        <w:rPr>
          <w:color w:val="000000" w:themeColor="text1"/>
        </w:rPr>
        <w:t>The contribution from Deutsche Telekom and Alcatel-Lucent (FM48(11)030rev1) also proposed changes with regard to the candidate bands in Category 4. The aim was to reduce the number of candidate bands. WG FM had supported the categorisation of candidate bands during its latest meeting in May 2011 but had tasked FM PT 48 to consider the reduction of the number of the bands.</w:t>
      </w:r>
    </w:p>
    <w:p w:rsidR="00CF7BA8" w:rsidRDefault="00CF7BA8" w:rsidP="00CF7BA8">
      <w:pPr>
        <w:rPr>
          <w:color w:val="000000" w:themeColor="text1"/>
        </w:rPr>
      </w:pPr>
    </w:p>
    <w:p w:rsidR="00CF7BA8" w:rsidRDefault="00CF7BA8" w:rsidP="00CF7BA8">
      <w:pPr>
        <w:rPr>
          <w:color w:val="000000" w:themeColor="text1"/>
        </w:rPr>
      </w:pPr>
      <w:r>
        <w:rPr>
          <w:color w:val="000000" w:themeColor="text1"/>
        </w:rPr>
        <w:t>The meeting agreed that bands can be removed from the table if this is based on unanimity within the participants of the meeting. One administration objected the removal of the band 2300-2400 MHz, therefore this band is still listed under Category 4. All other bands were deleted.</w:t>
      </w:r>
      <w:r w:rsidR="009D34BA">
        <w:rPr>
          <w:color w:val="000000" w:themeColor="text1"/>
        </w:rPr>
        <w:t xml:space="preserve"> This is also in line with the proposals from Ukraine (FM48(11)021) on the bands in Category 4.</w:t>
      </w:r>
    </w:p>
    <w:p w:rsidR="00CF7BA8" w:rsidRDefault="00CF7BA8" w:rsidP="00CF7BA8">
      <w:pPr>
        <w:rPr>
          <w:color w:val="000000" w:themeColor="text1"/>
        </w:rPr>
      </w:pPr>
    </w:p>
    <w:p w:rsidR="00C6250F" w:rsidRDefault="00C6250F" w:rsidP="005F40B3">
      <w:pPr>
        <w:rPr>
          <w:color w:val="000000" w:themeColor="text1"/>
        </w:rPr>
      </w:pPr>
    </w:p>
    <w:p w:rsidR="00413D1C" w:rsidRDefault="00413D1C" w:rsidP="005F40B3">
      <w:pPr>
        <w:rPr>
          <w:color w:val="000000" w:themeColor="text1"/>
        </w:rPr>
      </w:pPr>
    </w:p>
    <w:p w:rsidR="00413D1C" w:rsidRPr="00BB7661" w:rsidRDefault="00413D1C" w:rsidP="00413D1C">
      <w:pPr>
        <w:pBdr>
          <w:top w:val="single" w:sz="4" w:space="1" w:color="auto"/>
          <w:left w:val="single" w:sz="4" w:space="4" w:color="auto"/>
          <w:bottom w:val="single" w:sz="4" w:space="1" w:color="auto"/>
          <w:right w:val="single" w:sz="4" w:space="4" w:color="auto"/>
        </w:pBdr>
        <w:ind w:left="708"/>
        <w:rPr>
          <w:color w:val="000000" w:themeColor="text1"/>
        </w:rPr>
      </w:pPr>
      <w:r w:rsidRPr="005F40B3">
        <w:rPr>
          <w:b/>
          <w:color w:val="000000" w:themeColor="text1"/>
        </w:rPr>
        <w:lastRenderedPageBreak/>
        <w:t>WG FM is invited</w:t>
      </w:r>
      <w:r>
        <w:rPr>
          <w:b/>
          <w:color w:val="000000" w:themeColor="text1"/>
        </w:rPr>
        <w:t>:</w:t>
      </w:r>
      <w:r>
        <w:rPr>
          <w:b/>
          <w:color w:val="000000" w:themeColor="text1"/>
        </w:rPr>
        <w:br/>
      </w:r>
      <w:r>
        <w:rPr>
          <w:b/>
          <w:color w:val="000000" w:themeColor="text1"/>
        </w:rPr>
        <w:br/>
      </w:r>
      <w:r w:rsidRPr="005F40B3">
        <w:rPr>
          <w:b/>
          <w:color w:val="000000" w:themeColor="text1"/>
        </w:rPr>
        <w:t xml:space="preserve">To </w:t>
      </w:r>
      <w:r>
        <w:rPr>
          <w:b/>
          <w:color w:val="000000" w:themeColor="text1"/>
        </w:rPr>
        <w:t>support the amendments in the list of candidate bands according to Annex 6 (deletion of bands, deletion of the column “Likely opportunity cost” which do</w:t>
      </w:r>
      <w:r w:rsidR="002F0B76">
        <w:rPr>
          <w:b/>
          <w:color w:val="000000" w:themeColor="text1"/>
        </w:rPr>
        <w:t>es not provide any information)</w:t>
      </w:r>
      <w:r w:rsidR="002F0B76">
        <w:rPr>
          <w:b/>
          <w:color w:val="000000" w:themeColor="text1"/>
        </w:rPr>
        <w:br/>
      </w:r>
      <w:r w:rsidR="00880D54">
        <w:rPr>
          <w:color w:val="000000" w:themeColor="text1"/>
        </w:rPr>
        <w:t>(background information is provided in sections 7, 8 and 9)</w:t>
      </w:r>
      <w:r>
        <w:rPr>
          <w:b/>
          <w:color w:val="000000" w:themeColor="text1"/>
        </w:rPr>
        <w:br/>
      </w:r>
    </w:p>
    <w:p w:rsidR="00C6250F" w:rsidRPr="005F40B3" w:rsidRDefault="00675E6E" w:rsidP="005F40B3">
      <w:pPr>
        <w:pStyle w:val="berschrift1"/>
        <w:rPr>
          <w:color w:val="000000" w:themeColor="text1"/>
          <w:sz w:val="24"/>
          <w:szCs w:val="24"/>
        </w:rPr>
      </w:pPr>
      <w:r>
        <w:rPr>
          <w:color w:val="000000" w:themeColor="text1"/>
          <w:sz w:val="24"/>
          <w:szCs w:val="24"/>
        </w:rPr>
        <w:t>10</w:t>
      </w:r>
      <w:r w:rsidR="00C6250F" w:rsidRPr="005F40B3">
        <w:rPr>
          <w:color w:val="000000" w:themeColor="text1"/>
          <w:sz w:val="24"/>
          <w:szCs w:val="24"/>
        </w:rPr>
        <w:t>)</w:t>
      </w:r>
      <w:r w:rsidR="00C6250F" w:rsidRPr="005F40B3">
        <w:rPr>
          <w:color w:val="000000" w:themeColor="text1"/>
          <w:sz w:val="24"/>
          <w:szCs w:val="24"/>
        </w:rPr>
        <w:tab/>
        <w:t>Any other business</w:t>
      </w:r>
    </w:p>
    <w:p w:rsidR="00C6250F" w:rsidRPr="005F40B3" w:rsidRDefault="00C6250F" w:rsidP="005F40B3">
      <w:pPr>
        <w:rPr>
          <w:color w:val="000000" w:themeColor="text1"/>
        </w:rPr>
      </w:pPr>
    </w:p>
    <w:p w:rsidR="00BE7D8E" w:rsidRPr="005F40B3" w:rsidRDefault="00BE7D8E" w:rsidP="005F40B3">
      <w:pPr>
        <w:rPr>
          <w:color w:val="000000" w:themeColor="text1"/>
        </w:rPr>
      </w:pPr>
      <w:r w:rsidRPr="005F40B3">
        <w:rPr>
          <w:color w:val="000000" w:themeColor="text1"/>
        </w:rPr>
        <w:t>There was no other business.</w:t>
      </w:r>
    </w:p>
    <w:p w:rsidR="00BE7D8E" w:rsidRPr="005F40B3" w:rsidRDefault="00CA00F7" w:rsidP="005F40B3">
      <w:pPr>
        <w:pStyle w:val="berschrift1"/>
        <w:rPr>
          <w:color w:val="000000" w:themeColor="text1"/>
          <w:sz w:val="24"/>
          <w:szCs w:val="24"/>
        </w:rPr>
      </w:pPr>
      <w:r>
        <w:rPr>
          <w:color w:val="000000" w:themeColor="text1"/>
          <w:sz w:val="24"/>
          <w:szCs w:val="24"/>
        </w:rPr>
        <w:t>11</w:t>
      </w:r>
      <w:r w:rsidR="00BE7D8E" w:rsidRPr="005F40B3">
        <w:rPr>
          <w:color w:val="000000" w:themeColor="text1"/>
          <w:sz w:val="24"/>
          <w:szCs w:val="24"/>
        </w:rPr>
        <w:t>)</w:t>
      </w:r>
      <w:r w:rsidR="00BE7D8E" w:rsidRPr="005F40B3">
        <w:rPr>
          <w:color w:val="000000" w:themeColor="text1"/>
          <w:sz w:val="24"/>
          <w:szCs w:val="24"/>
        </w:rPr>
        <w:tab/>
      </w:r>
      <w:r w:rsidR="00F94730" w:rsidRPr="005F40B3">
        <w:rPr>
          <w:color w:val="000000" w:themeColor="text1"/>
          <w:sz w:val="24"/>
          <w:szCs w:val="24"/>
        </w:rPr>
        <w:t>Future work and meetings of FM PT 48</w:t>
      </w:r>
    </w:p>
    <w:p w:rsidR="00C6250F" w:rsidRPr="005F40B3" w:rsidRDefault="00C6250F" w:rsidP="005F40B3">
      <w:pPr>
        <w:rPr>
          <w:color w:val="000000" w:themeColor="text1"/>
        </w:rPr>
      </w:pPr>
    </w:p>
    <w:p w:rsidR="00BE7D8E" w:rsidRDefault="00CA00F7" w:rsidP="005F40B3">
      <w:pPr>
        <w:rPr>
          <w:color w:val="000000" w:themeColor="text1"/>
        </w:rPr>
      </w:pPr>
      <w:r>
        <w:rPr>
          <w:color w:val="000000" w:themeColor="text1"/>
        </w:rPr>
        <w:t>The following meetings were preliminary scheduled:</w:t>
      </w:r>
    </w:p>
    <w:p w:rsidR="00CA00F7" w:rsidRDefault="00CA00F7" w:rsidP="005F40B3">
      <w:pPr>
        <w:rPr>
          <w:color w:val="000000" w:themeColor="text1"/>
        </w:rPr>
      </w:pPr>
      <w:r>
        <w:rPr>
          <w:color w:val="000000" w:themeColor="text1"/>
        </w:rPr>
        <w:t>4</w:t>
      </w:r>
      <w:r w:rsidRPr="00CA00F7">
        <w:rPr>
          <w:color w:val="000000" w:themeColor="text1"/>
          <w:vertAlign w:val="superscript"/>
        </w:rPr>
        <w:t>th</w:t>
      </w:r>
      <w:r>
        <w:rPr>
          <w:color w:val="000000" w:themeColor="text1"/>
        </w:rPr>
        <w:t xml:space="preserve"> FM PT 48 meeting from </w:t>
      </w:r>
      <w:r w:rsidR="00F22179">
        <w:rPr>
          <w:color w:val="000000" w:themeColor="text1"/>
        </w:rPr>
        <w:t>24 - 25 November 2011 (at ETSI, Sophia Antipolis / France);</w:t>
      </w:r>
    </w:p>
    <w:p w:rsidR="00F94730" w:rsidRPr="005F40B3" w:rsidRDefault="00F22179" w:rsidP="005F40B3">
      <w:pPr>
        <w:rPr>
          <w:color w:val="000000" w:themeColor="text1"/>
        </w:rPr>
      </w:pPr>
      <w:r>
        <w:rPr>
          <w:color w:val="000000" w:themeColor="text1"/>
        </w:rPr>
        <w:t>5</w:t>
      </w:r>
      <w:r w:rsidRPr="00F22179">
        <w:rPr>
          <w:color w:val="000000" w:themeColor="text1"/>
          <w:vertAlign w:val="superscript"/>
        </w:rPr>
        <w:t>th</w:t>
      </w:r>
      <w:r>
        <w:rPr>
          <w:color w:val="000000" w:themeColor="text1"/>
        </w:rPr>
        <w:t xml:space="preserve"> FM PT 48 meeting from 1 - 2 March 2012 (at ECO, Copenhagen / Denmark), following the </w:t>
      </w:r>
      <w:r w:rsidR="00542CF3">
        <w:rPr>
          <w:color w:val="000000" w:themeColor="text1"/>
        </w:rPr>
        <w:t xml:space="preserve">third </w:t>
      </w:r>
      <w:r>
        <w:rPr>
          <w:color w:val="000000" w:themeColor="text1"/>
        </w:rPr>
        <w:t>SE PT 44 meeting from 28 - 29 February 2012.</w:t>
      </w:r>
    </w:p>
    <w:p w:rsidR="00F94730" w:rsidRPr="005F40B3" w:rsidRDefault="00542CF3" w:rsidP="005F40B3">
      <w:pPr>
        <w:pStyle w:val="berschrift1"/>
        <w:rPr>
          <w:color w:val="000000" w:themeColor="text1"/>
          <w:sz w:val="24"/>
          <w:szCs w:val="24"/>
        </w:rPr>
      </w:pPr>
      <w:r>
        <w:rPr>
          <w:color w:val="000000" w:themeColor="text1"/>
          <w:sz w:val="24"/>
          <w:szCs w:val="24"/>
        </w:rPr>
        <w:t>12</w:t>
      </w:r>
      <w:r w:rsidR="00F94730" w:rsidRPr="005F40B3">
        <w:rPr>
          <w:color w:val="000000" w:themeColor="text1"/>
          <w:sz w:val="24"/>
          <w:szCs w:val="24"/>
        </w:rPr>
        <w:t>)</w:t>
      </w:r>
      <w:r w:rsidR="00F94730" w:rsidRPr="005F40B3">
        <w:rPr>
          <w:color w:val="000000" w:themeColor="text1"/>
          <w:sz w:val="24"/>
          <w:szCs w:val="24"/>
        </w:rPr>
        <w:tab/>
        <w:t>Report to the next WG FM meeting</w:t>
      </w:r>
    </w:p>
    <w:p w:rsidR="00F94730" w:rsidRPr="005F40B3" w:rsidRDefault="00F94730" w:rsidP="005F40B3">
      <w:pPr>
        <w:rPr>
          <w:color w:val="000000" w:themeColor="text1"/>
        </w:rPr>
      </w:pPr>
    </w:p>
    <w:p w:rsidR="007A4DE8" w:rsidRPr="005F40B3" w:rsidRDefault="00542CF3" w:rsidP="005F40B3">
      <w:pPr>
        <w:rPr>
          <w:color w:val="000000" w:themeColor="text1"/>
        </w:rPr>
      </w:pPr>
      <w:r>
        <w:rPr>
          <w:color w:val="000000" w:themeColor="text1"/>
        </w:rPr>
        <w:t>The Report will be provided to WG FM for its 73</w:t>
      </w:r>
      <w:r w:rsidRPr="00542CF3">
        <w:rPr>
          <w:color w:val="000000" w:themeColor="text1"/>
          <w:vertAlign w:val="superscript"/>
        </w:rPr>
        <w:t>rd</w:t>
      </w:r>
      <w:r>
        <w:rPr>
          <w:color w:val="000000" w:themeColor="text1"/>
        </w:rPr>
        <w:t xml:space="preserve"> meeting from 17-21 October 2011.</w:t>
      </w:r>
    </w:p>
    <w:p w:rsidR="00F94730" w:rsidRPr="005F40B3" w:rsidRDefault="00542CF3" w:rsidP="005F40B3">
      <w:pPr>
        <w:pStyle w:val="berschrift1"/>
        <w:rPr>
          <w:color w:val="000000" w:themeColor="text1"/>
          <w:sz w:val="24"/>
          <w:szCs w:val="24"/>
        </w:rPr>
      </w:pPr>
      <w:r>
        <w:rPr>
          <w:color w:val="000000" w:themeColor="text1"/>
          <w:sz w:val="24"/>
          <w:szCs w:val="24"/>
        </w:rPr>
        <w:t>13</w:t>
      </w:r>
      <w:r w:rsidR="00F94730" w:rsidRPr="005F40B3">
        <w:rPr>
          <w:color w:val="000000" w:themeColor="text1"/>
          <w:sz w:val="24"/>
          <w:szCs w:val="24"/>
        </w:rPr>
        <w:t>)</w:t>
      </w:r>
      <w:r w:rsidR="00F94730" w:rsidRPr="005F40B3">
        <w:rPr>
          <w:color w:val="000000" w:themeColor="text1"/>
          <w:sz w:val="24"/>
          <w:szCs w:val="24"/>
        </w:rPr>
        <w:tab/>
        <w:t>Closure of the meeting</w:t>
      </w:r>
    </w:p>
    <w:p w:rsidR="00F94730" w:rsidRPr="005F40B3" w:rsidRDefault="00F94730" w:rsidP="005F40B3">
      <w:pPr>
        <w:rPr>
          <w:color w:val="000000" w:themeColor="text1"/>
        </w:rPr>
      </w:pPr>
    </w:p>
    <w:p w:rsidR="007A4DE8" w:rsidRPr="005F40B3" w:rsidRDefault="00DE3085" w:rsidP="005F40B3">
      <w:pPr>
        <w:rPr>
          <w:color w:val="000000" w:themeColor="text1"/>
        </w:rPr>
      </w:pPr>
      <w:r w:rsidRPr="005F40B3">
        <w:rPr>
          <w:rFonts w:eastAsia="Arial" w:cs="Times New Roman"/>
          <w:color w:val="000000" w:themeColor="text1"/>
        </w:rPr>
        <w:t xml:space="preserve">The Chairman thanked </w:t>
      </w:r>
      <w:r w:rsidR="00542CF3">
        <w:rPr>
          <w:rFonts w:eastAsia="Arial" w:cs="Times New Roman"/>
          <w:color w:val="000000" w:themeColor="text1"/>
        </w:rPr>
        <w:t>Mr Pellay (ANFR) for the</w:t>
      </w:r>
      <w:r w:rsidRPr="005F40B3">
        <w:rPr>
          <w:rFonts w:eastAsia="Arial" w:cs="Times New Roman"/>
          <w:color w:val="000000" w:themeColor="text1"/>
        </w:rPr>
        <w:t xml:space="preserve"> hospitality </w:t>
      </w:r>
      <w:r w:rsidR="00542CF3">
        <w:rPr>
          <w:rFonts w:eastAsia="Arial" w:cs="Times New Roman"/>
          <w:color w:val="000000" w:themeColor="text1"/>
        </w:rPr>
        <w:t xml:space="preserve">and for the invitation to the ANFR </w:t>
      </w:r>
      <w:r w:rsidRPr="005F40B3">
        <w:rPr>
          <w:rFonts w:eastAsia="Arial" w:cs="Times New Roman"/>
          <w:color w:val="000000" w:themeColor="text1"/>
        </w:rPr>
        <w:t xml:space="preserve">and </w:t>
      </w:r>
      <w:r w:rsidR="00542CF3">
        <w:rPr>
          <w:rFonts w:eastAsia="Arial" w:cs="Times New Roman"/>
          <w:color w:val="000000" w:themeColor="text1"/>
        </w:rPr>
        <w:t xml:space="preserve">Mr Weber </w:t>
      </w:r>
      <w:r w:rsidRPr="005F40B3">
        <w:rPr>
          <w:rFonts w:eastAsia="Arial" w:cs="Times New Roman"/>
          <w:color w:val="000000" w:themeColor="text1"/>
        </w:rPr>
        <w:t xml:space="preserve">for the </w:t>
      </w:r>
      <w:r w:rsidR="00960D07">
        <w:rPr>
          <w:rFonts w:eastAsia="Arial" w:cs="Times New Roman"/>
          <w:color w:val="000000" w:themeColor="text1"/>
        </w:rPr>
        <w:t xml:space="preserve">ECO </w:t>
      </w:r>
      <w:r w:rsidRPr="005F40B3">
        <w:rPr>
          <w:rFonts w:eastAsia="Arial" w:cs="Times New Roman"/>
          <w:color w:val="000000" w:themeColor="text1"/>
        </w:rPr>
        <w:t>support</w:t>
      </w:r>
      <w:r w:rsidRPr="005F40B3">
        <w:rPr>
          <w:color w:val="000000" w:themeColor="text1"/>
        </w:rPr>
        <w:t xml:space="preserve">. </w:t>
      </w:r>
      <w:r w:rsidRPr="005F40B3">
        <w:rPr>
          <w:rFonts w:eastAsia="Arial" w:cs="Times New Roman"/>
          <w:color w:val="000000" w:themeColor="text1"/>
        </w:rPr>
        <w:t xml:space="preserve">He also thanked </w:t>
      </w:r>
      <w:r w:rsidR="00960D07">
        <w:rPr>
          <w:color w:val="000000" w:themeColor="text1"/>
        </w:rPr>
        <w:t>all</w:t>
      </w:r>
      <w:bookmarkStart w:id="0" w:name="_GoBack"/>
      <w:bookmarkEnd w:id="0"/>
      <w:r w:rsidRPr="005F40B3">
        <w:rPr>
          <w:color w:val="000000" w:themeColor="text1"/>
        </w:rPr>
        <w:t xml:space="preserve"> participants for their </w:t>
      </w:r>
      <w:r w:rsidRPr="005F40B3">
        <w:rPr>
          <w:rFonts w:eastAsia="Arial" w:cs="Times New Roman"/>
          <w:color w:val="000000" w:themeColor="text1"/>
        </w:rPr>
        <w:t>work and cooperation during the meeting.</w:t>
      </w:r>
    </w:p>
    <w:p w:rsidR="007A4DE8" w:rsidRPr="00542CF3" w:rsidRDefault="007A4DE8" w:rsidP="005F40B3">
      <w:pPr>
        <w:pStyle w:val="berschrift1"/>
        <w:rPr>
          <w:color w:val="000000" w:themeColor="text1"/>
          <w:sz w:val="24"/>
          <w:szCs w:val="24"/>
        </w:rPr>
      </w:pPr>
      <w:r w:rsidRPr="00542CF3">
        <w:rPr>
          <w:color w:val="000000" w:themeColor="text1"/>
          <w:sz w:val="24"/>
          <w:szCs w:val="24"/>
        </w:rPr>
        <w:t>Annexes:</w:t>
      </w:r>
    </w:p>
    <w:p w:rsidR="007A4DE8" w:rsidRPr="00542CF3" w:rsidRDefault="007A4DE8" w:rsidP="005F40B3">
      <w:pPr>
        <w:rPr>
          <w:color w:val="000000" w:themeColor="text1"/>
        </w:rPr>
      </w:pPr>
    </w:p>
    <w:p w:rsidR="007A4DE8" w:rsidRPr="00542CF3" w:rsidRDefault="007A4DE8" w:rsidP="005F40B3">
      <w:pPr>
        <w:rPr>
          <w:color w:val="000000" w:themeColor="text1"/>
        </w:rPr>
      </w:pPr>
      <w:r w:rsidRPr="00542CF3">
        <w:rPr>
          <w:color w:val="000000" w:themeColor="text1"/>
        </w:rPr>
        <w:t xml:space="preserve">Annex 2: </w:t>
      </w:r>
      <w:r w:rsidR="00DE3085" w:rsidRPr="00542CF3">
        <w:rPr>
          <w:color w:val="000000" w:themeColor="text1"/>
        </w:rPr>
        <w:t>List of participants</w:t>
      </w:r>
    </w:p>
    <w:p w:rsidR="007A4DE8" w:rsidRPr="00542CF3" w:rsidRDefault="00F94730" w:rsidP="005F40B3">
      <w:pPr>
        <w:rPr>
          <w:color w:val="000000" w:themeColor="text1"/>
        </w:rPr>
      </w:pPr>
      <w:r w:rsidRPr="00542CF3">
        <w:rPr>
          <w:color w:val="000000" w:themeColor="text1"/>
        </w:rPr>
        <w:t>Annex 3: Final Agenda</w:t>
      </w:r>
    </w:p>
    <w:p w:rsidR="00F94730" w:rsidRPr="00542CF3" w:rsidRDefault="00F94730" w:rsidP="005F40B3">
      <w:pPr>
        <w:rPr>
          <w:color w:val="000000" w:themeColor="text1"/>
        </w:rPr>
      </w:pPr>
      <w:r w:rsidRPr="00542CF3">
        <w:rPr>
          <w:color w:val="000000" w:themeColor="text1"/>
        </w:rPr>
        <w:t>Annex 4: LS to SE</w:t>
      </w:r>
      <w:r w:rsidR="004B2D72" w:rsidRPr="00542CF3">
        <w:rPr>
          <w:color w:val="000000" w:themeColor="text1"/>
        </w:rPr>
        <w:t xml:space="preserve"> PT 44</w:t>
      </w:r>
    </w:p>
    <w:p w:rsidR="00F94730" w:rsidRPr="00542CF3" w:rsidRDefault="00F94730" w:rsidP="005F40B3">
      <w:pPr>
        <w:rPr>
          <w:color w:val="000000" w:themeColor="text1"/>
        </w:rPr>
      </w:pPr>
      <w:r w:rsidRPr="00542CF3">
        <w:rPr>
          <w:color w:val="000000" w:themeColor="text1"/>
        </w:rPr>
        <w:t xml:space="preserve">Annex 5: </w:t>
      </w:r>
      <w:r w:rsidR="004B2D72" w:rsidRPr="00542CF3">
        <w:rPr>
          <w:color w:val="000000" w:themeColor="text1"/>
        </w:rPr>
        <w:t>Draft LS to ETSI TC ERM (proposal)</w:t>
      </w:r>
    </w:p>
    <w:p w:rsidR="004B2D72" w:rsidRPr="00542CF3" w:rsidRDefault="004B2D72" w:rsidP="005F40B3">
      <w:pPr>
        <w:rPr>
          <w:color w:val="000000" w:themeColor="text1"/>
        </w:rPr>
      </w:pPr>
      <w:r w:rsidRPr="00542CF3">
        <w:rPr>
          <w:color w:val="000000" w:themeColor="text1"/>
        </w:rPr>
        <w:t>Annex 6: Revised list of candidate bands for Broadband DA2GC</w:t>
      </w:r>
    </w:p>
    <w:p w:rsidR="00F2629D" w:rsidRPr="005F40B3" w:rsidRDefault="00F2629D" w:rsidP="005F40B3">
      <w:pPr>
        <w:rPr>
          <w:color w:val="000000" w:themeColor="text1"/>
        </w:rPr>
      </w:pPr>
      <w:r w:rsidRPr="00542CF3">
        <w:rPr>
          <w:color w:val="000000" w:themeColor="text1"/>
        </w:rPr>
        <w:t>Annex 7: Elements for a new ECC Report on Broadband DA2GC</w:t>
      </w:r>
    </w:p>
    <w:p w:rsidR="00F94730" w:rsidRPr="004F7908" w:rsidRDefault="00F94730" w:rsidP="005F40B3"/>
    <w:sectPr w:rsidR="00F94730" w:rsidRPr="004F7908" w:rsidSect="006B2A72">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07" w:rsidRDefault="00C61B07" w:rsidP="00355231">
      <w:r>
        <w:separator/>
      </w:r>
    </w:p>
  </w:endnote>
  <w:endnote w:type="continuationSeparator" w:id="0">
    <w:p w:rsidR="00C61B07" w:rsidRDefault="00C61B07" w:rsidP="003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7628"/>
      <w:docPartObj>
        <w:docPartGallery w:val="Page Numbers (Bottom of Page)"/>
        <w:docPartUnique/>
      </w:docPartObj>
    </w:sdtPr>
    <w:sdtEndPr/>
    <w:sdtContent>
      <w:p w:rsidR="00471FDB" w:rsidRDefault="00471FDB">
        <w:pPr>
          <w:pStyle w:val="Fuzeile"/>
          <w:jc w:val="center"/>
        </w:pPr>
        <w:r>
          <w:fldChar w:fldCharType="begin"/>
        </w:r>
        <w:r>
          <w:instrText>PAGE   \* MERGEFORMAT</w:instrText>
        </w:r>
        <w:r>
          <w:fldChar w:fldCharType="separate"/>
        </w:r>
        <w:r w:rsidR="00C61B07" w:rsidRPr="00C61B07">
          <w:rPr>
            <w:noProof/>
            <w:lang w:val="de-DE"/>
          </w:rPr>
          <w:t>1</w:t>
        </w:r>
        <w:r>
          <w:fldChar w:fldCharType="end"/>
        </w:r>
      </w:p>
    </w:sdtContent>
  </w:sdt>
  <w:p w:rsidR="00471FDB" w:rsidRDefault="00471F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07" w:rsidRDefault="00C61B07" w:rsidP="00355231">
      <w:r>
        <w:separator/>
      </w:r>
    </w:p>
  </w:footnote>
  <w:footnote w:type="continuationSeparator" w:id="0">
    <w:p w:rsidR="00C61B07" w:rsidRDefault="00C61B07" w:rsidP="00355231">
      <w:r>
        <w:continuationSeparator/>
      </w:r>
    </w:p>
  </w:footnote>
  <w:footnote w:id="1">
    <w:p w:rsidR="00355231" w:rsidRPr="00355231" w:rsidRDefault="00355231">
      <w:pPr>
        <w:pStyle w:val="Funotentext"/>
        <w:rPr>
          <w:color w:val="000000" w:themeColor="text1"/>
        </w:rPr>
      </w:pPr>
      <w:r w:rsidRPr="00355231">
        <w:rPr>
          <w:rStyle w:val="Funotenzeichen"/>
          <w:color w:val="000000" w:themeColor="text1"/>
        </w:rPr>
        <w:footnoteRef/>
      </w:r>
      <w:r w:rsidRPr="00355231">
        <w:rPr>
          <w:color w:val="000000" w:themeColor="text1"/>
        </w:rPr>
        <w:t xml:space="preserve"> </w:t>
      </w:r>
      <w:r w:rsidR="00A37095">
        <w:rPr>
          <w:color w:val="000000" w:themeColor="text1"/>
        </w:rPr>
        <w:t>Project Team</w:t>
      </w:r>
      <w:r w:rsidRPr="00355231">
        <w:rPr>
          <w:color w:val="000000" w:themeColor="text1"/>
        </w:rPr>
        <w:t xml:space="preserve"> 48 </w:t>
      </w:r>
      <w:r w:rsidR="00A37095">
        <w:rPr>
          <w:color w:val="000000" w:themeColor="text1"/>
        </w:rPr>
        <w:t xml:space="preserve">of CEPT/ECC Working Group FM (Frequency Management) </w:t>
      </w:r>
      <w:r w:rsidRPr="00355231">
        <w:rPr>
          <w:color w:val="000000" w:themeColor="text1"/>
        </w:rPr>
        <w:t>works on spectrum issues concerning Broadband Direct-Air-to-Ground Communications (DA2GC). The Terms of Reference are provided in document FM48(10)001</w:t>
      </w:r>
      <w:r>
        <w:rPr>
          <w:color w:val="000000" w:themeColor="text1"/>
        </w:rPr>
        <w:t xml:space="preserve"> (input to the first meeting in November 2010)</w:t>
      </w:r>
      <w:r w:rsidRPr="00355231">
        <w:rPr>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F72"/>
    <w:multiLevelType w:val="hybridMultilevel"/>
    <w:tmpl w:val="D24C51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24370578"/>
    <w:multiLevelType w:val="hybridMultilevel"/>
    <w:tmpl w:val="1090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FC"/>
    <w:rsid w:val="00001B06"/>
    <w:rsid w:val="00007D1A"/>
    <w:rsid w:val="00017451"/>
    <w:rsid w:val="0003201A"/>
    <w:rsid w:val="00054261"/>
    <w:rsid w:val="00057AD8"/>
    <w:rsid w:val="00065B79"/>
    <w:rsid w:val="00086C01"/>
    <w:rsid w:val="000A01E7"/>
    <w:rsid w:val="000B54B8"/>
    <w:rsid w:val="000C4BD5"/>
    <w:rsid w:val="000D60D3"/>
    <w:rsid w:val="00135B74"/>
    <w:rsid w:val="0013635F"/>
    <w:rsid w:val="00146B35"/>
    <w:rsid w:val="00147DAF"/>
    <w:rsid w:val="00153476"/>
    <w:rsid w:val="00165AD2"/>
    <w:rsid w:val="00175210"/>
    <w:rsid w:val="001979FE"/>
    <w:rsid w:val="001B1B99"/>
    <w:rsid w:val="001E3E00"/>
    <w:rsid w:val="001F4EE2"/>
    <w:rsid w:val="002005FE"/>
    <w:rsid w:val="002129B5"/>
    <w:rsid w:val="00224692"/>
    <w:rsid w:val="002656CE"/>
    <w:rsid w:val="00267F51"/>
    <w:rsid w:val="00273598"/>
    <w:rsid w:val="002832A2"/>
    <w:rsid w:val="002D48FC"/>
    <w:rsid w:val="002F0B76"/>
    <w:rsid w:val="002F3F63"/>
    <w:rsid w:val="00306570"/>
    <w:rsid w:val="0033566B"/>
    <w:rsid w:val="00355231"/>
    <w:rsid w:val="00367CF1"/>
    <w:rsid w:val="00374D0C"/>
    <w:rsid w:val="003900FC"/>
    <w:rsid w:val="003C5177"/>
    <w:rsid w:val="003D45F7"/>
    <w:rsid w:val="003E4285"/>
    <w:rsid w:val="003E556A"/>
    <w:rsid w:val="00413D1C"/>
    <w:rsid w:val="00467DB5"/>
    <w:rsid w:val="00471FDB"/>
    <w:rsid w:val="004748B6"/>
    <w:rsid w:val="00491058"/>
    <w:rsid w:val="004B2D72"/>
    <w:rsid w:val="004B5575"/>
    <w:rsid w:val="004C2B36"/>
    <w:rsid w:val="004D496C"/>
    <w:rsid w:val="004F1BC8"/>
    <w:rsid w:val="004F7908"/>
    <w:rsid w:val="00502156"/>
    <w:rsid w:val="005117E4"/>
    <w:rsid w:val="00542CF3"/>
    <w:rsid w:val="0056296C"/>
    <w:rsid w:val="005758C5"/>
    <w:rsid w:val="00581F67"/>
    <w:rsid w:val="00593B04"/>
    <w:rsid w:val="005B1F8C"/>
    <w:rsid w:val="005C32D2"/>
    <w:rsid w:val="005F40B3"/>
    <w:rsid w:val="005F7607"/>
    <w:rsid w:val="00613005"/>
    <w:rsid w:val="006455F9"/>
    <w:rsid w:val="00675E6E"/>
    <w:rsid w:val="0067781B"/>
    <w:rsid w:val="006A70E4"/>
    <w:rsid w:val="006B2A72"/>
    <w:rsid w:val="006C4F06"/>
    <w:rsid w:val="006D3E52"/>
    <w:rsid w:val="006D48BD"/>
    <w:rsid w:val="00707B18"/>
    <w:rsid w:val="007416E7"/>
    <w:rsid w:val="00746DF9"/>
    <w:rsid w:val="00794D3E"/>
    <w:rsid w:val="007A4DE8"/>
    <w:rsid w:val="007C1E1A"/>
    <w:rsid w:val="007C5A0F"/>
    <w:rsid w:val="007E684B"/>
    <w:rsid w:val="007F5A4B"/>
    <w:rsid w:val="008072A0"/>
    <w:rsid w:val="00825FEF"/>
    <w:rsid w:val="00833BAB"/>
    <w:rsid w:val="00865ED0"/>
    <w:rsid w:val="00874D71"/>
    <w:rsid w:val="00880D54"/>
    <w:rsid w:val="00880FFE"/>
    <w:rsid w:val="008B2CC4"/>
    <w:rsid w:val="008F7DAD"/>
    <w:rsid w:val="00901EB2"/>
    <w:rsid w:val="009145E3"/>
    <w:rsid w:val="00925056"/>
    <w:rsid w:val="00952926"/>
    <w:rsid w:val="00960D07"/>
    <w:rsid w:val="0097071C"/>
    <w:rsid w:val="00990F0D"/>
    <w:rsid w:val="009B00ED"/>
    <w:rsid w:val="009B70BD"/>
    <w:rsid w:val="009B7D5F"/>
    <w:rsid w:val="009D34BA"/>
    <w:rsid w:val="009F202E"/>
    <w:rsid w:val="00A03611"/>
    <w:rsid w:val="00A37095"/>
    <w:rsid w:val="00A37F1A"/>
    <w:rsid w:val="00A51E8A"/>
    <w:rsid w:val="00A70C4D"/>
    <w:rsid w:val="00A737BE"/>
    <w:rsid w:val="00A744A0"/>
    <w:rsid w:val="00AA179E"/>
    <w:rsid w:val="00AD2D91"/>
    <w:rsid w:val="00AD5DC5"/>
    <w:rsid w:val="00AE0B04"/>
    <w:rsid w:val="00AF2BAA"/>
    <w:rsid w:val="00B0229D"/>
    <w:rsid w:val="00B44295"/>
    <w:rsid w:val="00B45A49"/>
    <w:rsid w:val="00B5787B"/>
    <w:rsid w:val="00B941DD"/>
    <w:rsid w:val="00BB0922"/>
    <w:rsid w:val="00BB6828"/>
    <w:rsid w:val="00BB7661"/>
    <w:rsid w:val="00BD15B6"/>
    <w:rsid w:val="00BE4E25"/>
    <w:rsid w:val="00BE7D8E"/>
    <w:rsid w:val="00BF0F41"/>
    <w:rsid w:val="00C34EC0"/>
    <w:rsid w:val="00C61B07"/>
    <w:rsid w:val="00C6250F"/>
    <w:rsid w:val="00C82A35"/>
    <w:rsid w:val="00CA00F7"/>
    <w:rsid w:val="00CD2D45"/>
    <w:rsid w:val="00CF7BA8"/>
    <w:rsid w:val="00D147A1"/>
    <w:rsid w:val="00D832F6"/>
    <w:rsid w:val="00D90EE3"/>
    <w:rsid w:val="00D95DD5"/>
    <w:rsid w:val="00DC1244"/>
    <w:rsid w:val="00DD6D46"/>
    <w:rsid w:val="00DE3085"/>
    <w:rsid w:val="00DF5BB5"/>
    <w:rsid w:val="00E12A4B"/>
    <w:rsid w:val="00F10AC2"/>
    <w:rsid w:val="00F22179"/>
    <w:rsid w:val="00F2629D"/>
    <w:rsid w:val="00F448A5"/>
    <w:rsid w:val="00F87525"/>
    <w:rsid w:val="00F94730"/>
    <w:rsid w:val="00FE3B05"/>
    <w:rsid w:val="00FF3D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iPriority w:val="99"/>
    <w:unhideWhenUsed/>
    <w:rsid w:val="00825F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iPriority w:val="99"/>
    <w:unhideWhenUsed/>
    <w:rsid w:val="00825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7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07:043:0032:0034:EN:PDF" TargetMode="External"/><Relationship Id="rId5" Type="http://schemas.openxmlformats.org/officeDocument/2006/relationships/settings" Target="settings.xml"/><Relationship Id="rId10" Type="http://schemas.openxmlformats.org/officeDocument/2006/relationships/hyperlink" Target="http://www.cept.org/" TargetMode="External"/><Relationship Id="rId4" Type="http://schemas.microsoft.com/office/2007/relationships/stylesWithEffects" Target="stylesWithEffects.xml"/><Relationship Id="rId9" Type="http://schemas.openxmlformats.org/officeDocument/2006/relationships/hyperlink" Target="http://www.cept.org/ecc/groups/ecc/wg-fm/fm-48/client/meeting-docum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Vorlagen\Amtliche%20Vorlagen\WGFM\Minutes-for-the-FM48-Meetin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CD19-D093-43DB-8EBD-A4251DC9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Minutes-for-the-FM48-Meeting.dotx</Template>
  <TotalTime>0</TotalTime>
  <Pages>10</Pages>
  <Words>4299</Words>
  <Characters>24507</Characters>
  <Application>Microsoft Office Word</Application>
  <DocSecurity>0</DocSecurity>
  <Lines>204</Lines>
  <Paragraphs>57</Paragraphs>
  <ScaleCrop>false</ScaleCrop>
  <HeadingPairs>
    <vt:vector size="4" baseType="variant">
      <vt:variant>
        <vt:lpstr>Titel</vt:lpstr>
      </vt:variant>
      <vt:variant>
        <vt:i4>1</vt:i4>
      </vt:variant>
      <vt:variant>
        <vt:lpstr>Überschriften</vt:lpstr>
      </vt:variant>
      <vt:variant>
        <vt:i4>22</vt:i4>
      </vt:variant>
    </vt:vector>
  </HeadingPairs>
  <TitlesOfParts>
    <vt:vector size="23" baseType="lpstr">
      <vt:lpstr>Minutes for the Meeting</vt:lpstr>
      <vt:lpstr>1)	Opening of the meeting</vt:lpstr>
      <vt:lpstr>2)	Adoption of the Agenda and attribution of documents</vt:lpstr>
      <vt:lpstr>3)	New web site of CEPT</vt:lpstr>
      <vt:lpstr>4)	Minutes of / Info from previous meetings</vt:lpstr>
      <vt:lpstr>4.1)	Final Minutes of latest FM PT 48 meeting</vt:lpstr>
      <vt:lpstr>4.2)	LS from WG SE on the creation of SE PT 44</vt:lpstr>
      <vt:lpstr>4.3)	Final Minutes of latest WG FM meeting (extract)</vt:lpstr>
      <vt:lpstr>4.4)	Final Minutes of latest ECC meeting (extract)</vt:lpstr>
      <vt:lpstr>4.5)	ECC/FCC/IC meeting</vt:lpstr>
      <vt:lpstr>5)	System design, spectrum requirements, impact of antenna selection</vt:lpstr>
      <vt:lpstr>6)	Frequency bands according Category 1</vt:lpstr>
      <vt:lpstr>6.1)	Bands 2400-2483.5 MHz and 5855-5875 MHz</vt:lpstr>
      <vt:lpstr>6.2)	Bands 1670-1675 MHz / 1800-1805 MHz</vt:lpstr>
      <vt:lpstr>6.3)	Band 3400-3600 MHz</vt:lpstr>
      <vt:lpstr>7)	Frequency bands according Category 2</vt:lpstr>
      <vt:lpstr>8)	Frequency bands according Category 3</vt:lpstr>
      <vt:lpstr>9)	Frequency bands according Category 4</vt:lpstr>
      <vt:lpstr>10)	Any other business</vt:lpstr>
      <vt:lpstr>11)	Future work and meetings of FM PT 48</vt:lpstr>
      <vt:lpstr>12)	Report to the next WG FM meeting</vt:lpstr>
      <vt:lpstr>13)	Closure of the meeting</vt:lpstr>
      <vt:lpstr>Annexes:</vt:lpstr>
    </vt:vector>
  </TitlesOfParts>
  <Company>FM PT 48</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Meeting</dc:title>
  <dc:subject>Broadband DA2GC</dc:subject>
  <dc:creator>Thomas Weilacher</dc:creator>
  <dc:description>3rd meeting, 13-14 September 2011, Maisons-Alfort/France</dc:description>
  <cp:lastModifiedBy>Thomas Weilacher</cp:lastModifiedBy>
  <cp:revision>63</cp:revision>
  <cp:lastPrinted>2011-09-28T16:54:00Z</cp:lastPrinted>
  <dcterms:created xsi:type="dcterms:W3CDTF">2011-09-23T09:52:00Z</dcterms:created>
  <dcterms:modified xsi:type="dcterms:W3CDTF">2011-09-28T16:54:00Z</dcterms:modified>
  <cp:contentStatus>Draft 1</cp:contentStatus>
</cp:coreProperties>
</file>