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W w:w="9640" w:type="dxa"/>
        <w:tblInd w:w="-72" w:type="dxa"/>
        <w:tblLayout w:type="fixed"/>
        <w:tblCellMar>
          <w:left w:w="70" w:type="dxa"/>
          <w:right w:w="70" w:type="dxa"/>
        </w:tblCellMar>
        <w:tblLook w:val="0000" w:firstRow="0" w:lastRow="0" w:firstColumn="0" w:lastColumn="0" w:noHBand="0" w:noVBand="0"/>
      </w:tblPr>
      <w:tblGrid>
        <w:gridCol w:w="1843"/>
        <w:gridCol w:w="2497"/>
        <w:gridCol w:w="1731"/>
        <w:gridCol w:w="3569"/>
      </w:tblGrid>
      <w:tr w:rsidR="00174475" w:rsidRPr="00704A2A">
        <w:trPr>
          <w:cantSplit/>
        </w:trPr>
        <w:tc>
          <w:tcPr>
            <w:tcW w:w="6071" w:type="dxa"/>
            <w:gridSpan w:val="3"/>
            <w:tcBorders>
              <w:top w:val="nil"/>
              <w:left w:val="nil"/>
              <w:bottom w:val="nil"/>
              <w:right w:val="nil"/>
            </w:tcBorders>
          </w:tcPr>
          <w:p w:rsidR="00174475" w:rsidRPr="00704A2A" w:rsidRDefault="00B048A7" w:rsidP="00215746">
            <w:pPr>
              <w:pStyle w:val="Kopfzeile1"/>
              <w:rPr>
                <w:b/>
                <w:sz w:val="22"/>
                <w:lang w:val="en-GB" w:eastAsia="de-DE"/>
              </w:rPr>
            </w:pPr>
            <w:r>
              <w:rPr>
                <w:b/>
                <w:sz w:val="22"/>
                <w:lang w:val="en-GB"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i1025" type="#_x0000_t75" style="width:125.2pt;height:62.85pt;visibility:visible">
                  <v:imagedata r:id="rId8" o:title=""/>
                </v:shape>
              </w:pict>
            </w:r>
          </w:p>
          <w:p w:rsidR="00174475" w:rsidRPr="00704A2A" w:rsidRDefault="00174475" w:rsidP="00215746">
            <w:pPr>
              <w:pStyle w:val="Kopfzeile1"/>
              <w:rPr>
                <w:rFonts w:cs="Arial"/>
                <w:b/>
                <w:color w:val="808080"/>
                <w:sz w:val="22"/>
                <w:lang w:val="en-GB" w:eastAsia="de-DE"/>
              </w:rPr>
            </w:pPr>
            <w:r w:rsidRPr="00704A2A">
              <w:rPr>
                <w:rFonts w:cs="Arial"/>
                <w:b/>
                <w:color w:val="000000"/>
                <w:sz w:val="22"/>
                <w:lang w:val="en-GB" w:eastAsia="de-DE"/>
              </w:rPr>
              <w:t xml:space="preserve"> </w:t>
            </w:r>
            <w:r w:rsidRPr="00704A2A">
              <w:rPr>
                <w:rFonts w:cs="Arial"/>
                <w:b/>
                <w:color w:val="808080"/>
                <w:sz w:val="22"/>
                <w:lang w:val="en-GB" w:eastAsia="de-DE"/>
              </w:rPr>
              <w:t>Project Team FM PT 48</w:t>
            </w:r>
            <w:r w:rsidRPr="00704A2A">
              <w:rPr>
                <w:rFonts w:cs="Arial"/>
                <w:b/>
                <w:color w:val="808080"/>
                <w:sz w:val="22"/>
                <w:lang w:val="en-GB" w:eastAsia="de-DE"/>
              </w:rPr>
              <w:br/>
            </w:r>
          </w:p>
        </w:tc>
        <w:tc>
          <w:tcPr>
            <w:tcW w:w="3569" w:type="dxa"/>
            <w:tcBorders>
              <w:top w:val="nil"/>
              <w:left w:val="nil"/>
              <w:bottom w:val="nil"/>
              <w:right w:val="nil"/>
            </w:tcBorders>
          </w:tcPr>
          <w:p w:rsidR="00174475" w:rsidRPr="00704A2A" w:rsidRDefault="00174475" w:rsidP="00440A96">
            <w:pPr>
              <w:pStyle w:val="Kopfzeile1"/>
              <w:tabs>
                <w:tab w:val="clear" w:pos="4536"/>
                <w:tab w:val="right" w:pos="3357"/>
              </w:tabs>
              <w:jc w:val="right"/>
              <w:rPr>
                <w:b/>
                <w:sz w:val="24"/>
                <w:szCs w:val="24"/>
                <w:lang w:val="en-GB" w:eastAsia="de-DE"/>
              </w:rPr>
            </w:pPr>
            <w:r w:rsidRPr="00704A2A">
              <w:rPr>
                <w:b/>
                <w:sz w:val="24"/>
                <w:szCs w:val="24"/>
                <w:lang w:val="en-GB" w:eastAsia="de-DE"/>
              </w:rPr>
              <w:t>FM48(11)05</w:t>
            </w:r>
            <w:r w:rsidR="00754ABF">
              <w:rPr>
                <w:b/>
                <w:sz w:val="24"/>
                <w:szCs w:val="24"/>
                <w:lang w:val="en-GB" w:eastAsia="de-DE"/>
              </w:rPr>
              <w:t>4</w:t>
            </w:r>
          </w:p>
        </w:tc>
      </w:tr>
      <w:tr w:rsidR="00174475" w:rsidRPr="00704A2A">
        <w:tblPrEx>
          <w:tblCellMar>
            <w:left w:w="108" w:type="dxa"/>
            <w:right w:w="108" w:type="dxa"/>
          </w:tblCellMar>
        </w:tblPrEx>
        <w:trPr>
          <w:cantSplit/>
          <w:trHeight w:val="405"/>
        </w:trPr>
        <w:tc>
          <w:tcPr>
            <w:tcW w:w="4340" w:type="dxa"/>
            <w:gridSpan w:val="2"/>
            <w:tcBorders>
              <w:top w:val="nil"/>
              <w:left w:val="nil"/>
              <w:bottom w:val="nil"/>
              <w:right w:val="nil"/>
            </w:tcBorders>
            <w:vAlign w:val="center"/>
          </w:tcPr>
          <w:p w:rsidR="00174475" w:rsidRPr="00704A2A" w:rsidRDefault="00174475" w:rsidP="00215746">
            <w:pPr>
              <w:pStyle w:val="Kopfzeile1"/>
              <w:rPr>
                <w:b/>
                <w:sz w:val="22"/>
                <w:lang w:val="en-GB" w:eastAsia="de-DE"/>
              </w:rPr>
            </w:pPr>
            <w:r w:rsidRPr="00704A2A">
              <w:rPr>
                <w:b/>
                <w:sz w:val="22"/>
                <w:lang w:val="en-GB" w:eastAsia="de-DE"/>
              </w:rPr>
              <w:t>4</w:t>
            </w:r>
            <w:r w:rsidRPr="00704A2A">
              <w:rPr>
                <w:b/>
                <w:sz w:val="22"/>
                <w:vertAlign w:val="superscript"/>
                <w:lang w:val="en-GB" w:eastAsia="de-DE"/>
              </w:rPr>
              <w:t>th</w:t>
            </w:r>
            <w:r w:rsidRPr="00704A2A">
              <w:rPr>
                <w:b/>
                <w:sz w:val="22"/>
                <w:lang w:val="en-GB" w:eastAsia="de-DE"/>
              </w:rPr>
              <w:t xml:space="preserve"> Meeting, 24-25 November 2011</w:t>
            </w:r>
          </w:p>
        </w:tc>
        <w:tc>
          <w:tcPr>
            <w:tcW w:w="5300" w:type="dxa"/>
            <w:gridSpan w:val="2"/>
            <w:tcBorders>
              <w:top w:val="nil"/>
              <w:left w:val="nil"/>
              <w:bottom w:val="nil"/>
              <w:right w:val="nil"/>
            </w:tcBorders>
            <w:vAlign w:val="center"/>
          </w:tcPr>
          <w:p w:rsidR="00174475" w:rsidRPr="00704A2A" w:rsidRDefault="00174475" w:rsidP="00215746">
            <w:pPr>
              <w:pStyle w:val="Kopfzeile1"/>
              <w:rPr>
                <w:b/>
                <w:sz w:val="22"/>
                <w:lang w:val="en-GB" w:eastAsia="de-DE"/>
              </w:rPr>
            </w:pPr>
          </w:p>
        </w:tc>
      </w:tr>
      <w:tr w:rsidR="00174475" w:rsidRPr="00704A2A">
        <w:tblPrEx>
          <w:tblCellMar>
            <w:left w:w="108" w:type="dxa"/>
            <w:right w:w="108" w:type="dxa"/>
          </w:tblCellMar>
        </w:tblPrEx>
        <w:trPr>
          <w:cantSplit/>
          <w:trHeight w:val="405"/>
        </w:trPr>
        <w:tc>
          <w:tcPr>
            <w:tcW w:w="4340" w:type="dxa"/>
            <w:gridSpan w:val="2"/>
            <w:tcBorders>
              <w:top w:val="nil"/>
              <w:left w:val="nil"/>
              <w:bottom w:val="nil"/>
              <w:right w:val="nil"/>
            </w:tcBorders>
            <w:vAlign w:val="center"/>
          </w:tcPr>
          <w:p w:rsidR="00174475" w:rsidRPr="00704A2A" w:rsidRDefault="00174475" w:rsidP="00215746">
            <w:pPr>
              <w:pStyle w:val="Kopfzeile1"/>
              <w:rPr>
                <w:b/>
                <w:sz w:val="22"/>
                <w:lang w:val="en-GB" w:eastAsia="de-DE"/>
              </w:rPr>
            </w:pPr>
            <w:r w:rsidRPr="00704A2A">
              <w:rPr>
                <w:b/>
                <w:sz w:val="22"/>
                <w:lang w:val="en-GB" w:eastAsia="de-DE"/>
              </w:rPr>
              <w:t xml:space="preserve">Sophia-Antipolis / </w:t>
            </w:r>
            <w:smartTag w:uri="urn:schemas-microsoft-com:office:smarttags" w:element="place">
              <w:smartTag w:uri="urn:schemas-microsoft-com:office:smarttags" w:element="country-region">
                <w:r w:rsidRPr="00704A2A">
                  <w:rPr>
                    <w:b/>
                    <w:sz w:val="22"/>
                    <w:lang w:val="en-GB" w:eastAsia="de-DE"/>
                  </w:rPr>
                  <w:t>France</w:t>
                </w:r>
              </w:smartTag>
            </w:smartTag>
          </w:p>
        </w:tc>
        <w:tc>
          <w:tcPr>
            <w:tcW w:w="5300" w:type="dxa"/>
            <w:gridSpan w:val="2"/>
            <w:tcBorders>
              <w:top w:val="nil"/>
              <w:left w:val="nil"/>
              <w:bottom w:val="nil"/>
              <w:right w:val="nil"/>
            </w:tcBorders>
            <w:vAlign w:val="center"/>
          </w:tcPr>
          <w:p w:rsidR="00174475" w:rsidRPr="00704A2A" w:rsidRDefault="00174475" w:rsidP="00215746">
            <w:pPr>
              <w:pStyle w:val="Kopfzeile1"/>
              <w:rPr>
                <w:b/>
                <w:sz w:val="22"/>
                <w:lang w:val="en-GB" w:eastAsia="de-DE"/>
              </w:rPr>
            </w:pPr>
          </w:p>
        </w:tc>
      </w:tr>
      <w:tr w:rsidR="00174475" w:rsidRPr="00704A2A">
        <w:tblPrEx>
          <w:tblCellMar>
            <w:left w:w="108" w:type="dxa"/>
            <w:right w:w="108" w:type="dxa"/>
          </w:tblCellMar>
        </w:tblPrEx>
        <w:trPr>
          <w:cantSplit/>
          <w:trHeight w:val="80"/>
        </w:trPr>
        <w:tc>
          <w:tcPr>
            <w:tcW w:w="4340" w:type="dxa"/>
            <w:gridSpan w:val="2"/>
            <w:tcBorders>
              <w:top w:val="nil"/>
              <w:left w:val="nil"/>
              <w:bottom w:val="nil"/>
              <w:right w:val="nil"/>
            </w:tcBorders>
            <w:vAlign w:val="center"/>
          </w:tcPr>
          <w:p w:rsidR="00174475" w:rsidRPr="00704A2A" w:rsidRDefault="00174475" w:rsidP="00215746">
            <w:pPr>
              <w:pStyle w:val="Kopfzeile1"/>
              <w:rPr>
                <w:b/>
                <w:sz w:val="8"/>
                <w:lang w:val="en-GB" w:eastAsia="de-DE"/>
              </w:rPr>
            </w:pPr>
          </w:p>
        </w:tc>
        <w:tc>
          <w:tcPr>
            <w:tcW w:w="5300" w:type="dxa"/>
            <w:gridSpan w:val="2"/>
            <w:tcBorders>
              <w:top w:val="nil"/>
              <w:left w:val="nil"/>
              <w:bottom w:val="nil"/>
              <w:right w:val="nil"/>
            </w:tcBorders>
            <w:vAlign w:val="center"/>
          </w:tcPr>
          <w:p w:rsidR="00174475" w:rsidRPr="00704A2A" w:rsidRDefault="00174475" w:rsidP="00215746">
            <w:pPr>
              <w:pStyle w:val="Kopfzeile1"/>
              <w:rPr>
                <w:b/>
                <w:sz w:val="8"/>
                <w:lang w:val="en-GB" w:eastAsia="de-DE"/>
              </w:rPr>
            </w:pPr>
          </w:p>
        </w:tc>
      </w:tr>
      <w:tr w:rsidR="00174475" w:rsidRPr="00704A2A">
        <w:tblPrEx>
          <w:tblCellMar>
            <w:left w:w="108" w:type="dxa"/>
            <w:right w:w="108" w:type="dxa"/>
          </w:tblCellMar>
        </w:tblPrEx>
        <w:trPr>
          <w:cantSplit/>
          <w:trHeight w:val="405"/>
        </w:trPr>
        <w:tc>
          <w:tcPr>
            <w:tcW w:w="1843" w:type="dxa"/>
            <w:tcBorders>
              <w:top w:val="nil"/>
              <w:left w:val="nil"/>
              <w:bottom w:val="nil"/>
              <w:right w:val="nil"/>
            </w:tcBorders>
            <w:vAlign w:val="center"/>
          </w:tcPr>
          <w:p w:rsidR="00174475" w:rsidRPr="00704A2A" w:rsidRDefault="00174475" w:rsidP="00215746">
            <w:pPr>
              <w:pStyle w:val="Kopfzeile1"/>
              <w:rPr>
                <w:b/>
                <w:sz w:val="22"/>
                <w:lang w:val="en-GB" w:eastAsia="de-DE"/>
              </w:rPr>
            </w:pPr>
            <w:r w:rsidRPr="00704A2A">
              <w:rPr>
                <w:b/>
                <w:sz w:val="22"/>
                <w:lang w:val="en-GB" w:eastAsia="de-DE"/>
              </w:rPr>
              <w:t>Date issued:</w:t>
            </w:r>
          </w:p>
        </w:tc>
        <w:tc>
          <w:tcPr>
            <w:tcW w:w="7797" w:type="dxa"/>
            <w:gridSpan w:val="3"/>
            <w:tcBorders>
              <w:top w:val="nil"/>
              <w:left w:val="nil"/>
              <w:bottom w:val="nil"/>
              <w:right w:val="nil"/>
            </w:tcBorders>
            <w:vAlign w:val="center"/>
          </w:tcPr>
          <w:p w:rsidR="00174475" w:rsidRPr="00704A2A" w:rsidRDefault="00754ABF" w:rsidP="00215746">
            <w:pPr>
              <w:pStyle w:val="Kopfzeile1"/>
              <w:rPr>
                <w:b/>
                <w:sz w:val="22"/>
                <w:lang w:val="en-GB" w:eastAsia="de-DE"/>
              </w:rPr>
            </w:pPr>
            <w:r>
              <w:rPr>
                <w:b/>
                <w:sz w:val="22"/>
                <w:lang w:val="en-GB" w:eastAsia="de-DE"/>
              </w:rPr>
              <w:t>23</w:t>
            </w:r>
            <w:r w:rsidR="00174475" w:rsidRPr="00704A2A">
              <w:rPr>
                <w:b/>
                <w:sz w:val="22"/>
                <w:lang w:val="en-GB" w:eastAsia="de-DE"/>
              </w:rPr>
              <w:t xml:space="preserve"> November 2011</w:t>
            </w:r>
          </w:p>
        </w:tc>
      </w:tr>
      <w:tr w:rsidR="00174475" w:rsidRPr="00704A2A">
        <w:tblPrEx>
          <w:tblCellMar>
            <w:left w:w="108" w:type="dxa"/>
            <w:right w:w="108" w:type="dxa"/>
          </w:tblCellMar>
        </w:tblPrEx>
        <w:trPr>
          <w:cantSplit/>
          <w:trHeight w:val="405"/>
        </w:trPr>
        <w:tc>
          <w:tcPr>
            <w:tcW w:w="1843" w:type="dxa"/>
            <w:tcBorders>
              <w:top w:val="nil"/>
              <w:left w:val="nil"/>
              <w:bottom w:val="nil"/>
              <w:right w:val="nil"/>
            </w:tcBorders>
            <w:vAlign w:val="center"/>
          </w:tcPr>
          <w:p w:rsidR="00174475" w:rsidRPr="00704A2A" w:rsidRDefault="00174475" w:rsidP="00215746">
            <w:pPr>
              <w:pStyle w:val="Kopfzeile1"/>
              <w:rPr>
                <w:b/>
                <w:sz w:val="22"/>
                <w:lang w:val="en-GB" w:eastAsia="de-DE"/>
              </w:rPr>
            </w:pPr>
            <w:r w:rsidRPr="00704A2A">
              <w:rPr>
                <w:b/>
                <w:sz w:val="22"/>
                <w:lang w:val="en-GB" w:eastAsia="de-DE"/>
              </w:rPr>
              <w:t>Source:</w:t>
            </w:r>
          </w:p>
        </w:tc>
        <w:tc>
          <w:tcPr>
            <w:tcW w:w="7797" w:type="dxa"/>
            <w:gridSpan w:val="3"/>
            <w:tcBorders>
              <w:top w:val="nil"/>
              <w:left w:val="nil"/>
              <w:bottom w:val="nil"/>
              <w:right w:val="nil"/>
            </w:tcBorders>
            <w:vAlign w:val="center"/>
          </w:tcPr>
          <w:p w:rsidR="00174475" w:rsidRPr="00704A2A" w:rsidRDefault="00174475" w:rsidP="00215746">
            <w:pPr>
              <w:pStyle w:val="Kopfzeile1"/>
              <w:rPr>
                <w:b/>
                <w:sz w:val="22"/>
                <w:lang w:val="en-GB" w:eastAsia="de-DE"/>
              </w:rPr>
            </w:pPr>
            <w:r w:rsidRPr="00704A2A">
              <w:rPr>
                <w:b/>
                <w:sz w:val="22"/>
                <w:lang w:val="en-GB" w:eastAsia="de-DE"/>
              </w:rPr>
              <w:t>Deutsche Telekom</w:t>
            </w:r>
          </w:p>
        </w:tc>
      </w:tr>
      <w:tr w:rsidR="00174475" w:rsidRPr="00704A2A">
        <w:tblPrEx>
          <w:tblCellMar>
            <w:left w:w="108" w:type="dxa"/>
            <w:right w:w="108" w:type="dxa"/>
          </w:tblCellMar>
        </w:tblPrEx>
        <w:trPr>
          <w:cantSplit/>
          <w:trHeight w:val="405"/>
        </w:trPr>
        <w:tc>
          <w:tcPr>
            <w:tcW w:w="1843" w:type="dxa"/>
            <w:tcBorders>
              <w:top w:val="nil"/>
              <w:left w:val="nil"/>
              <w:bottom w:val="nil"/>
              <w:right w:val="nil"/>
            </w:tcBorders>
            <w:vAlign w:val="center"/>
          </w:tcPr>
          <w:p w:rsidR="00174475" w:rsidRPr="00704A2A" w:rsidRDefault="00174475" w:rsidP="00215746">
            <w:pPr>
              <w:pStyle w:val="Kopfzeile1"/>
              <w:rPr>
                <w:b/>
                <w:sz w:val="22"/>
                <w:lang w:val="en-GB" w:eastAsia="de-DE"/>
              </w:rPr>
            </w:pPr>
            <w:r w:rsidRPr="00704A2A">
              <w:rPr>
                <w:b/>
                <w:sz w:val="22"/>
                <w:lang w:val="en-GB" w:eastAsia="de-DE"/>
              </w:rPr>
              <w:t>Subject:</w:t>
            </w:r>
          </w:p>
        </w:tc>
        <w:tc>
          <w:tcPr>
            <w:tcW w:w="7797" w:type="dxa"/>
            <w:gridSpan w:val="3"/>
            <w:tcBorders>
              <w:top w:val="nil"/>
              <w:left w:val="nil"/>
              <w:bottom w:val="nil"/>
              <w:right w:val="nil"/>
            </w:tcBorders>
            <w:vAlign w:val="center"/>
          </w:tcPr>
          <w:p w:rsidR="00174475" w:rsidRPr="00704A2A" w:rsidRDefault="00174475" w:rsidP="001E0E49">
            <w:pPr>
              <w:pStyle w:val="Kopfzeile1"/>
              <w:rPr>
                <w:b/>
                <w:sz w:val="22"/>
                <w:lang w:val="en-GB" w:eastAsia="de-DE"/>
              </w:rPr>
            </w:pPr>
            <w:r w:rsidRPr="00704A2A">
              <w:rPr>
                <w:b/>
                <w:sz w:val="22"/>
                <w:lang w:val="en-GB" w:eastAsia="de-DE"/>
              </w:rPr>
              <w:t>Text for the new ECC Report on Broadband DA2GC</w:t>
            </w:r>
          </w:p>
        </w:tc>
      </w:tr>
      <w:tr w:rsidR="00174475" w:rsidRPr="00704A2A" w:rsidTr="00FF320E">
        <w:tblPrEx>
          <w:tblCellMar>
            <w:left w:w="108" w:type="dxa"/>
            <w:right w:w="108" w:type="dxa"/>
          </w:tblCellMar>
        </w:tblPrEx>
        <w:trPr>
          <w:cantSplit/>
          <w:trHeight w:val="1040"/>
        </w:trPr>
        <w:tc>
          <w:tcPr>
            <w:tcW w:w="9640" w:type="dxa"/>
            <w:gridSpan w:val="4"/>
            <w:tcBorders>
              <w:top w:val="nil"/>
              <w:left w:val="nil"/>
              <w:bottom w:val="nil"/>
              <w:right w:val="nil"/>
            </w:tcBorders>
            <w:vAlign w:val="center"/>
          </w:tcPr>
          <w:p w:rsidR="00174475" w:rsidRPr="00704A2A" w:rsidRDefault="00174475" w:rsidP="00FF320E">
            <w:pPr>
              <w:rPr>
                <w:rFonts w:cs="Arial"/>
                <w:szCs w:val="24"/>
                <w:lang w:val="en-GB"/>
              </w:rPr>
            </w:pPr>
          </w:p>
          <w:p w:rsidR="00174475" w:rsidRPr="00704A2A" w:rsidRDefault="00174475" w:rsidP="00FF320E">
            <w:pPr>
              <w:rPr>
                <w:lang w:val="en-GB"/>
              </w:rPr>
            </w:pPr>
            <w:r w:rsidRPr="00704A2A">
              <w:rPr>
                <w:lang w:val="en-GB"/>
              </w:rPr>
              <w:t xml:space="preserve">Group membership required to read? (Y/N): </w:t>
            </w:r>
            <w:r w:rsidRPr="00704A2A">
              <w:rPr>
                <w:bdr w:val="single" w:sz="4" w:space="0" w:color="auto"/>
                <w:lang w:val="en-GB"/>
              </w:rPr>
              <w:t>N</w:t>
            </w:r>
            <w:bookmarkStart w:id="0" w:name="_GoBack"/>
            <w:bookmarkEnd w:id="0"/>
          </w:p>
          <w:p w:rsidR="00174475" w:rsidRPr="00704A2A" w:rsidRDefault="00174475" w:rsidP="00FF320E">
            <w:pPr>
              <w:pStyle w:val="Header1"/>
              <w:rPr>
                <w:lang w:val="en-GB" w:eastAsia="de-DE"/>
              </w:rPr>
            </w:pPr>
          </w:p>
        </w:tc>
      </w:tr>
      <w:tr w:rsidR="00174475" w:rsidRPr="00704A2A" w:rsidTr="00FF320E">
        <w:tblPrEx>
          <w:tblCellMar>
            <w:left w:w="108" w:type="dxa"/>
            <w:right w:w="108" w:type="dxa"/>
          </w:tblCellMar>
        </w:tblPrEx>
        <w:trPr>
          <w:cantSplit/>
          <w:trHeight w:hRule="exact" w:val="74"/>
        </w:trPr>
        <w:tc>
          <w:tcPr>
            <w:tcW w:w="9640" w:type="dxa"/>
            <w:gridSpan w:val="4"/>
            <w:tcBorders>
              <w:top w:val="nil"/>
              <w:left w:val="nil"/>
              <w:bottom w:val="nil"/>
              <w:right w:val="nil"/>
            </w:tcBorders>
            <w:vAlign w:val="center"/>
          </w:tcPr>
          <w:p w:rsidR="00174475" w:rsidRPr="00704A2A" w:rsidRDefault="00174475" w:rsidP="00FF320E">
            <w:pPr>
              <w:pStyle w:val="Header1"/>
              <w:rPr>
                <w:lang w:val="en-GB" w:eastAsia="de-DE"/>
              </w:rPr>
            </w:pPr>
          </w:p>
          <w:p w:rsidR="00174475" w:rsidRPr="00704A2A" w:rsidRDefault="00174475" w:rsidP="00FF320E">
            <w:pPr>
              <w:pStyle w:val="Header1"/>
              <w:rPr>
                <w:sz w:val="8"/>
                <w:lang w:val="en-GB" w:eastAsia="de-DE"/>
              </w:rPr>
            </w:pPr>
          </w:p>
        </w:tc>
      </w:tr>
      <w:tr w:rsidR="00174475" w:rsidRPr="00704A2A" w:rsidTr="004002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46"/>
        </w:trPr>
        <w:tc>
          <w:tcPr>
            <w:tcW w:w="9640" w:type="dxa"/>
            <w:gridSpan w:val="4"/>
            <w:tcBorders>
              <w:bottom w:val="nil"/>
            </w:tcBorders>
          </w:tcPr>
          <w:p w:rsidR="00174475" w:rsidRPr="00704A2A" w:rsidRDefault="00174475" w:rsidP="001E0E49">
            <w:pPr>
              <w:pStyle w:val="Kopfzeile1"/>
              <w:rPr>
                <w:b/>
                <w:sz w:val="22"/>
                <w:lang w:val="en-GB" w:eastAsia="de-DE"/>
              </w:rPr>
            </w:pPr>
            <w:r w:rsidRPr="00704A2A">
              <w:rPr>
                <w:b/>
                <w:sz w:val="22"/>
                <w:lang w:val="en-GB" w:eastAsia="de-DE"/>
              </w:rPr>
              <w:t>Summary:</w:t>
            </w:r>
          </w:p>
        </w:tc>
      </w:tr>
      <w:tr w:rsidR="00174475" w:rsidRPr="00704A2A" w:rsidTr="004002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112"/>
        </w:trPr>
        <w:tc>
          <w:tcPr>
            <w:tcW w:w="9640" w:type="dxa"/>
            <w:gridSpan w:val="4"/>
            <w:tcBorders>
              <w:top w:val="nil"/>
            </w:tcBorders>
          </w:tcPr>
          <w:p w:rsidR="00174475" w:rsidRPr="00704A2A" w:rsidRDefault="00174475" w:rsidP="00220878">
            <w:pPr>
              <w:rPr>
                <w:lang w:val="en-GB"/>
              </w:rPr>
            </w:pPr>
            <w:r w:rsidRPr="00704A2A">
              <w:rPr>
                <w:lang w:val="en-GB"/>
              </w:rPr>
              <w:t>This contribution contains text proposals for some sections - as defined in the outline provided by the Chairman - of the new draft ECC Report on Broadband Direct-Air-to-Ground Communications (Broadband DA2GC).</w:t>
            </w:r>
          </w:p>
          <w:p w:rsidR="00174475" w:rsidRPr="00704A2A" w:rsidRDefault="00174475" w:rsidP="001E0E49">
            <w:pPr>
              <w:rPr>
                <w:lang w:val="en-GB"/>
              </w:rPr>
            </w:pPr>
          </w:p>
        </w:tc>
      </w:tr>
      <w:tr w:rsidR="00174475" w:rsidRPr="00704A2A" w:rsidTr="004002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43"/>
        </w:trPr>
        <w:tc>
          <w:tcPr>
            <w:tcW w:w="9640" w:type="dxa"/>
            <w:gridSpan w:val="4"/>
            <w:tcBorders>
              <w:bottom w:val="nil"/>
            </w:tcBorders>
          </w:tcPr>
          <w:p w:rsidR="00174475" w:rsidRPr="00704A2A" w:rsidRDefault="00174475" w:rsidP="001E0E49">
            <w:pPr>
              <w:pStyle w:val="Kopfzeile1"/>
              <w:rPr>
                <w:b/>
                <w:sz w:val="22"/>
                <w:lang w:val="en-GB" w:eastAsia="de-DE"/>
              </w:rPr>
            </w:pPr>
            <w:r w:rsidRPr="00704A2A">
              <w:rPr>
                <w:b/>
                <w:sz w:val="22"/>
                <w:lang w:val="en-GB" w:eastAsia="de-DE"/>
              </w:rPr>
              <w:t>Proposal:</w:t>
            </w:r>
          </w:p>
        </w:tc>
      </w:tr>
      <w:tr w:rsidR="00174475" w:rsidRPr="00704A2A" w:rsidTr="004002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945"/>
        </w:trPr>
        <w:tc>
          <w:tcPr>
            <w:tcW w:w="9640" w:type="dxa"/>
            <w:gridSpan w:val="4"/>
            <w:tcBorders>
              <w:top w:val="nil"/>
            </w:tcBorders>
          </w:tcPr>
          <w:p w:rsidR="00174475" w:rsidRPr="00704A2A" w:rsidRDefault="00174475" w:rsidP="001E0E49">
            <w:pPr>
              <w:rPr>
                <w:lang w:val="en-GB"/>
              </w:rPr>
            </w:pPr>
            <w:r w:rsidRPr="00704A2A">
              <w:rPr>
                <w:lang w:val="en-GB"/>
              </w:rPr>
              <w:t>The text is proposed to be included in the new draft ECC Report on Broadband Direct-Air-to-Ground Communications (Broadband DA2GC).</w:t>
            </w:r>
          </w:p>
          <w:p w:rsidR="00174475" w:rsidRPr="00704A2A" w:rsidRDefault="00174475" w:rsidP="001E0E49">
            <w:pPr>
              <w:rPr>
                <w:lang w:val="en-GB"/>
              </w:rPr>
            </w:pPr>
          </w:p>
          <w:p w:rsidR="00174475" w:rsidRPr="00704A2A" w:rsidRDefault="00174475" w:rsidP="001E0E49">
            <w:pPr>
              <w:rPr>
                <w:lang w:val="en-GB"/>
              </w:rPr>
            </w:pPr>
          </w:p>
        </w:tc>
      </w:tr>
      <w:tr w:rsidR="00174475" w:rsidRPr="00704A2A" w:rsidTr="004002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31"/>
        </w:trPr>
        <w:tc>
          <w:tcPr>
            <w:tcW w:w="9640" w:type="dxa"/>
            <w:gridSpan w:val="4"/>
            <w:tcBorders>
              <w:bottom w:val="nil"/>
            </w:tcBorders>
          </w:tcPr>
          <w:p w:rsidR="00174475" w:rsidRPr="00704A2A" w:rsidRDefault="00174475" w:rsidP="001E0E49">
            <w:pPr>
              <w:pStyle w:val="Kopfzeile1"/>
              <w:rPr>
                <w:b/>
                <w:sz w:val="22"/>
                <w:lang w:val="en-GB" w:eastAsia="de-DE"/>
              </w:rPr>
            </w:pPr>
            <w:r w:rsidRPr="00704A2A">
              <w:rPr>
                <w:b/>
                <w:sz w:val="22"/>
                <w:lang w:val="en-GB" w:eastAsia="de-DE"/>
              </w:rPr>
              <w:t>Background:</w:t>
            </w:r>
          </w:p>
        </w:tc>
      </w:tr>
      <w:tr w:rsidR="00174475" w:rsidRPr="00704A2A" w:rsidTr="004002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84"/>
        </w:trPr>
        <w:tc>
          <w:tcPr>
            <w:tcW w:w="9640" w:type="dxa"/>
            <w:gridSpan w:val="4"/>
            <w:tcBorders>
              <w:top w:val="nil"/>
            </w:tcBorders>
          </w:tcPr>
          <w:p w:rsidR="00174475" w:rsidRPr="00704A2A" w:rsidRDefault="00174475" w:rsidP="00220878">
            <w:pPr>
              <w:jc w:val="left"/>
              <w:rPr>
                <w:lang w:val="en-GB"/>
              </w:rPr>
            </w:pPr>
            <w:r w:rsidRPr="00704A2A">
              <w:rPr>
                <w:lang w:val="en-GB"/>
              </w:rPr>
              <w:t>At the last WG FM meeting, FM PT 48 proposed to develop a new ECC Report on Broadband DA2GC in which all relevant aspects, besides compatibility and sharing issues for which WG SE is responsible, could be described in detail. Elements for such an ECC Report were provided in Annex 7r1 of the FM PT 48 Progress Report (see FM48(11)043).</w:t>
            </w:r>
          </w:p>
          <w:p w:rsidR="00174475" w:rsidRPr="00704A2A" w:rsidRDefault="00174475" w:rsidP="00220878">
            <w:pPr>
              <w:jc w:val="left"/>
              <w:rPr>
                <w:lang w:val="en-GB"/>
              </w:rPr>
            </w:pPr>
            <w:r w:rsidRPr="00704A2A">
              <w:rPr>
                <w:lang w:val="en-GB"/>
              </w:rPr>
              <w:t>WG FM agreed that the ECC Report should be finalised by September 2012.</w:t>
            </w:r>
          </w:p>
          <w:p w:rsidR="00174475" w:rsidRPr="00704A2A" w:rsidRDefault="00174475" w:rsidP="004002F7">
            <w:pPr>
              <w:rPr>
                <w:lang w:val="en-GB"/>
              </w:rPr>
            </w:pPr>
            <w:r w:rsidRPr="00704A2A">
              <w:rPr>
                <w:lang w:val="en-GB"/>
              </w:rPr>
              <w:t>The PT FM48 Chairman provided an outline to be used as a basis for the development of this new draft ECC Report on Broadband Direct-Air-to-Ground Communications (Broadband DA2GC) and requested contributions for the different sections</w:t>
            </w:r>
            <w:r w:rsidR="00754ABF">
              <w:rPr>
                <w:lang w:val="en-GB"/>
              </w:rPr>
              <w:t xml:space="preserve"> (see doc. FM48(11)050)</w:t>
            </w:r>
            <w:r w:rsidRPr="00704A2A">
              <w:rPr>
                <w:lang w:val="en-GB"/>
              </w:rPr>
              <w:t>.</w:t>
            </w:r>
          </w:p>
          <w:p w:rsidR="00174475" w:rsidRPr="00704A2A" w:rsidRDefault="00174475" w:rsidP="004002F7">
            <w:pPr>
              <w:rPr>
                <w:lang w:val="en-GB"/>
              </w:rPr>
            </w:pPr>
          </w:p>
          <w:p w:rsidR="00174475" w:rsidRPr="00704A2A" w:rsidRDefault="00174475" w:rsidP="004002F7">
            <w:pPr>
              <w:rPr>
                <w:bCs/>
                <w:szCs w:val="24"/>
                <w:lang w:val="en-GB"/>
              </w:rPr>
            </w:pPr>
          </w:p>
        </w:tc>
      </w:tr>
    </w:tbl>
    <w:p w:rsidR="00174475" w:rsidRPr="00704A2A" w:rsidRDefault="00174475" w:rsidP="00DE5E01">
      <w:pPr>
        <w:rPr>
          <w:lang w:val="en-GB"/>
        </w:rPr>
      </w:pPr>
    </w:p>
    <w:p w:rsidR="00174475" w:rsidRPr="00704A2A" w:rsidRDefault="00174475">
      <w:pPr>
        <w:spacing w:after="0"/>
        <w:jc w:val="left"/>
        <w:rPr>
          <w:lang w:val="en-GB"/>
        </w:rPr>
      </w:pPr>
      <w:r w:rsidRPr="00704A2A">
        <w:rPr>
          <w:lang w:val="en-GB"/>
        </w:rPr>
        <w:br w:type="page"/>
      </w:r>
    </w:p>
    <w:p w:rsidR="00174475" w:rsidRPr="00704A2A" w:rsidRDefault="00174475" w:rsidP="00317FB7">
      <w:pPr>
        <w:pStyle w:val="KeinLeerraum"/>
        <w:rPr>
          <w:lang w:val="en-GB"/>
        </w:rPr>
      </w:pPr>
    </w:p>
    <w:p w:rsidR="00174475" w:rsidRPr="00704A2A" w:rsidRDefault="00174475" w:rsidP="00317FB7">
      <w:pPr>
        <w:pStyle w:val="KeinLeerraum"/>
        <w:rPr>
          <w:lang w:val="en-GB"/>
        </w:rPr>
      </w:pPr>
    </w:p>
    <w:p w:rsidR="00174475" w:rsidRPr="00704A2A" w:rsidRDefault="00174475" w:rsidP="009E1BA5">
      <w:pPr>
        <w:pStyle w:val="KeinLeerraum"/>
        <w:jc w:val="center"/>
        <w:rPr>
          <w:b/>
          <w:sz w:val="24"/>
          <w:szCs w:val="24"/>
          <w:lang w:val="en-GB"/>
        </w:rPr>
      </w:pPr>
      <w:r w:rsidRPr="00704A2A">
        <w:rPr>
          <w:b/>
          <w:sz w:val="24"/>
          <w:szCs w:val="24"/>
          <w:lang w:val="en-GB"/>
        </w:rPr>
        <w:t>Draft ECC Report on Broadband DA2GC</w:t>
      </w:r>
    </w:p>
    <w:p w:rsidR="00174475" w:rsidRPr="00704A2A" w:rsidRDefault="00174475" w:rsidP="00317FB7">
      <w:pPr>
        <w:pStyle w:val="KeinLeerraum"/>
        <w:rPr>
          <w:lang w:val="en-GB"/>
        </w:rPr>
      </w:pPr>
    </w:p>
    <w:p w:rsidR="00174475" w:rsidRPr="00704A2A" w:rsidRDefault="00174475" w:rsidP="00317FB7">
      <w:pPr>
        <w:pStyle w:val="KeinLeerraum"/>
        <w:rPr>
          <w:lang w:val="en-GB"/>
        </w:rPr>
      </w:pPr>
    </w:p>
    <w:p w:rsidR="00174475" w:rsidRPr="00704A2A" w:rsidRDefault="00174475" w:rsidP="00317FB7">
      <w:pPr>
        <w:pStyle w:val="KeinLeerraum"/>
        <w:rPr>
          <w:lang w:val="en-GB"/>
        </w:rPr>
      </w:pPr>
    </w:p>
    <w:p w:rsidR="00174475" w:rsidRPr="00704A2A" w:rsidRDefault="00174475" w:rsidP="00317FB7">
      <w:pPr>
        <w:pStyle w:val="KeinLeerraum"/>
        <w:rPr>
          <w:b/>
          <w:lang w:val="en-GB"/>
        </w:rPr>
      </w:pPr>
      <w:r w:rsidRPr="00704A2A">
        <w:rPr>
          <w:b/>
          <w:lang w:val="en-GB"/>
        </w:rPr>
        <w:t>0</w:t>
      </w:r>
      <w:r w:rsidRPr="00704A2A">
        <w:rPr>
          <w:b/>
          <w:lang w:val="en-GB"/>
        </w:rPr>
        <w:tab/>
        <w:t>EXECUTIVE SUMMARY</w:t>
      </w:r>
    </w:p>
    <w:p w:rsidR="00174475" w:rsidRPr="00704A2A" w:rsidRDefault="00174475" w:rsidP="00317FB7">
      <w:pPr>
        <w:pStyle w:val="KeinLeerraum"/>
        <w:rPr>
          <w:lang w:val="en-GB"/>
        </w:rPr>
      </w:pPr>
    </w:p>
    <w:p w:rsidR="00174475" w:rsidRPr="00704A2A" w:rsidRDefault="00174475" w:rsidP="00317FB7">
      <w:pPr>
        <w:pStyle w:val="KeinLeerraum"/>
        <w:rPr>
          <w:lang w:val="en-GB"/>
        </w:rPr>
      </w:pPr>
    </w:p>
    <w:p w:rsidR="00174475" w:rsidRPr="00704A2A" w:rsidRDefault="00174475" w:rsidP="009E1BA5">
      <w:pPr>
        <w:pStyle w:val="KeinLeerraum"/>
        <w:ind w:firstLine="567"/>
        <w:rPr>
          <w:b/>
          <w:lang w:val="en-GB"/>
        </w:rPr>
      </w:pPr>
      <w:r w:rsidRPr="00704A2A">
        <w:rPr>
          <w:b/>
          <w:lang w:val="en-GB"/>
        </w:rPr>
        <w:t>TABLE OF CONTENTS</w:t>
      </w:r>
    </w:p>
    <w:p w:rsidR="00174475" w:rsidRPr="00704A2A" w:rsidRDefault="00174475" w:rsidP="00317FB7">
      <w:pPr>
        <w:pStyle w:val="KeinLeerraum"/>
        <w:rPr>
          <w:lang w:val="en-GB"/>
        </w:rPr>
      </w:pPr>
    </w:p>
    <w:p w:rsidR="00174475" w:rsidRPr="00704A2A" w:rsidRDefault="00174475" w:rsidP="00317FB7">
      <w:pPr>
        <w:pStyle w:val="KeinLeerraum"/>
        <w:rPr>
          <w:lang w:val="en-GB"/>
        </w:rPr>
      </w:pPr>
    </w:p>
    <w:p w:rsidR="00174475" w:rsidRPr="00704A2A" w:rsidRDefault="00174475" w:rsidP="009E1BA5">
      <w:pPr>
        <w:pStyle w:val="KeinLeerraum"/>
        <w:ind w:firstLine="567"/>
        <w:rPr>
          <w:b/>
          <w:lang w:val="en-GB"/>
        </w:rPr>
      </w:pPr>
      <w:r w:rsidRPr="00704A2A">
        <w:rPr>
          <w:b/>
          <w:lang w:val="en-GB"/>
        </w:rPr>
        <w:t>LIST OF ABBREVIATIONS</w:t>
      </w:r>
    </w:p>
    <w:p w:rsidR="00174475" w:rsidRPr="00704A2A" w:rsidRDefault="00174475" w:rsidP="00317FB7">
      <w:pPr>
        <w:pStyle w:val="KeinLeerraum"/>
        <w:rPr>
          <w:lang w:val="en-GB"/>
        </w:rPr>
      </w:pPr>
    </w:p>
    <w:p w:rsidR="00174475" w:rsidRPr="00704A2A" w:rsidRDefault="00174475" w:rsidP="008A6F4D">
      <w:pPr>
        <w:pStyle w:val="KeinLeerraum"/>
        <w:rPr>
          <w:lang w:val="en-GB"/>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1"/>
        <w:gridCol w:w="7479"/>
      </w:tblGrid>
      <w:tr w:rsidR="00174475" w:rsidRPr="00704A2A" w:rsidTr="006B4FCD">
        <w:tc>
          <w:tcPr>
            <w:tcW w:w="1701" w:type="dxa"/>
          </w:tcPr>
          <w:p w:rsidR="00174475" w:rsidRPr="00704A2A" w:rsidRDefault="00174475" w:rsidP="00EC60C8">
            <w:pPr>
              <w:pStyle w:val="KeinLeerraum"/>
              <w:rPr>
                <w:lang w:val="en-GB"/>
              </w:rPr>
            </w:pPr>
            <w:r w:rsidRPr="00704A2A">
              <w:rPr>
                <w:lang w:val="en-GB"/>
              </w:rPr>
              <w:t>...</w:t>
            </w:r>
          </w:p>
        </w:tc>
        <w:tc>
          <w:tcPr>
            <w:tcW w:w="7479" w:type="dxa"/>
          </w:tcPr>
          <w:p w:rsidR="00174475" w:rsidRPr="00704A2A" w:rsidRDefault="00174475" w:rsidP="00EC60C8">
            <w:pPr>
              <w:pStyle w:val="KeinLeerraum"/>
              <w:rPr>
                <w:lang w:val="en-GB"/>
              </w:rPr>
            </w:pPr>
            <w:r w:rsidRPr="00704A2A">
              <w:rPr>
                <w:lang w:val="en-GB"/>
              </w:rPr>
              <w:t>...</w:t>
            </w:r>
          </w:p>
        </w:tc>
      </w:tr>
      <w:tr w:rsidR="00174475" w:rsidRPr="00704A2A" w:rsidTr="006B4FCD">
        <w:tc>
          <w:tcPr>
            <w:tcW w:w="1701" w:type="dxa"/>
          </w:tcPr>
          <w:p w:rsidR="00174475" w:rsidRPr="00704A2A" w:rsidRDefault="00174475" w:rsidP="00EC60C8">
            <w:pPr>
              <w:pStyle w:val="KeinLeerraum"/>
              <w:rPr>
                <w:lang w:val="en-GB"/>
              </w:rPr>
            </w:pPr>
          </w:p>
        </w:tc>
        <w:tc>
          <w:tcPr>
            <w:tcW w:w="7479" w:type="dxa"/>
          </w:tcPr>
          <w:p w:rsidR="00174475" w:rsidRPr="00704A2A" w:rsidRDefault="00174475" w:rsidP="00EC60C8">
            <w:pPr>
              <w:pStyle w:val="KeinLeerraum"/>
              <w:rPr>
                <w:lang w:val="en-GB"/>
              </w:rPr>
            </w:pPr>
          </w:p>
        </w:tc>
      </w:tr>
    </w:tbl>
    <w:p w:rsidR="00174475" w:rsidRPr="00704A2A" w:rsidRDefault="00174475" w:rsidP="00317FB7">
      <w:pPr>
        <w:pStyle w:val="KeinLeerraum"/>
        <w:rPr>
          <w:lang w:val="en-GB"/>
        </w:rPr>
      </w:pPr>
    </w:p>
    <w:p w:rsidR="00174475" w:rsidRPr="00704A2A" w:rsidRDefault="00174475" w:rsidP="00317FB7">
      <w:pPr>
        <w:pStyle w:val="KeinLeerraum"/>
        <w:rPr>
          <w:lang w:val="en-GB"/>
        </w:rPr>
      </w:pPr>
    </w:p>
    <w:p w:rsidR="00174475" w:rsidRPr="00704A2A" w:rsidRDefault="00174475" w:rsidP="00317FB7">
      <w:pPr>
        <w:pStyle w:val="KeinLeerraum"/>
        <w:rPr>
          <w:b/>
          <w:lang w:val="en-GB"/>
        </w:rPr>
      </w:pPr>
      <w:r w:rsidRPr="00704A2A">
        <w:rPr>
          <w:b/>
          <w:lang w:val="en-GB"/>
        </w:rPr>
        <w:br w:type="page"/>
      </w:r>
      <w:r w:rsidRPr="00704A2A">
        <w:rPr>
          <w:b/>
          <w:lang w:val="en-GB"/>
        </w:rPr>
        <w:lastRenderedPageBreak/>
        <w:t>1</w:t>
      </w:r>
      <w:r w:rsidRPr="00704A2A">
        <w:rPr>
          <w:b/>
          <w:lang w:val="en-GB"/>
        </w:rPr>
        <w:tab/>
        <w:t>INTRODUCTION</w:t>
      </w:r>
    </w:p>
    <w:p w:rsidR="00174475" w:rsidRPr="00704A2A" w:rsidRDefault="00174475" w:rsidP="00317FB7">
      <w:pPr>
        <w:pStyle w:val="KeinLeerraum"/>
        <w:rPr>
          <w:lang w:val="en-GB"/>
        </w:rPr>
      </w:pPr>
    </w:p>
    <w:p w:rsidR="00174475" w:rsidRPr="00704A2A" w:rsidRDefault="00174475" w:rsidP="00B47F0F">
      <w:pPr>
        <w:pStyle w:val="KeinLeerraum"/>
        <w:rPr>
          <w:highlight w:val="yellow"/>
          <w:lang w:val="en-GB"/>
        </w:rPr>
      </w:pPr>
      <w:r w:rsidRPr="00704A2A">
        <w:rPr>
          <w:highlight w:val="yellow"/>
          <w:lang w:val="en-GB"/>
        </w:rPr>
        <w:t>key elements:</w:t>
      </w:r>
    </w:p>
    <w:p w:rsidR="00174475" w:rsidRPr="00704A2A" w:rsidRDefault="00174475" w:rsidP="00827410">
      <w:pPr>
        <w:pStyle w:val="KeinLeerraum"/>
        <w:rPr>
          <w:highlight w:val="yellow"/>
          <w:lang w:val="en-GB"/>
        </w:rPr>
      </w:pPr>
      <w:r w:rsidRPr="00704A2A">
        <w:rPr>
          <w:highlight w:val="yellow"/>
          <w:lang w:val="en-GB"/>
        </w:rPr>
        <w:t>general description of Broadband DA2GC (</w:t>
      </w:r>
      <w:smartTag w:uri="urn:schemas-microsoft-com:office:smarttags" w:element="place">
        <w:smartTag w:uri="urn:schemas-microsoft-com:office:smarttags" w:element="City">
          <w:r w:rsidRPr="00704A2A">
            <w:rPr>
              <w:highlight w:val="yellow"/>
              <w:lang w:val="en-GB"/>
            </w:rPr>
            <w:t>IFE</w:t>
          </w:r>
        </w:smartTag>
      </w:smartTag>
      <w:r w:rsidRPr="00704A2A">
        <w:rPr>
          <w:highlight w:val="yellow"/>
          <w:lang w:val="en-GB"/>
        </w:rPr>
        <w:t>, ......),</w:t>
      </w:r>
    </w:p>
    <w:p w:rsidR="00174475" w:rsidRPr="00704A2A" w:rsidRDefault="00174475" w:rsidP="00827410">
      <w:pPr>
        <w:pStyle w:val="KeinLeerraum"/>
        <w:rPr>
          <w:highlight w:val="yellow"/>
          <w:lang w:val="en-GB"/>
        </w:rPr>
      </w:pPr>
      <w:r w:rsidRPr="00704A2A">
        <w:rPr>
          <w:highlight w:val="yellow"/>
          <w:lang w:val="en-GB"/>
        </w:rPr>
        <w:t>terrestrial system, difference to satellite solutions,</w:t>
      </w:r>
    </w:p>
    <w:p w:rsidR="00174475" w:rsidRPr="00704A2A" w:rsidRDefault="00174475" w:rsidP="00827410">
      <w:pPr>
        <w:pStyle w:val="KeinLeerraum"/>
        <w:rPr>
          <w:lang w:val="en-GB"/>
        </w:rPr>
      </w:pPr>
      <w:r w:rsidRPr="00704A2A">
        <w:rPr>
          <w:highlight w:val="yellow"/>
          <w:lang w:val="en-GB"/>
        </w:rPr>
        <w:t xml:space="preserve">example </w:t>
      </w:r>
      <w:smartTag w:uri="urn:schemas-microsoft-com:office:smarttags" w:element="place">
        <w:r w:rsidRPr="00704A2A">
          <w:rPr>
            <w:highlight w:val="yellow"/>
            <w:lang w:val="en-GB"/>
          </w:rPr>
          <w:t>North America</w:t>
        </w:r>
      </w:smartTag>
      <w:r w:rsidRPr="00704A2A">
        <w:rPr>
          <w:highlight w:val="yellow"/>
          <w:lang w:val="en-GB"/>
        </w:rPr>
        <w:t xml:space="preserve"> (see FM48(10)007r1, FM48(11)013, FM48(11)034)</w:t>
      </w:r>
    </w:p>
    <w:p w:rsidR="00174475" w:rsidRPr="00704A2A" w:rsidRDefault="00174475" w:rsidP="00317FB7">
      <w:pPr>
        <w:pStyle w:val="KeinLeerraum"/>
        <w:rPr>
          <w:lang w:val="en-GB"/>
        </w:rPr>
      </w:pPr>
    </w:p>
    <w:p w:rsidR="00174475" w:rsidRPr="00704A2A" w:rsidRDefault="00174475" w:rsidP="0059591C">
      <w:pPr>
        <w:spacing w:before="120"/>
        <w:rPr>
          <w:color w:val="0000FF"/>
          <w:lang w:val="en-GB"/>
        </w:rPr>
      </w:pPr>
      <w:r w:rsidRPr="00704A2A">
        <w:rPr>
          <w:color w:val="0000FF"/>
          <w:lang w:val="en-GB"/>
        </w:rPr>
        <w:t>...</w:t>
      </w:r>
    </w:p>
    <w:p w:rsidR="00174475" w:rsidRPr="00704A2A" w:rsidRDefault="00174475" w:rsidP="009221E4">
      <w:pPr>
        <w:spacing w:before="120"/>
        <w:rPr>
          <w:color w:val="0000FF"/>
          <w:lang w:val="en-GB"/>
        </w:rPr>
      </w:pPr>
      <w:r w:rsidRPr="00704A2A">
        <w:rPr>
          <w:color w:val="0000FF"/>
          <w:lang w:val="en-GB"/>
        </w:rPr>
        <w:t xml:space="preserve">Currently, there is no spectrum designated for broadband DA2GC in </w:t>
      </w:r>
      <w:smartTag w:uri="urn:schemas-microsoft-com:office:smarttags" w:element="place">
        <w:r w:rsidRPr="00704A2A">
          <w:rPr>
            <w:color w:val="0000FF"/>
            <w:lang w:val="en-GB"/>
          </w:rPr>
          <w:t>Europe</w:t>
        </w:r>
      </w:smartTag>
      <w:r w:rsidRPr="00704A2A">
        <w:rPr>
          <w:color w:val="0000FF"/>
          <w:lang w:val="en-GB"/>
        </w:rPr>
        <w:t>. In order to allow European citizens and airlines to profit from the social and economic benefits of the implementation of such a system, a spectrum designation on a Europe-wide basis would be necessary. It should also be noted that in continental US an Air to Ground system has been successfully established with more than 1.100 commercial aircraft equipped so far.</w:t>
      </w:r>
    </w:p>
    <w:p w:rsidR="00174475" w:rsidRPr="00704A2A" w:rsidRDefault="00174475" w:rsidP="00317FB7">
      <w:pPr>
        <w:pStyle w:val="KeinLeerraum"/>
        <w:rPr>
          <w:lang w:val="en-GB"/>
        </w:rPr>
      </w:pPr>
    </w:p>
    <w:p w:rsidR="00174475" w:rsidRPr="00704A2A" w:rsidRDefault="00174475" w:rsidP="00317FB7">
      <w:pPr>
        <w:pStyle w:val="KeinLeerraum"/>
        <w:rPr>
          <w:lang w:val="en-GB"/>
        </w:rPr>
      </w:pPr>
    </w:p>
    <w:p w:rsidR="00174475" w:rsidRPr="00704A2A" w:rsidRDefault="00174475" w:rsidP="00317FB7">
      <w:pPr>
        <w:pStyle w:val="KeinLeerraum"/>
        <w:rPr>
          <w:lang w:val="en-GB"/>
        </w:rPr>
      </w:pPr>
    </w:p>
    <w:p w:rsidR="00174475" w:rsidRPr="00704A2A" w:rsidRDefault="00174475" w:rsidP="00317FB7">
      <w:pPr>
        <w:pStyle w:val="KeinLeerraum"/>
        <w:rPr>
          <w:b/>
          <w:lang w:val="en-GB"/>
        </w:rPr>
      </w:pPr>
      <w:r w:rsidRPr="00704A2A">
        <w:rPr>
          <w:b/>
          <w:lang w:val="en-GB"/>
        </w:rPr>
        <w:br w:type="page"/>
      </w:r>
      <w:r w:rsidRPr="00704A2A">
        <w:rPr>
          <w:b/>
          <w:lang w:val="en-GB"/>
        </w:rPr>
        <w:lastRenderedPageBreak/>
        <w:t>2</w:t>
      </w:r>
      <w:r w:rsidRPr="00704A2A">
        <w:rPr>
          <w:b/>
          <w:lang w:val="en-GB"/>
        </w:rPr>
        <w:tab/>
        <w:t>DEFINITIONS</w:t>
      </w:r>
    </w:p>
    <w:p w:rsidR="00174475" w:rsidRPr="00704A2A" w:rsidRDefault="00174475" w:rsidP="00317FB7">
      <w:pPr>
        <w:pStyle w:val="KeinLeerraum"/>
        <w:rPr>
          <w:lang w:val="en-GB"/>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4"/>
        <w:gridCol w:w="4786"/>
      </w:tblGrid>
      <w:tr w:rsidR="00174475" w:rsidRPr="00704A2A" w:rsidTr="006B4FCD">
        <w:tc>
          <w:tcPr>
            <w:tcW w:w="4394" w:type="dxa"/>
          </w:tcPr>
          <w:p w:rsidR="00174475" w:rsidRPr="00704A2A" w:rsidRDefault="00174475" w:rsidP="00317FB7">
            <w:pPr>
              <w:pStyle w:val="KeinLeerraum"/>
              <w:rPr>
                <w:lang w:val="en-GB"/>
              </w:rPr>
            </w:pPr>
            <w:r w:rsidRPr="00704A2A">
              <w:rPr>
                <w:lang w:val="en-GB"/>
              </w:rPr>
              <w:t>Aircraft Station (AS)</w:t>
            </w:r>
          </w:p>
        </w:tc>
        <w:tc>
          <w:tcPr>
            <w:tcW w:w="4786" w:type="dxa"/>
          </w:tcPr>
          <w:p w:rsidR="00174475" w:rsidRPr="00704A2A" w:rsidRDefault="00174475" w:rsidP="00317FB7">
            <w:pPr>
              <w:pStyle w:val="KeinLeerraum"/>
              <w:rPr>
                <w:lang w:val="en-GB"/>
              </w:rPr>
            </w:pPr>
            <w:r w:rsidRPr="00704A2A">
              <w:rPr>
                <w:lang w:val="en-GB"/>
              </w:rPr>
              <w:t>...</w:t>
            </w:r>
          </w:p>
        </w:tc>
      </w:tr>
      <w:tr w:rsidR="00174475" w:rsidRPr="00704A2A" w:rsidTr="006B4FCD">
        <w:tc>
          <w:tcPr>
            <w:tcW w:w="4394" w:type="dxa"/>
          </w:tcPr>
          <w:p w:rsidR="00174475" w:rsidRPr="00704A2A" w:rsidRDefault="00174475" w:rsidP="00317FB7">
            <w:pPr>
              <w:pStyle w:val="KeinLeerraum"/>
              <w:rPr>
                <w:lang w:val="en-GB"/>
              </w:rPr>
            </w:pPr>
            <w:r w:rsidRPr="00704A2A">
              <w:rPr>
                <w:lang w:val="en-GB"/>
              </w:rPr>
              <w:t>Forward Link (FL)</w:t>
            </w:r>
          </w:p>
        </w:tc>
        <w:tc>
          <w:tcPr>
            <w:tcW w:w="4786" w:type="dxa"/>
          </w:tcPr>
          <w:p w:rsidR="00174475" w:rsidRPr="00704A2A" w:rsidRDefault="00174475" w:rsidP="00317FB7">
            <w:pPr>
              <w:pStyle w:val="KeinLeerraum"/>
              <w:rPr>
                <w:lang w:val="en-GB"/>
              </w:rPr>
            </w:pPr>
          </w:p>
        </w:tc>
      </w:tr>
      <w:tr w:rsidR="00174475" w:rsidRPr="00704A2A" w:rsidTr="006B4FCD">
        <w:tc>
          <w:tcPr>
            <w:tcW w:w="4394" w:type="dxa"/>
          </w:tcPr>
          <w:p w:rsidR="00174475" w:rsidRPr="00704A2A" w:rsidRDefault="00174475" w:rsidP="00317FB7">
            <w:pPr>
              <w:pStyle w:val="KeinLeerraum"/>
              <w:rPr>
                <w:lang w:val="en-GB"/>
              </w:rPr>
            </w:pPr>
            <w:r w:rsidRPr="00704A2A">
              <w:rPr>
                <w:lang w:val="en-GB"/>
              </w:rPr>
              <w:t>Ground Station (GS)</w:t>
            </w:r>
          </w:p>
        </w:tc>
        <w:tc>
          <w:tcPr>
            <w:tcW w:w="4786" w:type="dxa"/>
          </w:tcPr>
          <w:p w:rsidR="00174475" w:rsidRPr="00704A2A" w:rsidRDefault="00174475" w:rsidP="00317FB7">
            <w:pPr>
              <w:pStyle w:val="KeinLeerraum"/>
              <w:rPr>
                <w:lang w:val="en-GB"/>
              </w:rPr>
            </w:pPr>
          </w:p>
        </w:tc>
      </w:tr>
      <w:tr w:rsidR="00174475" w:rsidRPr="00704A2A" w:rsidTr="006B4FCD">
        <w:tc>
          <w:tcPr>
            <w:tcW w:w="4394" w:type="dxa"/>
          </w:tcPr>
          <w:p w:rsidR="00174475" w:rsidRPr="00704A2A" w:rsidRDefault="00174475" w:rsidP="00317FB7">
            <w:pPr>
              <w:pStyle w:val="KeinLeerraum"/>
              <w:rPr>
                <w:lang w:val="en-GB"/>
              </w:rPr>
            </w:pPr>
            <w:r w:rsidRPr="00704A2A">
              <w:rPr>
                <w:lang w:val="en-GB"/>
              </w:rPr>
              <w:t>Reverse Link (RL)</w:t>
            </w:r>
          </w:p>
        </w:tc>
        <w:tc>
          <w:tcPr>
            <w:tcW w:w="4786" w:type="dxa"/>
          </w:tcPr>
          <w:p w:rsidR="00174475" w:rsidRPr="00704A2A" w:rsidRDefault="00174475" w:rsidP="00317FB7">
            <w:pPr>
              <w:pStyle w:val="KeinLeerraum"/>
              <w:rPr>
                <w:lang w:val="en-GB"/>
              </w:rPr>
            </w:pPr>
          </w:p>
        </w:tc>
      </w:tr>
      <w:tr w:rsidR="00174475" w:rsidRPr="00704A2A" w:rsidTr="006B4FCD">
        <w:tc>
          <w:tcPr>
            <w:tcW w:w="4394" w:type="dxa"/>
          </w:tcPr>
          <w:p w:rsidR="00174475" w:rsidRPr="00704A2A" w:rsidRDefault="00174475" w:rsidP="00317FB7">
            <w:pPr>
              <w:pStyle w:val="KeinLeerraum"/>
              <w:rPr>
                <w:lang w:val="en-GB"/>
              </w:rPr>
            </w:pPr>
            <w:r w:rsidRPr="00704A2A">
              <w:rPr>
                <w:lang w:val="en-GB"/>
              </w:rPr>
              <w:t>...</w:t>
            </w:r>
          </w:p>
        </w:tc>
        <w:tc>
          <w:tcPr>
            <w:tcW w:w="4786" w:type="dxa"/>
          </w:tcPr>
          <w:p w:rsidR="00174475" w:rsidRPr="00704A2A" w:rsidRDefault="00174475" w:rsidP="00317FB7">
            <w:pPr>
              <w:pStyle w:val="KeinLeerraum"/>
              <w:rPr>
                <w:lang w:val="en-GB"/>
              </w:rPr>
            </w:pPr>
          </w:p>
        </w:tc>
      </w:tr>
      <w:tr w:rsidR="00174475" w:rsidRPr="00704A2A" w:rsidTr="006B4FCD">
        <w:tc>
          <w:tcPr>
            <w:tcW w:w="4394" w:type="dxa"/>
          </w:tcPr>
          <w:p w:rsidR="00174475" w:rsidRPr="00704A2A" w:rsidRDefault="00174475" w:rsidP="00317FB7">
            <w:pPr>
              <w:pStyle w:val="KeinLeerraum"/>
              <w:rPr>
                <w:lang w:val="en-GB"/>
              </w:rPr>
            </w:pPr>
          </w:p>
        </w:tc>
        <w:tc>
          <w:tcPr>
            <w:tcW w:w="4786" w:type="dxa"/>
          </w:tcPr>
          <w:p w:rsidR="00174475" w:rsidRPr="00704A2A" w:rsidRDefault="00174475" w:rsidP="00317FB7">
            <w:pPr>
              <w:pStyle w:val="KeinLeerraum"/>
              <w:rPr>
                <w:lang w:val="en-GB"/>
              </w:rPr>
            </w:pPr>
          </w:p>
        </w:tc>
      </w:tr>
    </w:tbl>
    <w:p w:rsidR="00174475" w:rsidRPr="00704A2A" w:rsidRDefault="00174475" w:rsidP="00317FB7">
      <w:pPr>
        <w:pStyle w:val="KeinLeerraum"/>
        <w:rPr>
          <w:lang w:val="en-GB"/>
        </w:rPr>
      </w:pPr>
    </w:p>
    <w:p w:rsidR="00174475" w:rsidRPr="00704A2A" w:rsidRDefault="00174475" w:rsidP="00317FB7">
      <w:pPr>
        <w:pStyle w:val="KeinLeerraum"/>
        <w:rPr>
          <w:lang w:val="en-GB"/>
        </w:rPr>
      </w:pPr>
      <w:r w:rsidRPr="00704A2A">
        <w:rPr>
          <w:highlight w:val="yellow"/>
          <w:lang w:val="en-GB"/>
        </w:rPr>
        <w:t>see also FM48(10)003 (ETSI SRDoc.)</w:t>
      </w:r>
    </w:p>
    <w:p w:rsidR="00174475" w:rsidRPr="00704A2A" w:rsidRDefault="00174475" w:rsidP="00317FB7">
      <w:pPr>
        <w:pStyle w:val="KeinLeerraum"/>
        <w:rPr>
          <w:lang w:val="en-GB"/>
        </w:rPr>
      </w:pPr>
    </w:p>
    <w:p w:rsidR="00174475" w:rsidRPr="00704A2A" w:rsidRDefault="00174475" w:rsidP="00317FB7">
      <w:pPr>
        <w:pStyle w:val="KeinLeerraum"/>
        <w:rPr>
          <w:lang w:val="en-GB"/>
        </w:rPr>
      </w:pPr>
    </w:p>
    <w:p w:rsidR="00174475" w:rsidRPr="00704A2A" w:rsidRDefault="00174475" w:rsidP="00317FB7">
      <w:pPr>
        <w:pStyle w:val="KeinLeerraum"/>
        <w:rPr>
          <w:b/>
          <w:lang w:val="en-GB"/>
        </w:rPr>
      </w:pPr>
      <w:r w:rsidRPr="00704A2A">
        <w:rPr>
          <w:b/>
          <w:lang w:val="en-GB"/>
        </w:rPr>
        <w:br w:type="page"/>
      </w:r>
      <w:r w:rsidRPr="00704A2A">
        <w:rPr>
          <w:b/>
          <w:lang w:val="en-GB"/>
        </w:rPr>
        <w:lastRenderedPageBreak/>
        <w:t>3</w:t>
      </w:r>
      <w:r w:rsidRPr="00704A2A">
        <w:rPr>
          <w:b/>
          <w:lang w:val="en-GB"/>
        </w:rPr>
        <w:tab/>
        <w:t>OBJECTIVE</w:t>
      </w:r>
    </w:p>
    <w:p w:rsidR="00174475" w:rsidRPr="00704A2A" w:rsidRDefault="00174475" w:rsidP="00317FB7">
      <w:pPr>
        <w:pStyle w:val="KeinLeerraum"/>
        <w:rPr>
          <w:lang w:val="en-GB"/>
        </w:rPr>
      </w:pPr>
    </w:p>
    <w:p w:rsidR="00174475" w:rsidRPr="00704A2A" w:rsidRDefault="00174475" w:rsidP="00317FB7">
      <w:pPr>
        <w:pStyle w:val="KeinLeerraum"/>
        <w:rPr>
          <w:lang w:val="en-GB"/>
        </w:rPr>
      </w:pPr>
    </w:p>
    <w:p w:rsidR="00174475" w:rsidRPr="00704A2A" w:rsidRDefault="00174475" w:rsidP="00317FB7">
      <w:pPr>
        <w:pStyle w:val="KeinLeerraum"/>
        <w:rPr>
          <w:b/>
          <w:lang w:val="en-GB"/>
        </w:rPr>
      </w:pPr>
      <w:r w:rsidRPr="00704A2A">
        <w:rPr>
          <w:b/>
          <w:lang w:val="en-GB"/>
        </w:rPr>
        <w:br w:type="page"/>
      </w:r>
      <w:r w:rsidRPr="00704A2A">
        <w:rPr>
          <w:b/>
          <w:lang w:val="en-GB"/>
        </w:rPr>
        <w:lastRenderedPageBreak/>
        <w:t>4</w:t>
      </w:r>
      <w:r w:rsidRPr="00704A2A">
        <w:rPr>
          <w:b/>
          <w:lang w:val="en-GB"/>
        </w:rPr>
        <w:tab/>
        <w:t>MOTIVATION AND SPECTRUM DEMAND FOR BROADBAND DA2GC</w:t>
      </w:r>
    </w:p>
    <w:p w:rsidR="00174475" w:rsidRPr="00704A2A" w:rsidRDefault="00174475" w:rsidP="00317FB7">
      <w:pPr>
        <w:pStyle w:val="KeinLeerraum"/>
        <w:rPr>
          <w:lang w:val="en-GB"/>
        </w:rPr>
      </w:pPr>
    </w:p>
    <w:p w:rsidR="00174475" w:rsidRPr="00704A2A" w:rsidRDefault="00174475" w:rsidP="00317FB7">
      <w:pPr>
        <w:pStyle w:val="KeinLeerraum"/>
        <w:rPr>
          <w:lang w:val="en-GB"/>
        </w:rPr>
      </w:pPr>
    </w:p>
    <w:p w:rsidR="00174475" w:rsidRPr="00704A2A" w:rsidRDefault="00174475" w:rsidP="00317FB7">
      <w:pPr>
        <w:pStyle w:val="KeinLeerraum"/>
        <w:rPr>
          <w:b/>
          <w:lang w:val="en-GB"/>
        </w:rPr>
      </w:pPr>
      <w:r w:rsidRPr="00704A2A">
        <w:rPr>
          <w:b/>
          <w:lang w:val="en-GB"/>
        </w:rPr>
        <w:t>4.1</w:t>
      </w:r>
      <w:r w:rsidRPr="00704A2A">
        <w:rPr>
          <w:b/>
          <w:lang w:val="en-GB"/>
        </w:rPr>
        <w:tab/>
        <w:t>MOTIVATION FOR BROADBAND DA2GC</w:t>
      </w:r>
    </w:p>
    <w:p w:rsidR="00174475" w:rsidRPr="00704A2A" w:rsidRDefault="00174475" w:rsidP="00AD45F4">
      <w:pPr>
        <w:rPr>
          <w:color w:val="0000FF"/>
          <w:lang w:val="en-GB"/>
        </w:rPr>
      </w:pPr>
    </w:p>
    <w:p w:rsidR="00174475" w:rsidRPr="00704A2A" w:rsidRDefault="00174475" w:rsidP="00AD45F4">
      <w:pPr>
        <w:rPr>
          <w:color w:val="0000FF"/>
          <w:lang w:val="en-GB"/>
        </w:rPr>
      </w:pPr>
      <w:r w:rsidRPr="00704A2A">
        <w:rPr>
          <w:color w:val="0000FF"/>
          <w:lang w:val="en-GB"/>
        </w:rPr>
        <w:t xml:space="preserve">Mobile customers expect to be connected everywhere, every time, with all kind of mobile devices. The implementation of a broadband DA2GC system in </w:t>
      </w:r>
      <w:smartTag w:uri="urn:schemas-microsoft-com:office:smarttags" w:element="place">
        <w:r w:rsidRPr="00704A2A">
          <w:rPr>
            <w:color w:val="0000FF"/>
            <w:lang w:val="en-GB"/>
          </w:rPr>
          <w:t>Europe</w:t>
        </w:r>
      </w:smartTag>
      <w:r w:rsidRPr="00704A2A">
        <w:rPr>
          <w:color w:val="0000FF"/>
          <w:lang w:val="en-GB"/>
        </w:rPr>
        <w:t xml:space="preserve"> would enable to cover a currently almost uncovered area, namely onboard aircraft. </w:t>
      </w:r>
    </w:p>
    <w:p w:rsidR="00174475" w:rsidRPr="00704A2A" w:rsidRDefault="00174475" w:rsidP="00AD45F4">
      <w:pPr>
        <w:rPr>
          <w:color w:val="0000FF"/>
          <w:lang w:val="en-GB"/>
        </w:rPr>
      </w:pPr>
      <w:r w:rsidRPr="00704A2A">
        <w:rPr>
          <w:color w:val="0000FF"/>
          <w:lang w:val="en-GB"/>
        </w:rPr>
        <w:t>European airlines have great interest to offer internet services to their flight passengers in their continental fleets as soon as possible. The costs for the aircraft installation and maintenance are a key issue. In particular with regard to the antenna, a terrestrial solution has a clear advantage compared to satellite connection.</w:t>
      </w:r>
      <w:r w:rsidRPr="00704A2A">
        <w:rPr>
          <w:rStyle w:val="Funotenzeichen"/>
          <w:color w:val="0000FF"/>
          <w:lang w:val="en-GB"/>
        </w:rPr>
        <w:t xml:space="preserve"> </w:t>
      </w:r>
    </w:p>
    <w:p w:rsidR="00174475" w:rsidRPr="00704A2A" w:rsidRDefault="00174475" w:rsidP="000265E5">
      <w:pPr>
        <w:rPr>
          <w:color w:val="0000FF"/>
          <w:lang w:val="en-GB"/>
        </w:rPr>
      </w:pPr>
      <w:r w:rsidRPr="00704A2A">
        <w:rPr>
          <w:color w:val="0000FF"/>
          <w:lang w:val="en-GB"/>
        </w:rPr>
        <w:t xml:space="preserve">The air traffic within European area until 2014 is estimated to increase as shown in </w:t>
      </w:r>
      <w:r w:rsidRPr="00704A2A">
        <w:rPr>
          <w:color w:val="0000FF"/>
          <w:lang w:val="en-GB"/>
        </w:rPr>
        <w:fldChar w:fldCharType="begin"/>
      </w:r>
      <w:r w:rsidRPr="00704A2A">
        <w:rPr>
          <w:color w:val="0000FF"/>
          <w:lang w:val="en-GB"/>
        </w:rPr>
        <w:instrText xml:space="preserve"> REF _Ref309653600 \h </w:instrText>
      </w:r>
      <w:r w:rsidRPr="00704A2A">
        <w:rPr>
          <w:color w:val="0000FF"/>
          <w:lang w:val="en-GB"/>
        </w:rPr>
      </w:r>
      <w:r w:rsidRPr="00704A2A">
        <w:rPr>
          <w:color w:val="0000FF"/>
          <w:lang w:val="en-GB"/>
        </w:rPr>
        <w:fldChar w:fldCharType="separate"/>
      </w:r>
      <w:r w:rsidRPr="00704A2A">
        <w:rPr>
          <w:rFonts w:cs="Arial"/>
          <w:color w:val="0000FF"/>
          <w:szCs w:val="22"/>
          <w:lang w:val="en-GB"/>
        </w:rPr>
        <w:t>Figure 1</w:t>
      </w:r>
      <w:r w:rsidRPr="00704A2A">
        <w:rPr>
          <w:color w:val="0000FF"/>
          <w:lang w:val="en-GB"/>
        </w:rPr>
        <w:fldChar w:fldCharType="end"/>
      </w:r>
      <w:r w:rsidRPr="00704A2A">
        <w:rPr>
          <w:color w:val="0000FF"/>
          <w:lang w:val="en-GB"/>
        </w:rPr>
        <w:t>. In general the annual growth rate is in the range of about 4 % on average during the last decades except of years with economic crises arising as in 2008/2009.</w:t>
      </w:r>
    </w:p>
    <w:p w:rsidR="00174475" w:rsidRPr="00704A2A" w:rsidRDefault="00174475" w:rsidP="000265E5">
      <w:pPr>
        <w:rPr>
          <w:color w:val="0000FF"/>
          <w:lang w:val="en-GB"/>
        </w:rPr>
      </w:pPr>
    </w:p>
    <w:p w:rsidR="00174475" w:rsidRPr="00704A2A" w:rsidRDefault="00754ABF" w:rsidP="000265E5">
      <w:pPr>
        <w:rPr>
          <w:b/>
          <w:color w:val="0000FF"/>
          <w:lang w:val="en-GB"/>
        </w:rPr>
      </w:pPr>
      <w:r>
        <w:rPr>
          <w:b/>
          <w:color w:val="0000FF"/>
          <w:lang w:val="en-GB"/>
        </w:rPr>
        <w:pict>
          <v:shape id="_x0000_i1026" type="#_x0000_t75" style="width:451.9pt;height:141.85pt">
            <v:imagedata r:id="rId9" o:title=""/>
          </v:shape>
        </w:pict>
      </w:r>
    </w:p>
    <w:p w:rsidR="00174475" w:rsidRPr="00704A2A" w:rsidRDefault="00174475" w:rsidP="000265E5">
      <w:pPr>
        <w:pStyle w:val="Beschriftung"/>
        <w:jc w:val="center"/>
        <w:rPr>
          <w:rFonts w:ascii="Arial" w:hAnsi="Arial" w:cs="Arial"/>
          <w:b w:val="0"/>
          <w:color w:val="0000FF"/>
          <w:sz w:val="22"/>
          <w:szCs w:val="22"/>
        </w:rPr>
      </w:pPr>
      <w:bookmarkStart w:id="1" w:name="_Ref309653600"/>
      <w:r w:rsidRPr="00704A2A">
        <w:rPr>
          <w:rFonts w:ascii="Arial" w:hAnsi="Arial" w:cs="Arial"/>
          <w:color w:val="0000FF"/>
          <w:sz w:val="22"/>
          <w:szCs w:val="22"/>
        </w:rPr>
        <w:t xml:space="preserve">Figure </w:t>
      </w:r>
      <w:r w:rsidRPr="00704A2A">
        <w:rPr>
          <w:rFonts w:ascii="Arial" w:hAnsi="Arial" w:cs="Arial"/>
          <w:color w:val="0000FF"/>
          <w:sz w:val="22"/>
          <w:szCs w:val="22"/>
        </w:rPr>
        <w:fldChar w:fldCharType="begin"/>
      </w:r>
      <w:r w:rsidRPr="00704A2A">
        <w:rPr>
          <w:rFonts w:ascii="Arial" w:hAnsi="Arial" w:cs="Arial"/>
          <w:color w:val="0000FF"/>
          <w:sz w:val="22"/>
          <w:szCs w:val="22"/>
        </w:rPr>
        <w:instrText xml:space="preserve"> SEQ Figure \* ARABIC </w:instrText>
      </w:r>
      <w:r w:rsidRPr="00704A2A">
        <w:rPr>
          <w:rFonts w:ascii="Arial" w:hAnsi="Arial" w:cs="Arial"/>
          <w:color w:val="0000FF"/>
          <w:sz w:val="22"/>
          <w:szCs w:val="22"/>
        </w:rPr>
        <w:fldChar w:fldCharType="separate"/>
      </w:r>
      <w:r w:rsidRPr="00704A2A">
        <w:rPr>
          <w:rFonts w:ascii="Arial" w:hAnsi="Arial" w:cs="Arial"/>
          <w:color w:val="0000FF"/>
          <w:sz w:val="22"/>
          <w:szCs w:val="22"/>
        </w:rPr>
        <w:t>1</w:t>
      </w:r>
      <w:r w:rsidRPr="00704A2A">
        <w:rPr>
          <w:rFonts w:ascii="Arial" w:hAnsi="Arial" w:cs="Arial"/>
          <w:color w:val="0000FF"/>
          <w:sz w:val="22"/>
          <w:szCs w:val="22"/>
        </w:rPr>
        <w:fldChar w:fldCharType="end"/>
      </w:r>
      <w:bookmarkEnd w:id="1"/>
      <w:r w:rsidRPr="00704A2A">
        <w:rPr>
          <w:rFonts w:ascii="Arial" w:hAnsi="Arial" w:cs="Arial"/>
          <w:color w:val="0000FF"/>
          <w:sz w:val="22"/>
          <w:szCs w:val="22"/>
        </w:rPr>
        <w:t>: Forecast of European air traffic (source: Eurocontrol / 2008)</w:t>
      </w:r>
    </w:p>
    <w:p w:rsidR="00174475" w:rsidRPr="00704A2A" w:rsidRDefault="00174475" w:rsidP="000265E5">
      <w:pPr>
        <w:rPr>
          <w:b/>
          <w:color w:val="0000FF"/>
          <w:lang w:val="en-GB"/>
        </w:rPr>
      </w:pPr>
    </w:p>
    <w:p w:rsidR="00174475" w:rsidRPr="00704A2A" w:rsidRDefault="00174475" w:rsidP="009F23C7">
      <w:pPr>
        <w:spacing w:before="120"/>
        <w:rPr>
          <w:color w:val="0000FF"/>
          <w:lang w:val="en-GB"/>
        </w:rPr>
      </w:pPr>
      <w:r w:rsidRPr="00704A2A">
        <w:rPr>
          <w:color w:val="0000FF"/>
          <w:lang w:val="en-GB"/>
        </w:rPr>
        <w:t>Latest air traffic statistics and forecasts from Eurocontrol confirm these forecasts. Studies on air passenger demand for onboard connectivity are not publicly available, but accessible presentations highlight that “air passenger demand for onboard connectivity will grow” and that “In-flight entertainment and connectivity will have an important influence on airline choice”.</w:t>
      </w:r>
    </w:p>
    <w:p w:rsidR="00174475" w:rsidRPr="00704A2A" w:rsidRDefault="00174475" w:rsidP="000265E5">
      <w:pPr>
        <w:rPr>
          <w:color w:val="0000FF"/>
          <w:lang w:val="en-GB"/>
        </w:rPr>
      </w:pPr>
      <w:r w:rsidRPr="00704A2A">
        <w:rPr>
          <w:color w:val="0000FF"/>
          <w:lang w:val="en-GB"/>
        </w:rPr>
        <w:t xml:space="preserve">About 66 % of the European air traffic consists of national or continental flights, i.e. the main part of the airline business. The addressable market in </w:t>
      </w:r>
      <w:smartTag w:uri="urn:schemas-microsoft-com:office:smarttags" w:element="place">
        <w:r w:rsidRPr="00704A2A">
          <w:rPr>
            <w:color w:val="0000FF"/>
            <w:lang w:val="en-GB"/>
          </w:rPr>
          <w:t>Europe</w:t>
        </w:r>
      </w:smartTag>
      <w:r w:rsidRPr="00704A2A">
        <w:rPr>
          <w:color w:val="0000FF"/>
          <w:lang w:val="en-GB"/>
        </w:rPr>
        <w:t xml:space="preserve"> for DA2G communication is currently consisting of about 160 airlines with more than 4 500 aircraft expected in 2014 (without business aviation). In general a strong increase in percentage of aircraft fleet equipped with internet connectivity solutions is expected during next years as exemplarily displayed in </w:t>
      </w:r>
      <w:r w:rsidRPr="00704A2A">
        <w:rPr>
          <w:color w:val="0000FF"/>
          <w:lang w:val="en-GB"/>
        </w:rPr>
        <w:fldChar w:fldCharType="begin"/>
      </w:r>
      <w:r w:rsidRPr="00704A2A">
        <w:rPr>
          <w:color w:val="0000FF"/>
          <w:lang w:val="en-GB"/>
        </w:rPr>
        <w:instrText xml:space="preserve"> REF _Ref309653635 \h </w:instrText>
      </w:r>
      <w:r w:rsidRPr="00704A2A">
        <w:rPr>
          <w:color w:val="0000FF"/>
          <w:lang w:val="en-GB"/>
        </w:rPr>
      </w:r>
      <w:r w:rsidRPr="00704A2A">
        <w:rPr>
          <w:color w:val="0000FF"/>
          <w:lang w:val="en-GB"/>
        </w:rPr>
        <w:fldChar w:fldCharType="separate"/>
      </w:r>
      <w:r w:rsidRPr="00704A2A">
        <w:rPr>
          <w:rFonts w:cs="Arial"/>
          <w:color w:val="0000FF"/>
          <w:szCs w:val="22"/>
          <w:lang w:val="en-GB"/>
        </w:rPr>
        <w:t>Figure 2</w:t>
      </w:r>
      <w:r w:rsidRPr="00704A2A">
        <w:rPr>
          <w:color w:val="0000FF"/>
          <w:lang w:val="en-GB"/>
        </w:rPr>
        <w:fldChar w:fldCharType="end"/>
      </w:r>
      <w:r w:rsidRPr="00704A2A">
        <w:rPr>
          <w:color w:val="0000FF"/>
          <w:lang w:val="en-GB"/>
        </w:rPr>
        <w:t>. As a result of that market research more than 40 % of aircraft will allow APC services to their passengers up to 2016.</w:t>
      </w:r>
    </w:p>
    <w:p w:rsidR="00174475" w:rsidRPr="00704A2A" w:rsidRDefault="00174475" w:rsidP="000265E5">
      <w:pPr>
        <w:rPr>
          <w:lang w:val="en-GB"/>
        </w:rPr>
      </w:pPr>
    </w:p>
    <w:p w:rsidR="00174475" w:rsidRPr="00704A2A" w:rsidRDefault="00754ABF" w:rsidP="000265E5">
      <w:pPr>
        <w:jc w:val="center"/>
        <w:rPr>
          <w:b/>
          <w:lang w:val="en-GB"/>
        </w:rPr>
      </w:pPr>
      <w:r>
        <w:rPr>
          <w:b/>
          <w:lang w:val="en-GB"/>
        </w:rPr>
        <w:lastRenderedPageBreak/>
        <w:pict>
          <v:shape id="_x0000_i1027" type="#_x0000_t75" style="width:302.5pt;height:183.75pt">
            <v:imagedata r:id="rId10" o:title=""/>
          </v:shape>
        </w:pict>
      </w:r>
    </w:p>
    <w:p w:rsidR="00174475" w:rsidRPr="00704A2A" w:rsidRDefault="00174475" w:rsidP="000265E5">
      <w:pPr>
        <w:pStyle w:val="Beschriftung"/>
        <w:spacing w:before="120"/>
        <w:jc w:val="center"/>
        <w:rPr>
          <w:rFonts w:ascii="Arial" w:hAnsi="Arial" w:cs="Arial"/>
          <w:color w:val="0000FF"/>
          <w:sz w:val="22"/>
          <w:szCs w:val="22"/>
        </w:rPr>
      </w:pPr>
      <w:bookmarkStart w:id="2" w:name="_Ref309653635"/>
      <w:r w:rsidRPr="00704A2A">
        <w:rPr>
          <w:rFonts w:ascii="Arial" w:hAnsi="Arial" w:cs="Arial"/>
          <w:color w:val="0000FF"/>
          <w:sz w:val="22"/>
          <w:szCs w:val="22"/>
        </w:rPr>
        <w:t xml:space="preserve">Figure </w:t>
      </w:r>
      <w:r w:rsidRPr="00704A2A">
        <w:rPr>
          <w:rFonts w:ascii="Arial" w:hAnsi="Arial" w:cs="Arial"/>
          <w:color w:val="0000FF"/>
          <w:sz w:val="22"/>
          <w:szCs w:val="22"/>
        </w:rPr>
        <w:fldChar w:fldCharType="begin"/>
      </w:r>
      <w:r w:rsidRPr="00704A2A">
        <w:rPr>
          <w:rFonts w:ascii="Arial" w:hAnsi="Arial" w:cs="Arial"/>
          <w:color w:val="0000FF"/>
          <w:sz w:val="22"/>
          <w:szCs w:val="22"/>
        </w:rPr>
        <w:instrText xml:space="preserve"> SEQ Figure \* ARABIC </w:instrText>
      </w:r>
      <w:r w:rsidRPr="00704A2A">
        <w:rPr>
          <w:rFonts w:ascii="Arial" w:hAnsi="Arial" w:cs="Arial"/>
          <w:color w:val="0000FF"/>
          <w:sz w:val="22"/>
          <w:szCs w:val="22"/>
        </w:rPr>
        <w:fldChar w:fldCharType="separate"/>
      </w:r>
      <w:r w:rsidRPr="00704A2A">
        <w:rPr>
          <w:rFonts w:ascii="Arial" w:hAnsi="Arial" w:cs="Arial"/>
          <w:color w:val="0000FF"/>
          <w:sz w:val="22"/>
          <w:szCs w:val="22"/>
        </w:rPr>
        <w:t>2</w:t>
      </w:r>
      <w:r w:rsidRPr="00704A2A">
        <w:rPr>
          <w:rFonts w:ascii="Arial" w:hAnsi="Arial" w:cs="Arial"/>
          <w:color w:val="0000FF"/>
          <w:sz w:val="22"/>
          <w:szCs w:val="22"/>
        </w:rPr>
        <w:fldChar w:fldCharType="end"/>
      </w:r>
      <w:bookmarkEnd w:id="2"/>
      <w:r w:rsidRPr="00704A2A">
        <w:rPr>
          <w:color w:val="0000FF"/>
          <w:sz w:val="22"/>
          <w:szCs w:val="22"/>
        </w:rPr>
        <w:t xml:space="preserve">: </w:t>
      </w:r>
      <w:r w:rsidRPr="00704A2A">
        <w:rPr>
          <w:rFonts w:ascii="Arial" w:hAnsi="Arial" w:cs="Arial"/>
          <w:color w:val="0000FF"/>
          <w:sz w:val="22"/>
          <w:szCs w:val="22"/>
        </w:rPr>
        <w:t>Expected percentage of aircraft (source: IMS Research / 2010)</w:t>
      </w:r>
    </w:p>
    <w:p w:rsidR="00174475" w:rsidRPr="00704A2A" w:rsidRDefault="00174475" w:rsidP="000265E5">
      <w:pPr>
        <w:rPr>
          <w:lang w:val="en-GB"/>
        </w:rPr>
      </w:pPr>
    </w:p>
    <w:p w:rsidR="00174475" w:rsidRPr="00704A2A" w:rsidRDefault="00174475" w:rsidP="00BF3C4C">
      <w:pPr>
        <w:rPr>
          <w:color w:val="0000FF"/>
          <w:lang w:val="en-GB"/>
        </w:rPr>
      </w:pPr>
      <w:r w:rsidRPr="00704A2A">
        <w:rPr>
          <w:color w:val="0000FF"/>
          <w:lang w:val="en-GB"/>
        </w:rPr>
        <w:t xml:space="preserve">Whereas especially in North America direct voice and data communication services for passengers from an aircraft to the ground are available, similar services are still not possible within </w:t>
      </w:r>
      <w:smartTag w:uri="urn:schemas-microsoft-com:office:smarttags" w:element="place">
        <w:r w:rsidRPr="00704A2A">
          <w:rPr>
            <w:color w:val="0000FF"/>
            <w:lang w:val="en-GB"/>
          </w:rPr>
          <w:t>Europe</w:t>
        </w:r>
      </w:smartTag>
      <w:r w:rsidRPr="00704A2A">
        <w:rPr>
          <w:color w:val="0000FF"/>
          <w:lang w:val="en-GB"/>
        </w:rPr>
        <w:t>. An introduction of broadband DA2GC would not only increase Europe’s competitive position, it could also bring Europe into a leading position in this market segment, by achieving the following benefits to flight passengers, airlines, manufacturers as well as providers of broadband communications services:</w:t>
      </w:r>
    </w:p>
    <w:p w:rsidR="00174475" w:rsidRPr="00704A2A" w:rsidRDefault="00174475" w:rsidP="00BF3C4C">
      <w:pPr>
        <w:numPr>
          <w:ilvl w:val="0"/>
          <w:numId w:val="15"/>
        </w:numPr>
        <w:spacing w:after="0"/>
        <w:rPr>
          <w:color w:val="0000FF"/>
          <w:lang w:val="en-GB"/>
        </w:rPr>
      </w:pPr>
      <w:r w:rsidRPr="00704A2A">
        <w:rPr>
          <w:color w:val="0000FF"/>
          <w:lang w:val="en-GB"/>
        </w:rPr>
        <w:t>Increased economic efficiencies associated with the exploitation of greater economies of scale arising from the further harmonisation of spectrum management across CEPT.</w:t>
      </w:r>
    </w:p>
    <w:p w:rsidR="00174475" w:rsidRPr="00704A2A" w:rsidRDefault="00174475" w:rsidP="00BF3C4C">
      <w:pPr>
        <w:numPr>
          <w:ilvl w:val="0"/>
          <w:numId w:val="15"/>
        </w:numPr>
        <w:spacing w:after="0"/>
        <w:rPr>
          <w:color w:val="0000FF"/>
          <w:lang w:val="en-GB"/>
        </w:rPr>
      </w:pPr>
      <w:r w:rsidRPr="00704A2A">
        <w:rPr>
          <w:color w:val="0000FF"/>
          <w:lang w:val="en-GB"/>
        </w:rPr>
        <w:t>Increased investment and innovation in mobile services, including multimedia and phone services.</w:t>
      </w:r>
    </w:p>
    <w:p w:rsidR="00174475" w:rsidRPr="00704A2A" w:rsidRDefault="00174475" w:rsidP="00BF3C4C">
      <w:pPr>
        <w:numPr>
          <w:ilvl w:val="0"/>
          <w:numId w:val="15"/>
        </w:numPr>
        <w:spacing w:after="0"/>
        <w:rPr>
          <w:color w:val="0000FF"/>
          <w:lang w:val="en-GB"/>
        </w:rPr>
      </w:pPr>
      <w:r w:rsidRPr="00704A2A">
        <w:rPr>
          <w:color w:val="0000FF"/>
          <w:lang w:val="en-GB"/>
        </w:rPr>
        <w:t>Improved quality and coverage of mobile services.</w:t>
      </w:r>
    </w:p>
    <w:p w:rsidR="00174475" w:rsidRPr="00704A2A" w:rsidRDefault="00174475" w:rsidP="00BF3C4C">
      <w:pPr>
        <w:numPr>
          <w:ilvl w:val="0"/>
          <w:numId w:val="15"/>
        </w:numPr>
        <w:spacing w:after="0"/>
        <w:rPr>
          <w:color w:val="0000FF"/>
          <w:lang w:val="en-GB"/>
        </w:rPr>
      </w:pPr>
      <w:r w:rsidRPr="00704A2A">
        <w:rPr>
          <w:color w:val="0000FF"/>
          <w:lang w:val="en-GB"/>
        </w:rPr>
        <w:t>Increased competition and consumer choice in terms of the range of new innovative mobile services available.</w:t>
      </w:r>
    </w:p>
    <w:p w:rsidR="00174475" w:rsidRPr="00704A2A" w:rsidRDefault="00174475" w:rsidP="00BF3C4C">
      <w:pPr>
        <w:numPr>
          <w:ilvl w:val="0"/>
          <w:numId w:val="15"/>
        </w:numPr>
        <w:spacing w:after="0"/>
        <w:rPr>
          <w:color w:val="0000FF"/>
          <w:lang w:val="en-GB"/>
        </w:rPr>
      </w:pPr>
      <w:r w:rsidRPr="00704A2A">
        <w:rPr>
          <w:color w:val="0000FF"/>
          <w:lang w:val="en-GB"/>
        </w:rPr>
        <w:t>Improved efficiency for aviation industry through in-flight administrative communication services.</w:t>
      </w:r>
    </w:p>
    <w:p w:rsidR="00174475" w:rsidRPr="00704A2A" w:rsidRDefault="00174475" w:rsidP="00BF3C4C">
      <w:pPr>
        <w:ind w:left="360"/>
        <w:rPr>
          <w:color w:val="0000FF"/>
          <w:lang w:val="en-GB"/>
        </w:rPr>
      </w:pPr>
    </w:p>
    <w:p w:rsidR="00174475" w:rsidRPr="00704A2A" w:rsidRDefault="00174475" w:rsidP="00AD45F4">
      <w:pPr>
        <w:rPr>
          <w:color w:val="0000FF"/>
          <w:lang w:val="en-GB"/>
        </w:rPr>
      </w:pPr>
      <w:r w:rsidRPr="00704A2A">
        <w:rPr>
          <w:color w:val="0000FF"/>
          <w:lang w:val="en-GB"/>
        </w:rPr>
        <w:t xml:space="preserve">In the case that no frequency spectrum is going to be designated to broadband DA2GC in </w:t>
      </w:r>
      <w:smartTag w:uri="urn:schemas-microsoft-com:office:smarttags" w:element="place">
        <w:r w:rsidRPr="00704A2A">
          <w:rPr>
            <w:color w:val="0000FF"/>
            <w:lang w:val="en-GB"/>
          </w:rPr>
          <w:t>Europe</w:t>
        </w:r>
      </w:smartTag>
      <w:r w:rsidRPr="00704A2A">
        <w:rPr>
          <w:color w:val="0000FF"/>
          <w:lang w:val="en-GB"/>
        </w:rPr>
        <w:t xml:space="preserve">, Airlines would be urged to choose a more expensive satellite connectivity solution for their continental aircraft fleets. This would lead to higher expenditures for European airlines and likely to higher prices for European air passengers. </w:t>
      </w:r>
    </w:p>
    <w:p w:rsidR="00174475" w:rsidRPr="00704A2A" w:rsidRDefault="00174475" w:rsidP="00317FB7">
      <w:pPr>
        <w:pStyle w:val="KeinLeerraum"/>
        <w:rPr>
          <w:color w:val="0000FF"/>
          <w:lang w:val="en-GB"/>
        </w:rPr>
      </w:pPr>
    </w:p>
    <w:p w:rsidR="00174475" w:rsidRPr="00704A2A" w:rsidRDefault="00174475" w:rsidP="00317FB7">
      <w:pPr>
        <w:pStyle w:val="KeinLeerraum"/>
        <w:rPr>
          <w:lang w:val="en-GB"/>
        </w:rPr>
      </w:pPr>
    </w:p>
    <w:p w:rsidR="00174475" w:rsidRPr="00704A2A" w:rsidRDefault="00174475" w:rsidP="00317FB7">
      <w:pPr>
        <w:pStyle w:val="KeinLeerraum"/>
        <w:rPr>
          <w:b/>
          <w:lang w:val="en-GB"/>
        </w:rPr>
      </w:pPr>
      <w:r w:rsidRPr="00704A2A">
        <w:rPr>
          <w:b/>
          <w:lang w:val="en-GB"/>
        </w:rPr>
        <w:br w:type="page"/>
      </w:r>
      <w:r w:rsidRPr="00704A2A">
        <w:rPr>
          <w:b/>
          <w:lang w:val="en-GB"/>
        </w:rPr>
        <w:lastRenderedPageBreak/>
        <w:t>4.2</w:t>
      </w:r>
      <w:r w:rsidRPr="00704A2A">
        <w:rPr>
          <w:b/>
          <w:lang w:val="en-GB"/>
        </w:rPr>
        <w:tab/>
        <w:t>SPECTRUM DEMAND FOR BROADBAND DA2GC</w:t>
      </w:r>
    </w:p>
    <w:p w:rsidR="00174475" w:rsidRPr="00704A2A" w:rsidRDefault="00174475" w:rsidP="00317FB7">
      <w:pPr>
        <w:pStyle w:val="KeinLeerraum"/>
        <w:rPr>
          <w:highlight w:val="yellow"/>
          <w:lang w:val="en-GB"/>
        </w:rPr>
      </w:pPr>
    </w:p>
    <w:p w:rsidR="00174475" w:rsidRPr="00704A2A" w:rsidRDefault="00174475" w:rsidP="00317FB7">
      <w:pPr>
        <w:pStyle w:val="KeinLeerraum"/>
        <w:rPr>
          <w:highlight w:val="yellow"/>
          <w:lang w:val="en-GB"/>
        </w:rPr>
      </w:pPr>
      <w:r w:rsidRPr="00704A2A">
        <w:rPr>
          <w:highlight w:val="yellow"/>
          <w:lang w:val="en-GB"/>
        </w:rPr>
        <w:t>key elements:</w:t>
      </w:r>
    </w:p>
    <w:p w:rsidR="00174475" w:rsidRPr="00704A2A" w:rsidRDefault="00174475" w:rsidP="00317FB7">
      <w:pPr>
        <w:pStyle w:val="KeinLeerraum"/>
        <w:rPr>
          <w:highlight w:val="yellow"/>
          <w:lang w:val="en-GB"/>
        </w:rPr>
      </w:pPr>
      <w:r w:rsidRPr="00704A2A">
        <w:rPr>
          <w:highlight w:val="yellow"/>
          <w:lang w:val="en-GB"/>
        </w:rPr>
        <w:t>spectrum demand in general, how many systems?, (competition and cooperation between different network operators / service providers), comparison with satellite systems,</w:t>
      </w:r>
    </w:p>
    <w:p w:rsidR="00174475" w:rsidRPr="00704A2A" w:rsidRDefault="00174475" w:rsidP="00317FB7">
      <w:pPr>
        <w:pStyle w:val="KeinLeerraum"/>
        <w:rPr>
          <w:lang w:val="en-GB"/>
        </w:rPr>
      </w:pPr>
      <w:r w:rsidRPr="00704A2A">
        <w:rPr>
          <w:highlight w:val="yellow"/>
          <w:lang w:val="en-GB"/>
        </w:rPr>
        <w:t>see also FM48(11)043-Annex1r2 (section 5), FM48(11)024 (same as FM(11)091)</w:t>
      </w:r>
    </w:p>
    <w:p w:rsidR="00174475" w:rsidRPr="00704A2A" w:rsidRDefault="00174475" w:rsidP="00AD45F4">
      <w:pPr>
        <w:spacing w:before="120"/>
        <w:rPr>
          <w:color w:val="0000FF"/>
          <w:lang w:val="en-GB"/>
        </w:rPr>
      </w:pPr>
      <w:r w:rsidRPr="00704A2A">
        <w:rPr>
          <w:color w:val="0000FF"/>
          <w:lang w:val="en-GB"/>
        </w:rPr>
        <w:t>Paired spectrum of 2 x 10 MHz for FDD operation is considered necessary to cope with short- to medium-term demand. Unpaired spectrum for TDD operation (20 MHz) would also be an option, but it might be more complicated to identify a contiguous block of 20 MHz for TDD operation, see [3].</w:t>
      </w:r>
    </w:p>
    <w:p w:rsidR="00174475" w:rsidRPr="00704A2A" w:rsidRDefault="00174475" w:rsidP="00317FB7">
      <w:pPr>
        <w:pStyle w:val="KeinLeerraum"/>
        <w:rPr>
          <w:lang w:val="en-GB"/>
        </w:rPr>
      </w:pPr>
    </w:p>
    <w:p w:rsidR="00174475" w:rsidRPr="00704A2A" w:rsidRDefault="00174475" w:rsidP="00317FB7">
      <w:pPr>
        <w:pStyle w:val="KeinLeerraum"/>
        <w:rPr>
          <w:lang w:val="en-GB"/>
        </w:rPr>
      </w:pPr>
    </w:p>
    <w:p w:rsidR="00174475" w:rsidRPr="00704A2A" w:rsidRDefault="00174475" w:rsidP="00317FB7">
      <w:pPr>
        <w:pStyle w:val="KeinLeerraum"/>
        <w:rPr>
          <w:b/>
          <w:lang w:val="en-GB"/>
        </w:rPr>
      </w:pPr>
      <w:r w:rsidRPr="00704A2A">
        <w:rPr>
          <w:b/>
          <w:lang w:val="en-GB"/>
        </w:rPr>
        <w:br w:type="page"/>
      </w:r>
      <w:r w:rsidRPr="00704A2A">
        <w:rPr>
          <w:b/>
          <w:lang w:val="en-GB"/>
        </w:rPr>
        <w:lastRenderedPageBreak/>
        <w:t>5</w:t>
      </w:r>
      <w:r w:rsidRPr="00704A2A">
        <w:rPr>
          <w:b/>
          <w:lang w:val="en-GB"/>
        </w:rPr>
        <w:tab/>
        <w:t>APPROPRIATE ECC REGULATION</w:t>
      </w:r>
    </w:p>
    <w:p w:rsidR="00174475" w:rsidRPr="00704A2A" w:rsidRDefault="00174475" w:rsidP="00317FB7">
      <w:pPr>
        <w:pStyle w:val="KeinLeerraum"/>
        <w:rPr>
          <w:lang w:val="en-GB"/>
        </w:rPr>
      </w:pPr>
    </w:p>
    <w:p w:rsidR="00174475" w:rsidRPr="00704A2A" w:rsidRDefault="00174475" w:rsidP="00B47F0F">
      <w:pPr>
        <w:pStyle w:val="KeinLeerraum"/>
        <w:rPr>
          <w:highlight w:val="yellow"/>
          <w:lang w:val="en-GB"/>
        </w:rPr>
      </w:pPr>
      <w:r w:rsidRPr="00704A2A">
        <w:rPr>
          <w:highlight w:val="yellow"/>
          <w:lang w:val="en-GB"/>
        </w:rPr>
        <w:t>key elements:</w:t>
      </w:r>
    </w:p>
    <w:p w:rsidR="00174475" w:rsidRPr="00704A2A" w:rsidRDefault="00174475" w:rsidP="00317FB7">
      <w:pPr>
        <w:pStyle w:val="KeinLeerraum"/>
        <w:rPr>
          <w:highlight w:val="yellow"/>
          <w:lang w:val="en-GB"/>
        </w:rPr>
      </w:pPr>
      <w:r w:rsidRPr="00704A2A">
        <w:rPr>
          <w:highlight w:val="yellow"/>
          <w:lang w:val="en-GB"/>
        </w:rPr>
        <w:t>ECC Decision, harmonisation, (cross-border coordination),</w:t>
      </w:r>
    </w:p>
    <w:p w:rsidR="00174475" w:rsidRPr="00704A2A" w:rsidRDefault="00174475" w:rsidP="00317FB7">
      <w:pPr>
        <w:pStyle w:val="KeinLeerraum"/>
        <w:rPr>
          <w:highlight w:val="yellow"/>
          <w:lang w:val="en-GB"/>
        </w:rPr>
      </w:pPr>
      <w:r w:rsidRPr="00704A2A">
        <w:rPr>
          <w:highlight w:val="yellow"/>
          <w:lang w:val="en-GB"/>
        </w:rPr>
        <w:t>Licensing (individual, light, exemption),</w:t>
      </w:r>
    </w:p>
    <w:p w:rsidR="00174475" w:rsidRPr="00704A2A" w:rsidRDefault="00174475" w:rsidP="00317FB7">
      <w:pPr>
        <w:pStyle w:val="KeinLeerraum"/>
        <w:rPr>
          <w:highlight w:val="yellow"/>
          <w:lang w:val="en-GB"/>
        </w:rPr>
      </w:pPr>
      <w:r w:rsidRPr="00704A2A">
        <w:rPr>
          <w:highlight w:val="yellow"/>
          <w:lang w:val="en-GB"/>
        </w:rPr>
        <w:t>legal aspects (...),</w:t>
      </w:r>
    </w:p>
    <w:p w:rsidR="00174475" w:rsidRPr="00704A2A" w:rsidRDefault="00174475" w:rsidP="00317FB7">
      <w:pPr>
        <w:pStyle w:val="KeinLeerraum"/>
        <w:rPr>
          <w:lang w:val="en-GB"/>
        </w:rPr>
      </w:pPr>
      <w:r w:rsidRPr="00704A2A">
        <w:rPr>
          <w:highlight w:val="yellow"/>
          <w:lang w:val="en-GB"/>
        </w:rPr>
        <w:t>one stop shopping (ECO)?</w:t>
      </w:r>
    </w:p>
    <w:p w:rsidR="00174475" w:rsidRPr="00704A2A" w:rsidRDefault="00174475" w:rsidP="00317FB7">
      <w:pPr>
        <w:pStyle w:val="KeinLeerraum"/>
        <w:rPr>
          <w:lang w:val="en-GB"/>
        </w:rPr>
      </w:pPr>
    </w:p>
    <w:p w:rsidR="00174475" w:rsidRPr="00704A2A" w:rsidRDefault="00174475" w:rsidP="0059591C">
      <w:pPr>
        <w:spacing w:before="120"/>
        <w:rPr>
          <w:color w:val="0000FF"/>
          <w:lang w:val="en-GB"/>
        </w:rPr>
      </w:pPr>
      <w:r w:rsidRPr="00704A2A">
        <w:rPr>
          <w:color w:val="0000FF"/>
          <w:lang w:val="en-GB"/>
        </w:rPr>
        <w:t>...</w:t>
      </w:r>
    </w:p>
    <w:p w:rsidR="00174475" w:rsidRPr="00704A2A" w:rsidRDefault="00174475" w:rsidP="000265E5">
      <w:pPr>
        <w:rPr>
          <w:color w:val="0000FF"/>
          <w:lang w:val="en-GB"/>
        </w:rPr>
      </w:pPr>
      <w:r w:rsidRPr="00704A2A">
        <w:rPr>
          <w:color w:val="0000FF"/>
          <w:lang w:val="en-GB"/>
        </w:rPr>
        <w:t>Network investment and deployment costs as well as aircraft equipment costs are high for broadband DA2GC, and the associated high technological and financial risks require economies of scale for such a system in the form of pan-European geographic coverage, so that they remain economically viable. In order to achieve a continental-wide coverage, a harmonised radio spectrum designation is essential. In addition, a European harmonised authorisation is considered necessary to provide the regulatory certainty that network operators and airlines require to invest in a broadband DA2GC system.</w:t>
      </w:r>
    </w:p>
    <w:p w:rsidR="00174475" w:rsidRPr="00704A2A" w:rsidRDefault="00174475" w:rsidP="0059591C">
      <w:pPr>
        <w:spacing w:before="120"/>
        <w:rPr>
          <w:color w:val="0000FF"/>
          <w:lang w:val="en-GB"/>
        </w:rPr>
      </w:pPr>
      <w:r w:rsidRPr="00704A2A">
        <w:rPr>
          <w:color w:val="0000FF"/>
          <w:lang w:val="en-GB"/>
        </w:rPr>
        <w:t>...</w:t>
      </w:r>
    </w:p>
    <w:p w:rsidR="00174475" w:rsidRPr="00704A2A" w:rsidRDefault="00174475" w:rsidP="00317FB7">
      <w:pPr>
        <w:pStyle w:val="KeinLeerraum"/>
        <w:rPr>
          <w:b/>
          <w:lang w:val="en-GB"/>
        </w:rPr>
      </w:pPr>
      <w:r w:rsidRPr="00704A2A">
        <w:rPr>
          <w:b/>
          <w:color w:val="0000FF"/>
          <w:lang w:val="en-GB"/>
        </w:rPr>
        <w:br w:type="page"/>
      </w:r>
      <w:r w:rsidRPr="00704A2A">
        <w:rPr>
          <w:b/>
          <w:lang w:val="en-GB"/>
        </w:rPr>
        <w:lastRenderedPageBreak/>
        <w:t>6</w:t>
      </w:r>
      <w:r w:rsidRPr="00704A2A">
        <w:rPr>
          <w:b/>
          <w:lang w:val="en-GB"/>
        </w:rPr>
        <w:tab/>
        <w:t>DETAILED SYSTEM DESCRIPTIONS</w:t>
      </w:r>
    </w:p>
    <w:p w:rsidR="00174475" w:rsidRPr="00704A2A" w:rsidRDefault="00174475" w:rsidP="00317FB7">
      <w:pPr>
        <w:pStyle w:val="KeinLeerraum"/>
        <w:rPr>
          <w:lang w:val="en-GB"/>
        </w:rPr>
      </w:pPr>
    </w:p>
    <w:p w:rsidR="00174475" w:rsidRPr="00704A2A" w:rsidRDefault="00174475" w:rsidP="00317FB7">
      <w:pPr>
        <w:pStyle w:val="KeinLeerraum"/>
        <w:rPr>
          <w:lang w:val="en-GB"/>
        </w:rPr>
      </w:pPr>
    </w:p>
    <w:p w:rsidR="00174475" w:rsidRPr="00704A2A" w:rsidRDefault="00174475" w:rsidP="00317FB7">
      <w:pPr>
        <w:pStyle w:val="KeinLeerraum"/>
        <w:rPr>
          <w:b/>
          <w:lang w:val="en-GB"/>
        </w:rPr>
      </w:pPr>
      <w:r w:rsidRPr="00704A2A">
        <w:rPr>
          <w:b/>
          <w:lang w:val="en-GB"/>
        </w:rPr>
        <w:t>6.1</w:t>
      </w:r>
      <w:r w:rsidRPr="00704A2A">
        <w:rPr>
          <w:b/>
          <w:lang w:val="en-GB"/>
        </w:rPr>
        <w:tab/>
        <w:t>PROPOSAL FROM ETSI (TR 103 054 V1.1.1 (2010-07))</w:t>
      </w:r>
    </w:p>
    <w:p w:rsidR="00174475" w:rsidRPr="00704A2A" w:rsidRDefault="00174475" w:rsidP="00317FB7">
      <w:pPr>
        <w:pStyle w:val="KeinLeerraum"/>
        <w:rPr>
          <w:lang w:val="en-GB"/>
        </w:rPr>
      </w:pPr>
    </w:p>
    <w:p w:rsidR="00174475" w:rsidRPr="00704A2A" w:rsidRDefault="00174475" w:rsidP="00317FB7">
      <w:pPr>
        <w:pStyle w:val="KeinLeerraum"/>
        <w:rPr>
          <w:highlight w:val="yellow"/>
          <w:lang w:val="en-GB"/>
        </w:rPr>
      </w:pPr>
      <w:r w:rsidRPr="00704A2A">
        <w:rPr>
          <w:highlight w:val="yellow"/>
          <w:lang w:val="en-GB"/>
        </w:rPr>
        <w:t>see FM48(10)003 and FM48(10)010 (ETSI System Reference Document)</w:t>
      </w:r>
    </w:p>
    <w:p w:rsidR="00174475" w:rsidRPr="00704A2A" w:rsidRDefault="00174475" w:rsidP="00317FB7">
      <w:pPr>
        <w:pStyle w:val="KeinLeerraum"/>
        <w:rPr>
          <w:highlight w:val="yellow"/>
          <w:lang w:val="en-GB"/>
        </w:rPr>
      </w:pPr>
    </w:p>
    <w:p w:rsidR="00174475" w:rsidRPr="00704A2A" w:rsidRDefault="00174475" w:rsidP="00317FB7">
      <w:pPr>
        <w:pStyle w:val="KeinLeerraum"/>
        <w:rPr>
          <w:highlight w:val="yellow"/>
          <w:lang w:val="en-GB"/>
        </w:rPr>
      </w:pPr>
      <w:r w:rsidRPr="00704A2A">
        <w:rPr>
          <w:highlight w:val="yellow"/>
          <w:lang w:val="en-GB"/>
        </w:rPr>
        <w:t>key elements:</w:t>
      </w:r>
    </w:p>
    <w:p w:rsidR="00174475" w:rsidRPr="00704A2A" w:rsidRDefault="00174475" w:rsidP="00317FB7">
      <w:pPr>
        <w:pStyle w:val="KeinLeerraum"/>
        <w:rPr>
          <w:lang w:val="en-GB"/>
        </w:rPr>
      </w:pPr>
      <w:r w:rsidRPr="00704A2A">
        <w:rPr>
          <w:highlight w:val="yellow"/>
          <w:lang w:val="en-GB"/>
        </w:rPr>
        <w:t>detailed system description (technology), QoS, specific spectrum needs, candidate bands, timeframe for equipment availability, system implementation (airline interest, operator commitment)</w:t>
      </w:r>
    </w:p>
    <w:p w:rsidR="00174475" w:rsidRPr="00704A2A" w:rsidRDefault="00174475" w:rsidP="00317FB7">
      <w:pPr>
        <w:pStyle w:val="KeinLeerraum"/>
        <w:rPr>
          <w:lang w:val="en-GB"/>
        </w:rPr>
      </w:pPr>
    </w:p>
    <w:p w:rsidR="00174475" w:rsidRPr="00704A2A" w:rsidRDefault="00174475" w:rsidP="00317FB7">
      <w:pPr>
        <w:pStyle w:val="KeinLeerraum"/>
        <w:rPr>
          <w:color w:val="0000FF"/>
          <w:lang w:val="en-GB"/>
        </w:rPr>
      </w:pPr>
      <w:r w:rsidRPr="00704A2A">
        <w:rPr>
          <w:color w:val="0000FF"/>
          <w:lang w:val="en-GB"/>
        </w:rPr>
        <w:t>The broadband DA2GC system described in this chapter is based on the ETSI System Reference Document “Broadband Direct-Air-to-Ground Communications operating in part of the frequency range from 790 MHz to 5150 MHz” [1].</w:t>
      </w:r>
    </w:p>
    <w:p w:rsidR="00174475" w:rsidRPr="00704A2A" w:rsidRDefault="00174475" w:rsidP="00317FB7">
      <w:pPr>
        <w:pStyle w:val="KeinLeerraum"/>
        <w:rPr>
          <w:color w:val="0000FF"/>
          <w:lang w:val="en-GB"/>
        </w:rPr>
      </w:pPr>
    </w:p>
    <w:p w:rsidR="00174475" w:rsidRPr="00704A2A" w:rsidRDefault="00174475" w:rsidP="00317FB7">
      <w:pPr>
        <w:pStyle w:val="KeinLeerraum"/>
        <w:rPr>
          <w:lang w:val="en-GB"/>
        </w:rPr>
      </w:pPr>
    </w:p>
    <w:p w:rsidR="00174475" w:rsidRPr="00704A2A" w:rsidRDefault="00174475" w:rsidP="00DF2416">
      <w:pPr>
        <w:pStyle w:val="KeinLeerraum"/>
        <w:rPr>
          <w:b/>
          <w:color w:val="0000FF"/>
          <w:lang w:val="en-GB"/>
        </w:rPr>
      </w:pPr>
      <w:r w:rsidRPr="00704A2A">
        <w:rPr>
          <w:b/>
          <w:color w:val="0000FF"/>
          <w:lang w:val="en-GB"/>
        </w:rPr>
        <w:t>6.1.1</w:t>
      </w:r>
      <w:r w:rsidRPr="00704A2A">
        <w:rPr>
          <w:b/>
          <w:color w:val="0000FF"/>
          <w:lang w:val="en-GB"/>
        </w:rPr>
        <w:tab/>
        <w:t>System description</w:t>
      </w:r>
    </w:p>
    <w:p w:rsidR="00174475" w:rsidRPr="00704A2A" w:rsidRDefault="00174475" w:rsidP="009221E4">
      <w:pPr>
        <w:spacing w:before="120"/>
        <w:rPr>
          <w:color w:val="0000FF"/>
          <w:lang w:val="en-GB"/>
        </w:rPr>
      </w:pPr>
      <w:r w:rsidRPr="00704A2A">
        <w:rPr>
          <w:color w:val="0000FF"/>
          <w:lang w:val="en-GB"/>
        </w:rPr>
        <w:t xml:space="preserve">This broadband DA2GC system constitutes an application for various types of  telecommunications services, internet access and mobile multimedia services. It aims to provide access to broadband communication services during continental flights (via fixed or WiFi-based onboard connectivity network and/or via GSMOBA and in the future possibly also via 3G and/or 4G) on a Europe-wide basis. The overall end-to-end system architecture of the broadband DA2G communication system is illustrated in </w:t>
      </w:r>
      <w:r w:rsidR="00B048A7">
        <w:fldChar w:fldCharType="begin"/>
      </w:r>
      <w:r w:rsidR="00B048A7">
        <w:instrText xml:space="preserve"> REF _Ref309652545 \h  \* MERGEFORMAT </w:instrText>
      </w:r>
      <w:r w:rsidR="00B048A7">
        <w:fldChar w:fldCharType="separate"/>
      </w:r>
      <w:r w:rsidRPr="00704A2A">
        <w:rPr>
          <w:color w:val="0000FF"/>
          <w:lang w:val="en-GB"/>
        </w:rPr>
        <w:t>Figure 3</w:t>
      </w:r>
      <w:r w:rsidR="00B048A7">
        <w:fldChar w:fldCharType="end"/>
      </w:r>
      <w:r w:rsidRPr="00704A2A">
        <w:rPr>
          <w:color w:val="0000FF"/>
          <w:lang w:val="en-GB"/>
        </w:rPr>
        <w:t>. The request for spectrum is related to the direct air-to-ground radio solution.</w:t>
      </w:r>
    </w:p>
    <w:p w:rsidR="00174475" w:rsidRPr="00704A2A" w:rsidRDefault="00174475" w:rsidP="009221E4">
      <w:pPr>
        <w:ind w:left="567"/>
        <w:rPr>
          <w:lang w:val="en-GB"/>
        </w:rPr>
      </w:pPr>
    </w:p>
    <w:p w:rsidR="00174475" w:rsidRPr="00704A2A" w:rsidRDefault="00754ABF" w:rsidP="009221E4">
      <w:pPr>
        <w:jc w:val="center"/>
        <w:rPr>
          <w:sz w:val="20"/>
          <w:lang w:val="en-GB"/>
        </w:rPr>
      </w:pPr>
      <w:r>
        <w:rPr>
          <w:lang w:val="en-GB" w:eastAsia="en-GB"/>
        </w:rPr>
        <w:pict>
          <v:shape id="Picture 2" o:spid="_x0000_i1028" type="#_x0000_t75" alt="System-Architecture" style="width:447.6pt;height:232.65pt;visibility:visible">
            <v:imagedata r:id="rId11" o:title=""/>
          </v:shape>
        </w:pict>
      </w:r>
    </w:p>
    <w:p w:rsidR="00174475" w:rsidRPr="00704A2A" w:rsidRDefault="00174475" w:rsidP="00394059">
      <w:pPr>
        <w:pStyle w:val="Beschriftung"/>
        <w:jc w:val="center"/>
        <w:rPr>
          <w:rFonts w:ascii="Arial" w:hAnsi="Arial" w:cs="Arial"/>
          <w:color w:val="0000FF"/>
          <w:sz w:val="22"/>
          <w:szCs w:val="22"/>
        </w:rPr>
      </w:pPr>
      <w:bookmarkStart w:id="3" w:name="_Ref309652545"/>
      <w:r w:rsidRPr="00704A2A">
        <w:rPr>
          <w:rFonts w:ascii="Arial" w:hAnsi="Arial" w:cs="Arial"/>
          <w:color w:val="0000FF"/>
          <w:sz w:val="22"/>
          <w:szCs w:val="22"/>
        </w:rPr>
        <w:t xml:space="preserve">Figure </w:t>
      </w:r>
      <w:r w:rsidRPr="00704A2A">
        <w:rPr>
          <w:rFonts w:ascii="Arial" w:hAnsi="Arial" w:cs="Arial"/>
          <w:color w:val="0000FF"/>
          <w:sz w:val="22"/>
          <w:szCs w:val="22"/>
        </w:rPr>
        <w:fldChar w:fldCharType="begin"/>
      </w:r>
      <w:r w:rsidRPr="00704A2A">
        <w:rPr>
          <w:rFonts w:ascii="Arial" w:hAnsi="Arial" w:cs="Arial"/>
          <w:color w:val="0000FF"/>
          <w:sz w:val="22"/>
          <w:szCs w:val="22"/>
        </w:rPr>
        <w:instrText xml:space="preserve"> SEQ Figure \* ARABIC </w:instrText>
      </w:r>
      <w:r w:rsidRPr="00704A2A">
        <w:rPr>
          <w:rFonts w:ascii="Arial" w:hAnsi="Arial" w:cs="Arial"/>
          <w:color w:val="0000FF"/>
          <w:sz w:val="22"/>
          <w:szCs w:val="22"/>
        </w:rPr>
        <w:fldChar w:fldCharType="separate"/>
      </w:r>
      <w:r w:rsidRPr="00704A2A">
        <w:rPr>
          <w:rFonts w:ascii="Arial" w:hAnsi="Arial" w:cs="Arial"/>
          <w:color w:val="0000FF"/>
          <w:sz w:val="22"/>
          <w:szCs w:val="22"/>
        </w:rPr>
        <w:t>3</w:t>
      </w:r>
      <w:r w:rsidRPr="00704A2A">
        <w:rPr>
          <w:rFonts w:ascii="Arial" w:hAnsi="Arial" w:cs="Arial"/>
          <w:color w:val="0000FF"/>
          <w:sz w:val="22"/>
          <w:szCs w:val="22"/>
        </w:rPr>
        <w:fldChar w:fldCharType="end"/>
      </w:r>
      <w:bookmarkEnd w:id="3"/>
      <w:r w:rsidRPr="00704A2A">
        <w:rPr>
          <w:rFonts w:ascii="Arial" w:hAnsi="Arial" w:cs="Arial"/>
          <w:color w:val="0000FF"/>
          <w:sz w:val="22"/>
          <w:szCs w:val="22"/>
        </w:rPr>
        <w:t>: System architecture for broadband DA2G communication</w:t>
      </w:r>
    </w:p>
    <w:p w:rsidR="00174475" w:rsidRPr="00704A2A" w:rsidRDefault="00174475" w:rsidP="009221E4">
      <w:pPr>
        <w:rPr>
          <w:lang w:val="en-GB"/>
        </w:rPr>
      </w:pPr>
    </w:p>
    <w:p w:rsidR="00174475" w:rsidRPr="00704A2A" w:rsidRDefault="00174475" w:rsidP="00D80D69">
      <w:pPr>
        <w:rPr>
          <w:color w:val="0000FF"/>
          <w:lang w:val="en-GB"/>
        </w:rPr>
      </w:pPr>
      <w:r w:rsidRPr="00704A2A">
        <w:rPr>
          <w:color w:val="0000FF"/>
          <w:lang w:val="en-GB"/>
        </w:rPr>
        <w:t>The major building blocks of the end-to-end system architecture are:</w:t>
      </w:r>
    </w:p>
    <w:p w:rsidR="00174475" w:rsidRPr="00704A2A" w:rsidRDefault="00174475" w:rsidP="00D80D69">
      <w:pPr>
        <w:pStyle w:val="BN"/>
        <w:rPr>
          <w:rFonts w:ascii="Arial" w:hAnsi="Arial" w:cs="Arial"/>
          <w:color w:val="0000FF"/>
          <w:sz w:val="22"/>
          <w:szCs w:val="22"/>
        </w:rPr>
      </w:pPr>
      <w:r w:rsidRPr="00704A2A">
        <w:rPr>
          <w:rFonts w:ascii="Arial" w:hAnsi="Arial" w:cs="Arial"/>
          <w:color w:val="0000FF"/>
          <w:sz w:val="22"/>
          <w:szCs w:val="22"/>
        </w:rPr>
        <w:t>service related network infrastructure onboard the aircraft, e.g. WiFi coverage and GSMOBA (GSM OnBoard Aircraft is already standardized);</w:t>
      </w:r>
    </w:p>
    <w:p w:rsidR="00174475" w:rsidRPr="00704A2A" w:rsidRDefault="00174475" w:rsidP="00D80D69">
      <w:pPr>
        <w:pStyle w:val="BN"/>
        <w:rPr>
          <w:rFonts w:ascii="Arial" w:hAnsi="Arial" w:cs="Arial"/>
          <w:color w:val="0000FF"/>
          <w:sz w:val="22"/>
          <w:szCs w:val="22"/>
        </w:rPr>
      </w:pPr>
      <w:r w:rsidRPr="00704A2A">
        <w:rPr>
          <w:rFonts w:ascii="Arial" w:hAnsi="Arial" w:cs="Arial"/>
          <w:color w:val="0000FF"/>
          <w:sz w:val="22"/>
          <w:szCs w:val="22"/>
        </w:rPr>
        <w:t>DA2GC infrastructure onboard the aircraft (external antenna, modem, cabling, interface to on-board network);</w:t>
      </w:r>
    </w:p>
    <w:p w:rsidR="00174475" w:rsidRPr="00704A2A" w:rsidRDefault="00174475" w:rsidP="00D80D69">
      <w:pPr>
        <w:pStyle w:val="BN"/>
        <w:rPr>
          <w:rFonts w:ascii="Arial" w:hAnsi="Arial" w:cs="Arial"/>
          <w:color w:val="0000FF"/>
          <w:sz w:val="22"/>
          <w:szCs w:val="22"/>
        </w:rPr>
      </w:pPr>
      <w:r w:rsidRPr="00704A2A">
        <w:rPr>
          <w:rFonts w:ascii="Arial" w:hAnsi="Arial" w:cs="Arial"/>
          <w:color w:val="0000FF"/>
          <w:sz w:val="22"/>
          <w:szCs w:val="22"/>
        </w:rPr>
        <w:lastRenderedPageBreak/>
        <w:t>terrestrial radio access network for DA2GC with broadband backhaul links, which would preferably be based on existing infrastructure, but with modifications (e.g. with regard to antenna types and base station implementation) to establish high-performance radio links to aircraft in DA2G environment;</w:t>
      </w:r>
    </w:p>
    <w:p w:rsidR="00174475" w:rsidRPr="00704A2A" w:rsidRDefault="00174475" w:rsidP="00D80D69">
      <w:pPr>
        <w:pStyle w:val="BN"/>
        <w:rPr>
          <w:rFonts w:ascii="Arial" w:hAnsi="Arial" w:cs="Arial"/>
          <w:color w:val="0000FF"/>
          <w:sz w:val="22"/>
          <w:szCs w:val="22"/>
        </w:rPr>
      </w:pPr>
      <w:r w:rsidRPr="00704A2A">
        <w:rPr>
          <w:rFonts w:ascii="Arial" w:hAnsi="Arial" w:cs="Arial"/>
          <w:color w:val="0000FF"/>
          <w:sz w:val="22"/>
          <w:szCs w:val="22"/>
        </w:rPr>
        <w:t>mobile core network for session, mobility, subscriber and security management providing IP connectivity to external packet data networks (e.g. intranet, internet, IMS);</w:t>
      </w:r>
    </w:p>
    <w:p w:rsidR="00174475" w:rsidRPr="00704A2A" w:rsidRDefault="00174475" w:rsidP="00D80D69">
      <w:pPr>
        <w:pStyle w:val="BN"/>
        <w:rPr>
          <w:rFonts w:ascii="Arial" w:hAnsi="Arial" w:cs="Arial"/>
          <w:color w:val="0000FF"/>
          <w:sz w:val="22"/>
          <w:szCs w:val="22"/>
        </w:rPr>
      </w:pPr>
      <w:r w:rsidRPr="00704A2A">
        <w:rPr>
          <w:rFonts w:ascii="Arial" w:hAnsi="Arial" w:cs="Arial"/>
          <w:color w:val="0000FF"/>
          <w:sz w:val="22"/>
          <w:szCs w:val="22"/>
        </w:rPr>
        <w:t xml:space="preserve">central network components required for O&amp;M, billing, etc. in the DA2GC network; </w:t>
      </w:r>
    </w:p>
    <w:p w:rsidR="00174475" w:rsidRPr="00704A2A" w:rsidRDefault="00174475" w:rsidP="00D80D69">
      <w:pPr>
        <w:pStyle w:val="BN"/>
        <w:rPr>
          <w:rFonts w:ascii="Arial" w:hAnsi="Arial" w:cs="Arial"/>
          <w:color w:val="0000FF"/>
          <w:sz w:val="22"/>
          <w:szCs w:val="22"/>
        </w:rPr>
      </w:pPr>
      <w:r w:rsidRPr="00704A2A">
        <w:rPr>
          <w:rFonts w:ascii="Arial" w:hAnsi="Arial" w:cs="Arial"/>
          <w:color w:val="0000FF"/>
          <w:sz w:val="22"/>
          <w:szCs w:val="22"/>
        </w:rPr>
        <w:t>various IP-based service delivery platforms e.g. for passenger services or for airline or aircraft repair / manufacturer internal applications.</w:t>
      </w:r>
    </w:p>
    <w:p w:rsidR="00174475" w:rsidRPr="00704A2A" w:rsidRDefault="00174475" w:rsidP="00D80D69">
      <w:pPr>
        <w:keepNext/>
        <w:rPr>
          <w:color w:val="0000FF"/>
          <w:lang w:val="en-GB"/>
        </w:rPr>
      </w:pPr>
      <w:r w:rsidRPr="00704A2A">
        <w:rPr>
          <w:color w:val="0000FF"/>
          <w:lang w:val="en-GB"/>
        </w:rPr>
        <w:t>Modern broadband wireless access technologies as specified for next generation mobile networks (NGMN) are a sound technological basis for such a broadband DA2GC solution, capturing mainly items 2) and 3) in the list above.</w:t>
      </w:r>
    </w:p>
    <w:p w:rsidR="00174475" w:rsidRPr="00704A2A" w:rsidRDefault="00174475" w:rsidP="0059591C">
      <w:pPr>
        <w:spacing w:before="120"/>
        <w:rPr>
          <w:color w:val="0000FF"/>
          <w:lang w:val="en-GB"/>
        </w:rPr>
      </w:pPr>
      <w:r w:rsidRPr="00704A2A">
        <w:rPr>
          <w:color w:val="0000FF"/>
          <w:lang w:val="en-GB"/>
        </w:rPr>
        <w:t xml:space="preserve">Therefore, this terrestrial broadband DA2GC system is based on the 3GPP LTE (also called E-UTRA) standard (Rel. 8 or higher), as described in more detail in ETSI TR 103 054. The user equipment (UE) would refer to the DA2G aircraft station (AS), and the base station (BS) would refer to the DA2G ground station (GS). An overview as well as an overall description of E-UTRAN is given in [2]. </w:t>
      </w:r>
    </w:p>
    <w:p w:rsidR="00174475" w:rsidRPr="00704A2A" w:rsidRDefault="00174475" w:rsidP="0059591C">
      <w:pPr>
        <w:spacing w:before="120"/>
        <w:rPr>
          <w:color w:val="0000FF"/>
          <w:lang w:val="en-GB"/>
        </w:rPr>
      </w:pPr>
      <w:r w:rsidRPr="00704A2A">
        <w:rPr>
          <w:color w:val="0000FF"/>
          <w:lang w:val="en-GB"/>
        </w:rPr>
        <w:t xml:space="preserve">The general characteristics of the DA2GC RF and digital baseband signals are also based on the LTE specification. To adapt the LTE system functionalities to the DA2GC link specifics, some modifications are required. In particular synchronization algorithms as well as the maximum OBU Tx power are to be modified compared to terrestrial mobile radio usage in order to cope with high Doppler frequency shift caused by aircraft speed and large cell sizes. In addition the BS antenna adjustment has to be matched to cover typical aircraft altitudes between 3 and 12 km by up-tilt of vertical diagrams. </w:t>
      </w:r>
    </w:p>
    <w:p w:rsidR="00174475" w:rsidRPr="00704A2A" w:rsidRDefault="00174475" w:rsidP="0059591C">
      <w:pPr>
        <w:spacing w:before="120"/>
        <w:rPr>
          <w:color w:val="0000FF"/>
          <w:lang w:val="en-GB"/>
        </w:rPr>
      </w:pPr>
      <w:r w:rsidRPr="00704A2A">
        <w:rPr>
          <w:color w:val="0000FF"/>
          <w:lang w:val="en-GB"/>
        </w:rPr>
        <w:t>The main application field would be Air Passenger Communications (APC), e.g. WiFi or GSM based internet/company intranet access, data synchronization and voice communication. In addition the system could also support Airline Administrative Communications services (AAC). The envisaged broadband DA2GC system is not intended to be used for safety-relevant communications such as Air Traffic Control (ATC) and related services.</w:t>
      </w:r>
    </w:p>
    <w:p w:rsidR="00174475" w:rsidRPr="00704A2A" w:rsidRDefault="00174475" w:rsidP="009221E4">
      <w:pPr>
        <w:rPr>
          <w:color w:val="0000FF"/>
          <w:lang w:val="en-GB"/>
        </w:rPr>
      </w:pPr>
    </w:p>
    <w:p w:rsidR="00174475" w:rsidRPr="00704A2A" w:rsidRDefault="00174475" w:rsidP="00DF2416">
      <w:pPr>
        <w:pStyle w:val="KeinLeerraum"/>
        <w:rPr>
          <w:b/>
          <w:color w:val="0000FF"/>
          <w:lang w:val="en-GB"/>
        </w:rPr>
      </w:pPr>
      <w:r w:rsidRPr="00704A2A">
        <w:rPr>
          <w:b/>
          <w:color w:val="0000FF"/>
          <w:lang w:val="en-GB"/>
        </w:rPr>
        <w:t>6.1.2</w:t>
      </w:r>
      <w:r w:rsidRPr="00704A2A">
        <w:rPr>
          <w:b/>
          <w:color w:val="0000FF"/>
          <w:lang w:val="en-GB"/>
        </w:rPr>
        <w:tab/>
        <w:t>Quality of Service (QoS)</w:t>
      </w:r>
    </w:p>
    <w:p w:rsidR="00174475" w:rsidRPr="00704A2A" w:rsidRDefault="00174475" w:rsidP="0059591C">
      <w:pPr>
        <w:spacing w:before="120"/>
        <w:rPr>
          <w:color w:val="0000FF"/>
          <w:lang w:val="en-GB"/>
        </w:rPr>
      </w:pPr>
      <w:r w:rsidRPr="00704A2A">
        <w:rPr>
          <w:color w:val="0000FF"/>
          <w:lang w:val="en-GB"/>
        </w:rPr>
        <w:t>QoS for this broadband DA2GC system is be ensured due to the use of sophisticated mobile technology, namely the 3GPP LTE (also called E-UTRA) standard (Rel. 8 or higher). QoS is also supported by using spectrum with predictable frame conditions and suitable sharing/compatibility conditions.</w:t>
      </w:r>
    </w:p>
    <w:p w:rsidR="00174475" w:rsidRPr="00704A2A" w:rsidRDefault="00174475" w:rsidP="0059591C">
      <w:pPr>
        <w:spacing w:before="120"/>
        <w:rPr>
          <w:color w:val="0000FF"/>
          <w:lang w:val="en-GB"/>
        </w:rPr>
      </w:pPr>
      <w:r w:rsidRPr="00704A2A">
        <w:rPr>
          <w:color w:val="0000FF"/>
          <w:lang w:val="en-GB"/>
        </w:rPr>
        <w:t>...</w:t>
      </w:r>
    </w:p>
    <w:p w:rsidR="00174475" w:rsidRPr="00704A2A" w:rsidRDefault="00174475" w:rsidP="009221E4">
      <w:pPr>
        <w:rPr>
          <w:color w:val="0000FF"/>
          <w:lang w:val="en-GB"/>
        </w:rPr>
      </w:pPr>
    </w:p>
    <w:p w:rsidR="00174475" w:rsidRPr="00704A2A" w:rsidRDefault="00174475" w:rsidP="00394059">
      <w:pPr>
        <w:pStyle w:val="KeinLeerraum"/>
        <w:rPr>
          <w:b/>
          <w:color w:val="0000FF"/>
          <w:lang w:val="en-GB"/>
        </w:rPr>
      </w:pPr>
      <w:r w:rsidRPr="00704A2A">
        <w:rPr>
          <w:b/>
          <w:color w:val="0000FF"/>
          <w:lang w:val="en-GB"/>
        </w:rPr>
        <w:t>6.1.3</w:t>
      </w:r>
      <w:r w:rsidRPr="00704A2A">
        <w:rPr>
          <w:b/>
          <w:color w:val="0000FF"/>
          <w:lang w:val="en-GB"/>
        </w:rPr>
        <w:tab/>
        <w:t>Specific spectrum needs</w:t>
      </w:r>
    </w:p>
    <w:p w:rsidR="00174475" w:rsidRPr="00704A2A" w:rsidRDefault="00174475" w:rsidP="00F70D44">
      <w:pPr>
        <w:spacing w:before="120"/>
        <w:rPr>
          <w:color w:val="0000FF"/>
          <w:lang w:val="en-GB"/>
        </w:rPr>
      </w:pPr>
      <w:r w:rsidRPr="00704A2A">
        <w:rPr>
          <w:color w:val="0000FF"/>
          <w:lang w:val="en-GB"/>
        </w:rPr>
        <w:t>In order to allow for the highest flexibility for ECC in the designation of suitable spectrum, the frequency range from 790 MHz to 5150 MHz is requested to be considered by the corresponding ETSI System Reference Document [1]. Spectrum above 6 GHz is not appropriate due to wave propagation aspects (e.g. increased path loss and Doppler shift).</w:t>
      </w:r>
    </w:p>
    <w:p w:rsidR="00174475" w:rsidRPr="00704A2A" w:rsidRDefault="00174475" w:rsidP="00F70D44">
      <w:pPr>
        <w:spacing w:before="120"/>
        <w:rPr>
          <w:color w:val="0000FF"/>
          <w:lang w:val="en-GB"/>
        </w:rPr>
      </w:pPr>
      <w:r w:rsidRPr="00704A2A">
        <w:rPr>
          <w:color w:val="0000FF"/>
          <w:lang w:val="en-GB"/>
        </w:rPr>
        <w:t xml:space="preserve">The signal bandwidth depends on system characteristics (e.g. operating frequency, frequency reuse, spectrum efficiency) and service data rate required per aircraft and per cell/sector. </w:t>
      </w:r>
    </w:p>
    <w:p w:rsidR="00174475" w:rsidRPr="00704A2A" w:rsidRDefault="00174475" w:rsidP="00F70D44">
      <w:pPr>
        <w:spacing w:before="120"/>
        <w:rPr>
          <w:color w:val="0000FF"/>
          <w:lang w:val="en-GB"/>
        </w:rPr>
      </w:pPr>
      <w:r w:rsidRPr="00704A2A">
        <w:rPr>
          <w:color w:val="0000FF"/>
          <w:lang w:val="en-GB"/>
        </w:rPr>
        <w:t>The spectrum demand for this broadband DA2GC system was derived from a summary of relevant factors to be essential to cope with future capacity demand as well as from results achieved by system performance evaluations [3].</w:t>
      </w:r>
    </w:p>
    <w:p w:rsidR="00174475" w:rsidRPr="00704A2A" w:rsidRDefault="00174475" w:rsidP="00F70D44">
      <w:pPr>
        <w:spacing w:before="120"/>
        <w:rPr>
          <w:color w:val="0000FF"/>
          <w:lang w:val="en-GB"/>
        </w:rPr>
      </w:pPr>
      <w:r w:rsidRPr="00704A2A">
        <w:rPr>
          <w:color w:val="0000FF"/>
          <w:lang w:val="en-GB"/>
        </w:rPr>
        <w:lastRenderedPageBreak/>
        <w:t>As a result, paired spectrum of 2 x 10 MHz for FDD operation is considered necessary to cope with short- to medium-term demand. Unpaired spectrum for TDD operation would also be an option, but system performance would slightly suffer due to guard time intervals required for large cell sizes. Furthermore, TDD operation is expected to have greater impact for achieving compatibility with other radio services and thus requiring guard bands.</w:t>
      </w:r>
    </w:p>
    <w:p w:rsidR="00174475" w:rsidRPr="00704A2A" w:rsidRDefault="00174475" w:rsidP="009221E4">
      <w:pPr>
        <w:rPr>
          <w:color w:val="0000FF"/>
          <w:lang w:val="en-GB"/>
        </w:rPr>
      </w:pPr>
    </w:p>
    <w:p w:rsidR="00174475" w:rsidRPr="00704A2A" w:rsidRDefault="00174475" w:rsidP="00394059">
      <w:pPr>
        <w:pStyle w:val="KeinLeerraum"/>
        <w:rPr>
          <w:b/>
          <w:color w:val="0000FF"/>
          <w:lang w:val="en-GB"/>
        </w:rPr>
      </w:pPr>
      <w:r w:rsidRPr="00704A2A">
        <w:rPr>
          <w:b/>
          <w:color w:val="0000FF"/>
          <w:lang w:val="en-GB"/>
        </w:rPr>
        <w:t>6.1.4</w:t>
      </w:r>
      <w:r w:rsidRPr="00704A2A">
        <w:rPr>
          <w:b/>
          <w:color w:val="0000FF"/>
          <w:lang w:val="en-GB"/>
        </w:rPr>
        <w:tab/>
        <w:t>Candidate bands</w:t>
      </w:r>
    </w:p>
    <w:p w:rsidR="00174475" w:rsidRPr="00704A2A" w:rsidRDefault="00174475" w:rsidP="0059591C">
      <w:pPr>
        <w:spacing w:before="120"/>
        <w:rPr>
          <w:color w:val="0000FF"/>
          <w:lang w:val="en-GB"/>
        </w:rPr>
      </w:pPr>
      <w:r>
        <w:rPr>
          <w:color w:val="0000FF"/>
          <w:lang w:val="en-GB"/>
        </w:rPr>
        <w:t>A number of</w:t>
      </w:r>
      <w:r w:rsidRPr="00704A2A">
        <w:rPr>
          <w:color w:val="0000FF"/>
          <w:lang w:val="en-GB"/>
        </w:rPr>
        <w:t xml:space="preserve"> bands</w:t>
      </w:r>
      <w:r>
        <w:rPr>
          <w:color w:val="0000FF"/>
          <w:lang w:val="en-GB"/>
        </w:rPr>
        <w:t xml:space="preserve">, in particular all those </w:t>
      </w:r>
      <w:r w:rsidRPr="00704A2A">
        <w:rPr>
          <w:color w:val="0000FF"/>
          <w:lang w:val="en-GB"/>
        </w:rPr>
        <w:t xml:space="preserve">mentioned in the list of candidate bands (see Annex [FM48(11)049]) </w:t>
      </w:r>
      <w:r>
        <w:rPr>
          <w:color w:val="0000FF"/>
          <w:lang w:val="en-GB"/>
        </w:rPr>
        <w:t>could be considered</w:t>
      </w:r>
      <w:r w:rsidRPr="00704A2A">
        <w:rPr>
          <w:color w:val="0000FF"/>
          <w:lang w:val="en-GB"/>
        </w:rPr>
        <w:t xml:space="preserve"> for this broadband DA2GC system.</w:t>
      </w:r>
    </w:p>
    <w:p w:rsidR="00174475" w:rsidRPr="00704A2A" w:rsidRDefault="00174475" w:rsidP="0059591C">
      <w:pPr>
        <w:spacing w:before="120"/>
        <w:rPr>
          <w:color w:val="0000FF"/>
          <w:lang w:val="en-GB"/>
        </w:rPr>
      </w:pPr>
    </w:p>
    <w:p w:rsidR="00174475" w:rsidRPr="00704A2A" w:rsidRDefault="00174475" w:rsidP="00BC312A">
      <w:pPr>
        <w:spacing w:before="120"/>
        <w:rPr>
          <w:b/>
          <w:color w:val="0000FF"/>
          <w:u w:val="single"/>
          <w:lang w:val="en-GB"/>
        </w:rPr>
      </w:pPr>
      <w:r w:rsidRPr="00704A2A">
        <w:rPr>
          <w:b/>
          <w:color w:val="0000FF"/>
          <w:u w:val="single"/>
          <w:lang w:val="en-GB"/>
        </w:rPr>
        <w:t>1452-1492 MHz</w:t>
      </w:r>
    </w:p>
    <w:p w:rsidR="00174475" w:rsidRPr="00704A2A" w:rsidRDefault="00174475" w:rsidP="0059591C">
      <w:pPr>
        <w:spacing w:before="120"/>
        <w:rPr>
          <w:color w:val="0000FF"/>
          <w:lang w:val="en-GB"/>
        </w:rPr>
      </w:pPr>
      <w:r w:rsidRPr="00704A2A">
        <w:rPr>
          <w:color w:val="0000FF"/>
          <w:lang w:val="en-GB"/>
        </w:rPr>
        <w:t>Project Team FM50 shall assess, with the support of an impact analysis, which future use(s) of the 1452-1492 MHz band would be the most appropriate for CEPT. Broadband DA2GC is one of eight candidate applications.</w:t>
      </w:r>
    </w:p>
    <w:p w:rsidR="00174475" w:rsidRPr="00704A2A" w:rsidRDefault="00174475" w:rsidP="0059591C">
      <w:pPr>
        <w:spacing w:before="120"/>
        <w:rPr>
          <w:color w:val="0000FF"/>
          <w:lang w:val="en-GB"/>
        </w:rPr>
      </w:pPr>
    </w:p>
    <w:p w:rsidR="00174475" w:rsidRPr="00704A2A" w:rsidRDefault="00174475" w:rsidP="0059591C">
      <w:pPr>
        <w:spacing w:before="120"/>
        <w:rPr>
          <w:b/>
          <w:color w:val="0000FF"/>
          <w:u w:val="single"/>
          <w:lang w:val="en-GB"/>
        </w:rPr>
      </w:pPr>
      <w:r w:rsidRPr="00704A2A">
        <w:rPr>
          <w:b/>
          <w:color w:val="0000FF"/>
          <w:u w:val="single"/>
          <w:lang w:val="en-GB"/>
        </w:rPr>
        <w:t>1900-1920 MHz and 2010-2025 MHz</w:t>
      </w:r>
    </w:p>
    <w:p w:rsidR="00174475" w:rsidRPr="00704A2A" w:rsidRDefault="00174475" w:rsidP="00BC312A">
      <w:pPr>
        <w:rPr>
          <w:b/>
          <w:color w:val="0000FF"/>
          <w:lang w:val="en-GB"/>
        </w:rPr>
      </w:pPr>
      <w:r w:rsidRPr="00704A2A">
        <w:rPr>
          <w:color w:val="0000FF"/>
          <w:lang w:val="en-GB"/>
        </w:rPr>
        <w:t>In a WG FM correspondence group it was, inter alia, discussed to use (parts of) the bands 1900-1920 MHz and/or 2010-2025 MHz to satisfy the spectrum demand of 20 MHz TDD or 2 x 10 MHz FDD - justified in document FM(11)091 and confirmed by WG FM (see document FM(11)202) - for Broadband DA2GC. The following options for Broadband DA2GC would be possible:</w:t>
      </w:r>
    </w:p>
    <w:p w:rsidR="00174475" w:rsidRPr="00704A2A" w:rsidRDefault="00174475" w:rsidP="00BC312A">
      <w:pPr>
        <w:pStyle w:val="Listenabsatz"/>
        <w:numPr>
          <w:ilvl w:val="0"/>
          <w:numId w:val="19"/>
        </w:numPr>
        <w:rPr>
          <w:b/>
          <w:color w:val="0000FF"/>
          <w:lang w:val="en-GB"/>
        </w:rPr>
      </w:pPr>
      <w:r w:rsidRPr="00704A2A">
        <w:rPr>
          <w:color w:val="0000FF"/>
          <w:lang w:val="en-GB"/>
        </w:rPr>
        <w:t xml:space="preserve">Use of the band 1900-1920 MHz for </w:t>
      </w:r>
      <w:r w:rsidRPr="00704A2A">
        <w:rPr>
          <w:b/>
          <w:color w:val="0000FF"/>
          <w:lang w:val="en-GB"/>
        </w:rPr>
        <w:t>TDD Broadband DA2GC</w:t>
      </w:r>
      <w:r w:rsidRPr="00704A2A">
        <w:rPr>
          <w:color w:val="0000FF"/>
          <w:lang w:val="en-GB"/>
        </w:rPr>
        <w:t xml:space="preserve"> (guard bands may be required);</w:t>
      </w:r>
      <w:r w:rsidRPr="00704A2A">
        <w:rPr>
          <w:b/>
          <w:color w:val="0000FF"/>
          <w:lang w:val="en-GB"/>
        </w:rPr>
        <w:t xml:space="preserve"> </w:t>
      </w:r>
    </w:p>
    <w:p w:rsidR="00174475" w:rsidRPr="00704A2A" w:rsidRDefault="00174475" w:rsidP="000552CA">
      <w:pPr>
        <w:pStyle w:val="Listenabsatz"/>
        <w:numPr>
          <w:ilvl w:val="0"/>
          <w:numId w:val="19"/>
        </w:numPr>
        <w:rPr>
          <w:color w:val="0000FF"/>
          <w:lang w:val="en-GB"/>
        </w:rPr>
      </w:pPr>
      <w:r w:rsidRPr="00704A2A">
        <w:rPr>
          <w:color w:val="0000FF"/>
          <w:lang w:val="en-GB"/>
        </w:rPr>
        <w:t>Pair 10 MHz within the band 1900-1920 MHz with 10 MHz within the band 2010-2025 MHz for</w:t>
      </w:r>
      <w:r w:rsidRPr="00704A2A">
        <w:rPr>
          <w:b/>
          <w:color w:val="0000FF"/>
          <w:lang w:val="en-GB"/>
        </w:rPr>
        <w:t xml:space="preserve"> FDD Broadband DA2GC </w:t>
      </w:r>
      <w:r w:rsidRPr="00704A2A">
        <w:rPr>
          <w:color w:val="0000FF"/>
          <w:lang w:val="en-GB"/>
        </w:rPr>
        <w:t xml:space="preserve">(guard bands may be required); and use the remaining 15 MHz within 1900-1920 MHz and 2020-2025 MHz for </w:t>
      </w:r>
      <w:r w:rsidRPr="00704A2A">
        <w:rPr>
          <w:b/>
          <w:color w:val="0000FF"/>
          <w:lang w:val="en-GB"/>
        </w:rPr>
        <w:t xml:space="preserve">video links and/or other SRDs </w:t>
      </w:r>
      <w:r w:rsidRPr="00704A2A">
        <w:rPr>
          <w:color w:val="0000FF"/>
          <w:lang w:val="en-GB"/>
        </w:rPr>
        <w:t>(guard bands may be required);</w:t>
      </w:r>
    </w:p>
    <w:p w:rsidR="00174475" w:rsidRPr="00704A2A" w:rsidRDefault="00754ABF" w:rsidP="00BC312A">
      <w:pPr>
        <w:spacing w:before="120"/>
        <w:jc w:val="center"/>
        <w:rPr>
          <w:color w:val="0000FF"/>
          <w:lang w:val="en-GB"/>
        </w:rPr>
      </w:pPr>
      <w:r>
        <w:rPr>
          <w:b/>
          <w:color w:val="0000FF"/>
          <w:lang w:val="en-GB"/>
        </w:rPr>
        <w:pict>
          <v:shape id="Picture 1" o:spid="_x0000_i1029" type="#_x0000_t75" style="width:198.25pt;height:185.35pt;visibility:visible">
            <v:imagedata r:id="rId12" o:title=""/>
          </v:shape>
        </w:pict>
      </w:r>
    </w:p>
    <w:p w:rsidR="00174475" w:rsidRPr="00704A2A" w:rsidRDefault="00174475" w:rsidP="003E2362">
      <w:pPr>
        <w:pStyle w:val="Beschriftung"/>
        <w:jc w:val="center"/>
        <w:rPr>
          <w:rFonts w:ascii="Arial" w:hAnsi="Arial" w:cs="Arial"/>
          <w:color w:val="0000FF"/>
          <w:sz w:val="22"/>
          <w:szCs w:val="22"/>
        </w:rPr>
      </w:pPr>
      <w:r w:rsidRPr="00704A2A">
        <w:rPr>
          <w:rFonts w:ascii="Arial" w:hAnsi="Arial" w:cs="Arial"/>
          <w:color w:val="0000FF"/>
          <w:sz w:val="22"/>
          <w:szCs w:val="22"/>
        </w:rPr>
        <w:t xml:space="preserve">Figure </w:t>
      </w:r>
      <w:r w:rsidRPr="00704A2A">
        <w:rPr>
          <w:rFonts w:ascii="Arial" w:hAnsi="Arial" w:cs="Arial"/>
          <w:color w:val="0000FF"/>
          <w:sz w:val="22"/>
          <w:szCs w:val="22"/>
        </w:rPr>
        <w:fldChar w:fldCharType="begin"/>
      </w:r>
      <w:r w:rsidRPr="00704A2A">
        <w:rPr>
          <w:rFonts w:ascii="Arial" w:hAnsi="Arial" w:cs="Arial"/>
          <w:color w:val="0000FF"/>
          <w:sz w:val="22"/>
          <w:szCs w:val="22"/>
        </w:rPr>
        <w:instrText xml:space="preserve"> SEQ Figure \* ARABIC </w:instrText>
      </w:r>
      <w:r w:rsidRPr="00704A2A">
        <w:rPr>
          <w:rFonts w:ascii="Arial" w:hAnsi="Arial" w:cs="Arial"/>
          <w:color w:val="0000FF"/>
          <w:sz w:val="22"/>
          <w:szCs w:val="22"/>
        </w:rPr>
        <w:fldChar w:fldCharType="separate"/>
      </w:r>
      <w:r w:rsidRPr="00704A2A">
        <w:rPr>
          <w:rFonts w:ascii="Arial" w:hAnsi="Arial" w:cs="Arial"/>
          <w:color w:val="0000FF"/>
          <w:sz w:val="22"/>
          <w:szCs w:val="22"/>
        </w:rPr>
        <w:t>4</w:t>
      </w:r>
      <w:r w:rsidRPr="00704A2A">
        <w:rPr>
          <w:rFonts w:ascii="Arial" w:hAnsi="Arial" w:cs="Arial"/>
          <w:color w:val="0000FF"/>
          <w:sz w:val="22"/>
          <w:szCs w:val="22"/>
        </w:rPr>
        <w:fldChar w:fldCharType="end"/>
      </w:r>
      <w:r w:rsidRPr="00704A2A">
        <w:rPr>
          <w:rFonts w:ascii="Arial" w:hAnsi="Arial" w:cs="Arial"/>
          <w:color w:val="0000FF"/>
          <w:sz w:val="22"/>
          <w:szCs w:val="22"/>
        </w:rPr>
        <w:t>: FDD broadband DA2GC in the bands 1900-1920 / 2010-2025 MHz</w:t>
      </w:r>
    </w:p>
    <w:p w:rsidR="00174475" w:rsidRPr="00704A2A" w:rsidRDefault="00174475" w:rsidP="00BC312A">
      <w:pPr>
        <w:pStyle w:val="Listenabsatz"/>
        <w:ind w:left="567"/>
        <w:rPr>
          <w:color w:val="0000FF"/>
          <w:lang w:val="en-GB"/>
        </w:rPr>
      </w:pPr>
    </w:p>
    <w:p w:rsidR="00174475" w:rsidRPr="00704A2A" w:rsidRDefault="00174475" w:rsidP="00BC312A">
      <w:pPr>
        <w:pStyle w:val="Listenabsatz"/>
        <w:ind w:left="567"/>
        <w:rPr>
          <w:b/>
          <w:color w:val="0000FF"/>
          <w:lang w:val="en-GB"/>
        </w:rPr>
      </w:pPr>
      <w:r w:rsidRPr="00704A2A">
        <w:rPr>
          <w:color w:val="0000FF"/>
          <w:lang w:val="en-GB"/>
        </w:rPr>
        <w:t>ECC PT1 studied pairing of the bands 1900-1920 MHz and 2010-2025 MHz from a cellular mobile point of view (mass market). The absence of industry support was due to the increased complexity (additional bands) in UE design compared to very limited economic benefits for the cellular mobile community. The situation is totally different for Broadband</w:t>
      </w:r>
      <w:r w:rsidRPr="00704A2A">
        <w:rPr>
          <w:b/>
          <w:color w:val="0000FF"/>
          <w:lang w:val="en-GB"/>
        </w:rPr>
        <w:t xml:space="preserve"> </w:t>
      </w:r>
      <w:r w:rsidRPr="00704A2A">
        <w:rPr>
          <w:color w:val="0000FF"/>
          <w:lang w:val="en-GB"/>
        </w:rPr>
        <w:t>DA2GC with equipment dedicated to these two bands only.</w:t>
      </w:r>
    </w:p>
    <w:p w:rsidR="00174475" w:rsidRPr="00704A2A" w:rsidRDefault="00174475" w:rsidP="0059591C">
      <w:pPr>
        <w:spacing w:before="120"/>
        <w:rPr>
          <w:color w:val="0000FF"/>
          <w:lang w:val="en-GB"/>
        </w:rPr>
      </w:pPr>
    </w:p>
    <w:p w:rsidR="00174475" w:rsidRPr="00704A2A" w:rsidRDefault="00174475" w:rsidP="00704A2A">
      <w:pPr>
        <w:spacing w:before="120"/>
        <w:rPr>
          <w:b/>
          <w:color w:val="0000FF"/>
          <w:u w:val="single"/>
          <w:lang w:val="en-GB"/>
        </w:rPr>
      </w:pPr>
      <w:r w:rsidRPr="00704A2A">
        <w:rPr>
          <w:b/>
          <w:color w:val="0000FF"/>
          <w:u w:val="single"/>
          <w:lang w:val="en-GB"/>
        </w:rPr>
        <w:lastRenderedPageBreak/>
        <w:t>1980-2010 MHz and 2170-2200 MHz</w:t>
      </w:r>
    </w:p>
    <w:p w:rsidR="00174475" w:rsidRDefault="00174475" w:rsidP="00704A2A">
      <w:pPr>
        <w:spacing w:before="120"/>
        <w:rPr>
          <w:color w:val="0000FF"/>
          <w:lang w:val="en-GB"/>
        </w:rPr>
      </w:pPr>
      <w:r w:rsidRPr="00704A2A">
        <w:rPr>
          <w:color w:val="0000FF"/>
          <w:lang w:val="en-GB"/>
        </w:rPr>
        <w:t>It had been proposed to include the bands 1980-2010 MHz / 2170-2200 MHz in the list of candidate bands</w:t>
      </w:r>
      <w:r>
        <w:rPr>
          <w:color w:val="0000FF"/>
          <w:lang w:val="en-GB"/>
        </w:rPr>
        <w:t xml:space="preserve"> with the conclusion</w:t>
      </w:r>
      <w:r w:rsidRPr="00704A2A">
        <w:rPr>
          <w:color w:val="0000FF"/>
          <w:lang w:val="en-GB"/>
        </w:rPr>
        <w:t xml:space="preserve"> that the</w:t>
      </w:r>
      <w:r>
        <w:rPr>
          <w:color w:val="0000FF"/>
          <w:lang w:val="en-GB"/>
        </w:rPr>
        <w:t>se</w:t>
      </w:r>
      <w:r w:rsidRPr="00704A2A">
        <w:rPr>
          <w:color w:val="0000FF"/>
          <w:lang w:val="en-GB"/>
        </w:rPr>
        <w:t xml:space="preserve"> </w:t>
      </w:r>
      <w:r>
        <w:rPr>
          <w:color w:val="0000FF"/>
          <w:lang w:val="en-GB"/>
        </w:rPr>
        <w:t xml:space="preserve">are </w:t>
      </w:r>
      <w:r w:rsidRPr="00704A2A">
        <w:rPr>
          <w:color w:val="0000FF"/>
          <w:lang w:val="en-GB"/>
        </w:rPr>
        <w:t xml:space="preserve">not be included in the list </w:t>
      </w:r>
      <w:r>
        <w:rPr>
          <w:color w:val="0000FF"/>
          <w:lang w:val="en-GB"/>
        </w:rPr>
        <w:t xml:space="preserve">right </w:t>
      </w:r>
      <w:r w:rsidRPr="00704A2A">
        <w:rPr>
          <w:color w:val="0000FF"/>
          <w:lang w:val="en-GB"/>
        </w:rPr>
        <w:t xml:space="preserve">now </w:t>
      </w:r>
      <w:r>
        <w:rPr>
          <w:color w:val="0000FF"/>
          <w:lang w:val="en-GB"/>
        </w:rPr>
        <w:t>but</w:t>
      </w:r>
      <w:r w:rsidRPr="00704A2A">
        <w:rPr>
          <w:color w:val="0000FF"/>
          <w:lang w:val="en-GB"/>
        </w:rPr>
        <w:t xml:space="preserve"> will further be discussed during future meetings.</w:t>
      </w:r>
    </w:p>
    <w:p w:rsidR="00174475" w:rsidRPr="00704A2A" w:rsidRDefault="00174475" w:rsidP="00704A2A">
      <w:pPr>
        <w:spacing w:before="120"/>
        <w:rPr>
          <w:color w:val="0000FF"/>
          <w:lang w:val="en-US"/>
        </w:rPr>
      </w:pPr>
      <w:r w:rsidRPr="00704A2A">
        <w:rPr>
          <w:color w:val="0000FF"/>
          <w:lang w:val="en-US"/>
        </w:rPr>
        <w:t xml:space="preserve">The Commission published on 10 October 2011 a press release to announce a decision to help and coordinate the acceleration of the implementation of MSS services in the 1980 to 2010 MHz and 2170 to 2200 MHz frequency bands, noting that </w:t>
      </w:r>
      <w:r>
        <w:rPr>
          <w:color w:val="0000FF"/>
          <w:lang w:val="en-US"/>
        </w:rPr>
        <w:t>the two operators</w:t>
      </w:r>
      <w:r w:rsidRPr="00704A2A">
        <w:rPr>
          <w:color w:val="0000FF"/>
          <w:lang w:val="en-US"/>
        </w:rPr>
        <w:t xml:space="preserve"> had been available 2 years time to build up their plans for pan-European service provision. </w:t>
      </w:r>
    </w:p>
    <w:p w:rsidR="00174475" w:rsidRPr="00704A2A" w:rsidRDefault="00174475" w:rsidP="00704A2A">
      <w:pPr>
        <w:spacing w:before="120"/>
        <w:rPr>
          <w:color w:val="0000FF"/>
          <w:lang w:val="en-US"/>
        </w:rPr>
      </w:pPr>
      <w:r w:rsidRPr="00704A2A">
        <w:rPr>
          <w:color w:val="0000FF"/>
          <w:lang w:val="en-US"/>
        </w:rPr>
        <w:t>The Commission expresses inter-alia their view in the press release that so far no commercial MSS services available to end users have been into operation or detailed plans available and hence, the frequency resources considered as a scarce resource may also be subject to review in the future if not continuously not used by the two operators.</w:t>
      </w:r>
    </w:p>
    <w:p w:rsidR="00174475" w:rsidRPr="00704A2A" w:rsidRDefault="00174475" w:rsidP="003E2362">
      <w:pPr>
        <w:spacing w:before="120"/>
        <w:rPr>
          <w:color w:val="0000FF"/>
          <w:lang w:val="en-GB"/>
        </w:rPr>
      </w:pPr>
    </w:p>
    <w:p w:rsidR="00174475" w:rsidRPr="00704A2A" w:rsidRDefault="00174475" w:rsidP="00CF4124">
      <w:pPr>
        <w:spacing w:before="120"/>
        <w:rPr>
          <w:b/>
          <w:color w:val="0000FF"/>
          <w:u w:val="single"/>
          <w:lang w:val="en-GB"/>
        </w:rPr>
      </w:pPr>
      <w:r w:rsidRPr="00704A2A">
        <w:rPr>
          <w:b/>
          <w:color w:val="0000FF"/>
          <w:u w:val="single"/>
          <w:lang w:val="en-GB"/>
        </w:rPr>
        <w:t>2300 – 2400 MHz</w:t>
      </w:r>
    </w:p>
    <w:p w:rsidR="00174475" w:rsidRPr="00704A2A" w:rsidRDefault="00174475" w:rsidP="00CF4124">
      <w:pPr>
        <w:spacing w:before="120"/>
        <w:rPr>
          <w:color w:val="0000FF"/>
          <w:lang w:val="en-GB"/>
        </w:rPr>
      </w:pPr>
      <w:r w:rsidRPr="00704A2A">
        <w:rPr>
          <w:color w:val="0000FF"/>
          <w:lang w:val="en-GB"/>
        </w:rPr>
        <w:t>...</w:t>
      </w:r>
    </w:p>
    <w:p w:rsidR="00174475" w:rsidRPr="00704A2A" w:rsidRDefault="00174475" w:rsidP="003E2362">
      <w:pPr>
        <w:spacing w:before="120"/>
        <w:rPr>
          <w:color w:val="0000FF"/>
          <w:lang w:val="en-GB"/>
        </w:rPr>
      </w:pPr>
    </w:p>
    <w:p w:rsidR="00174475" w:rsidRPr="00704A2A" w:rsidRDefault="00174475" w:rsidP="003E2362">
      <w:pPr>
        <w:spacing w:before="120"/>
        <w:rPr>
          <w:b/>
          <w:color w:val="0000FF"/>
          <w:u w:val="single"/>
          <w:lang w:val="en-GB"/>
        </w:rPr>
      </w:pPr>
      <w:r w:rsidRPr="00704A2A">
        <w:rPr>
          <w:b/>
          <w:color w:val="0000FF"/>
          <w:u w:val="single"/>
          <w:lang w:val="en-GB"/>
        </w:rPr>
        <w:t>2400 – 2483.5 MHz</w:t>
      </w:r>
    </w:p>
    <w:p w:rsidR="00174475" w:rsidRPr="00704A2A" w:rsidRDefault="00174475" w:rsidP="003E2362">
      <w:pPr>
        <w:spacing w:before="120"/>
        <w:rPr>
          <w:color w:val="0000FF"/>
          <w:lang w:val="en-GB"/>
        </w:rPr>
      </w:pPr>
      <w:r w:rsidRPr="00704A2A">
        <w:rPr>
          <w:color w:val="0000FF"/>
          <w:lang w:val="en-GB"/>
        </w:rPr>
        <w:t>...</w:t>
      </w:r>
    </w:p>
    <w:p w:rsidR="00174475" w:rsidRPr="00704A2A" w:rsidRDefault="00174475" w:rsidP="003E2362">
      <w:pPr>
        <w:spacing w:before="120"/>
        <w:rPr>
          <w:b/>
          <w:color w:val="0000FF"/>
          <w:u w:val="single"/>
          <w:lang w:val="en-GB"/>
        </w:rPr>
      </w:pPr>
    </w:p>
    <w:p w:rsidR="00174475" w:rsidRPr="00704A2A" w:rsidRDefault="00174475" w:rsidP="003E2362">
      <w:pPr>
        <w:spacing w:before="120"/>
        <w:rPr>
          <w:b/>
          <w:color w:val="0000FF"/>
          <w:u w:val="single"/>
          <w:lang w:val="en-GB"/>
        </w:rPr>
      </w:pPr>
      <w:r w:rsidRPr="00704A2A">
        <w:rPr>
          <w:b/>
          <w:color w:val="0000FF"/>
          <w:u w:val="single"/>
          <w:lang w:val="en-GB"/>
        </w:rPr>
        <w:t>2483.5 – 2500 MHz</w:t>
      </w:r>
    </w:p>
    <w:p w:rsidR="00174475" w:rsidRPr="00704A2A" w:rsidRDefault="00174475" w:rsidP="003E2362">
      <w:pPr>
        <w:spacing w:before="120"/>
        <w:rPr>
          <w:color w:val="0000FF"/>
          <w:lang w:val="en-GB"/>
        </w:rPr>
      </w:pPr>
      <w:r w:rsidRPr="00704A2A">
        <w:rPr>
          <w:color w:val="0000FF"/>
          <w:lang w:val="en-GB"/>
        </w:rPr>
        <w:t>...</w:t>
      </w:r>
    </w:p>
    <w:p w:rsidR="00174475" w:rsidRPr="00704A2A" w:rsidRDefault="00174475" w:rsidP="00BC312A">
      <w:pPr>
        <w:spacing w:before="120"/>
        <w:rPr>
          <w:b/>
          <w:color w:val="0000FF"/>
          <w:u w:val="single"/>
          <w:lang w:val="en-GB"/>
        </w:rPr>
      </w:pPr>
    </w:p>
    <w:p w:rsidR="00174475" w:rsidRPr="00704A2A" w:rsidRDefault="00174475" w:rsidP="00BC312A">
      <w:pPr>
        <w:spacing w:before="120"/>
        <w:rPr>
          <w:b/>
          <w:color w:val="0000FF"/>
          <w:u w:val="single"/>
          <w:lang w:val="en-GB"/>
        </w:rPr>
      </w:pPr>
      <w:r w:rsidRPr="00704A2A">
        <w:rPr>
          <w:b/>
          <w:color w:val="0000FF"/>
          <w:u w:val="single"/>
          <w:lang w:val="en-GB"/>
        </w:rPr>
        <w:t>3400-3600 MHz</w:t>
      </w:r>
    </w:p>
    <w:p w:rsidR="00174475" w:rsidRPr="00704A2A" w:rsidRDefault="00174475" w:rsidP="000552CA">
      <w:pPr>
        <w:spacing w:before="120"/>
        <w:rPr>
          <w:color w:val="0000FF"/>
          <w:lang w:val="en-GB"/>
        </w:rPr>
      </w:pPr>
      <w:r w:rsidRPr="00704A2A">
        <w:rPr>
          <w:color w:val="0000FF"/>
          <w:lang w:val="en-GB"/>
        </w:rPr>
        <w:t>...</w:t>
      </w:r>
    </w:p>
    <w:p w:rsidR="00174475" w:rsidRPr="00704A2A" w:rsidRDefault="00174475" w:rsidP="000552CA">
      <w:pPr>
        <w:spacing w:before="120"/>
        <w:rPr>
          <w:color w:val="0000FF"/>
          <w:lang w:val="en-GB"/>
        </w:rPr>
      </w:pPr>
      <w:r w:rsidRPr="00704A2A">
        <w:rPr>
          <w:color w:val="0000FF"/>
          <w:lang w:val="en-GB"/>
        </w:rPr>
        <w:t>The following aspects are relevant for an implementation of broadband DA2GC within this band:</w:t>
      </w:r>
    </w:p>
    <w:p w:rsidR="00174475" w:rsidRPr="00704A2A" w:rsidRDefault="00174475" w:rsidP="00CF4124">
      <w:pPr>
        <w:numPr>
          <w:ilvl w:val="0"/>
          <w:numId w:val="20"/>
        </w:numPr>
        <w:spacing w:before="120"/>
        <w:rPr>
          <w:color w:val="0000FF"/>
          <w:lang w:val="en-GB"/>
        </w:rPr>
      </w:pPr>
      <w:r w:rsidRPr="00704A2A">
        <w:rPr>
          <w:color w:val="0000FF"/>
          <w:lang w:val="en-GB"/>
        </w:rPr>
        <w:t>The lower edge of the TDD band plan for MFCN (starting at 3400 MHz according to the Draft ECC Decision(11)HH which was developed by ECC PT 1 and has been under public consultation recently) may be more suitable for TDD Broadband DA2GC systems than blocks in the higher portion of the band. However, it might also be necessary to carry out adjacent band compatibility studies with regard to the Radiolocation Service below 3400 MHz.</w:t>
      </w:r>
    </w:p>
    <w:p w:rsidR="00174475" w:rsidRPr="00704A2A" w:rsidRDefault="00174475" w:rsidP="00CF4124">
      <w:pPr>
        <w:numPr>
          <w:ilvl w:val="0"/>
          <w:numId w:val="20"/>
        </w:numPr>
        <w:spacing w:before="120"/>
        <w:rPr>
          <w:color w:val="0000FF"/>
          <w:lang w:val="en-GB"/>
        </w:rPr>
      </w:pPr>
      <w:r w:rsidRPr="00704A2A">
        <w:rPr>
          <w:color w:val="0000FF"/>
          <w:lang w:val="en-GB"/>
        </w:rPr>
        <w:t>Spectrum within the duplex gap of the FDD band plan for MFCN, 3490-3510 MHz, may also be considered for TDD Broadband DA2GC systems.</w:t>
      </w:r>
    </w:p>
    <w:p w:rsidR="00174475" w:rsidRPr="00704A2A" w:rsidRDefault="00174475" w:rsidP="00CF4124">
      <w:pPr>
        <w:numPr>
          <w:ilvl w:val="0"/>
          <w:numId w:val="20"/>
        </w:numPr>
        <w:spacing w:before="120"/>
        <w:rPr>
          <w:color w:val="0000FF"/>
          <w:lang w:val="en-GB"/>
        </w:rPr>
      </w:pPr>
      <w:r w:rsidRPr="00704A2A">
        <w:rPr>
          <w:color w:val="0000FF"/>
          <w:lang w:val="en-GB"/>
        </w:rPr>
        <w:t>The lower duplex band of the FDD band plan for MFCN (uplink for MFCN) would be suitable for the Reverse Link for FDD Broadband DA2GC systems (Aircraft Station to Ground Station), because this band is considered to be less used for FSS Earth stations (space to Earth) within CEPT compared to spectrum above 3500 MHz.</w:t>
      </w:r>
    </w:p>
    <w:p w:rsidR="00174475" w:rsidRPr="00704A2A" w:rsidRDefault="00174475" w:rsidP="0059591C">
      <w:pPr>
        <w:spacing w:before="120"/>
        <w:rPr>
          <w:color w:val="0000FF"/>
          <w:lang w:val="en-GB"/>
        </w:rPr>
      </w:pPr>
    </w:p>
    <w:p w:rsidR="00174475" w:rsidRPr="00704A2A" w:rsidRDefault="00174475" w:rsidP="00CF4124">
      <w:pPr>
        <w:spacing w:before="120"/>
        <w:rPr>
          <w:b/>
          <w:color w:val="0000FF"/>
          <w:u w:val="single"/>
          <w:lang w:val="en-GB"/>
        </w:rPr>
      </w:pPr>
      <w:r w:rsidRPr="00704A2A">
        <w:rPr>
          <w:b/>
          <w:color w:val="0000FF"/>
          <w:u w:val="single"/>
          <w:lang w:val="en-GB"/>
        </w:rPr>
        <w:t>3600 – 3800 MHz</w:t>
      </w:r>
    </w:p>
    <w:p w:rsidR="00174475" w:rsidRPr="00704A2A" w:rsidRDefault="00174475" w:rsidP="00CF4124">
      <w:pPr>
        <w:spacing w:before="120"/>
        <w:rPr>
          <w:color w:val="0000FF"/>
          <w:lang w:val="en-GB"/>
        </w:rPr>
      </w:pPr>
      <w:r w:rsidRPr="00704A2A">
        <w:rPr>
          <w:color w:val="0000FF"/>
          <w:lang w:val="en-GB"/>
        </w:rPr>
        <w:t>...</w:t>
      </w:r>
    </w:p>
    <w:p w:rsidR="00174475" w:rsidRPr="00704A2A" w:rsidRDefault="00174475" w:rsidP="0059591C">
      <w:pPr>
        <w:spacing w:before="120"/>
        <w:rPr>
          <w:color w:val="0000FF"/>
          <w:lang w:val="en-GB"/>
        </w:rPr>
      </w:pPr>
    </w:p>
    <w:p w:rsidR="00174475" w:rsidRPr="00704A2A" w:rsidRDefault="00174475" w:rsidP="003E2362">
      <w:pPr>
        <w:spacing w:before="120"/>
        <w:rPr>
          <w:b/>
          <w:color w:val="0000FF"/>
          <w:u w:val="single"/>
          <w:lang w:val="en-GB"/>
        </w:rPr>
      </w:pPr>
      <w:r w:rsidRPr="00704A2A">
        <w:rPr>
          <w:b/>
          <w:color w:val="0000FF"/>
          <w:u w:val="single"/>
          <w:lang w:val="en-GB"/>
        </w:rPr>
        <w:t>5855 – 5875 MHz</w:t>
      </w:r>
    </w:p>
    <w:p w:rsidR="00174475" w:rsidRPr="00704A2A" w:rsidRDefault="00174475" w:rsidP="003E2362">
      <w:pPr>
        <w:spacing w:before="120"/>
        <w:rPr>
          <w:color w:val="0000FF"/>
          <w:lang w:val="en-GB"/>
        </w:rPr>
      </w:pPr>
      <w:r w:rsidRPr="00704A2A">
        <w:rPr>
          <w:color w:val="0000FF"/>
          <w:lang w:val="en-GB"/>
        </w:rPr>
        <w:t>...</w:t>
      </w:r>
    </w:p>
    <w:p w:rsidR="00174475" w:rsidRPr="00704A2A" w:rsidRDefault="00174475" w:rsidP="0059591C">
      <w:pPr>
        <w:spacing w:before="120"/>
        <w:rPr>
          <w:color w:val="0000FF"/>
          <w:lang w:val="en-GB"/>
        </w:rPr>
      </w:pPr>
    </w:p>
    <w:p w:rsidR="00174475" w:rsidRPr="00704A2A" w:rsidRDefault="00174475" w:rsidP="003E2362">
      <w:pPr>
        <w:spacing w:before="120"/>
        <w:rPr>
          <w:b/>
          <w:color w:val="0000FF"/>
          <w:u w:val="single"/>
          <w:lang w:val="en-GB"/>
        </w:rPr>
      </w:pPr>
      <w:r w:rsidRPr="00704A2A">
        <w:rPr>
          <w:b/>
          <w:color w:val="0000FF"/>
          <w:u w:val="single"/>
          <w:lang w:val="en-GB"/>
        </w:rPr>
        <w:lastRenderedPageBreak/>
        <w:t>5905 – 5925 MHz</w:t>
      </w:r>
    </w:p>
    <w:p w:rsidR="00174475" w:rsidRPr="00704A2A" w:rsidRDefault="00174475" w:rsidP="003E2362">
      <w:pPr>
        <w:spacing w:before="120"/>
        <w:rPr>
          <w:color w:val="0000FF"/>
          <w:lang w:val="en-GB"/>
        </w:rPr>
      </w:pPr>
      <w:r w:rsidRPr="00704A2A">
        <w:rPr>
          <w:color w:val="0000FF"/>
          <w:lang w:val="en-GB"/>
        </w:rPr>
        <w:t>...</w:t>
      </w:r>
    </w:p>
    <w:p w:rsidR="00174475" w:rsidRPr="00704A2A" w:rsidRDefault="00174475" w:rsidP="0059591C">
      <w:pPr>
        <w:spacing w:before="120"/>
        <w:rPr>
          <w:color w:val="0000FF"/>
          <w:lang w:val="en-GB"/>
        </w:rPr>
      </w:pPr>
    </w:p>
    <w:p w:rsidR="00174475" w:rsidRPr="00704A2A" w:rsidRDefault="00174475" w:rsidP="00394059">
      <w:pPr>
        <w:pStyle w:val="KeinLeerraum"/>
        <w:rPr>
          <w:b/>
          <w:color w:val="0000FF"/>
          <w:lang w:val="en-GB"/>
        </w:rPr>
      </w:pPr>
    </w:p>
    <w:p w:rsidR="00174475" w:rsidRPr="00704A2A" w:rsidRDefault="00174475" w:rsidP="00394059">
      <w:pPr>
        <w:pStyle w:val="KeinLeerraum"/>
        <w:rPr>
          <w:b/>
          <w:color w:val="0000FF"/>
          <w:lang w:val="en-GB"/>
        </w:rPr>
      </w:pPr>
      <w:r w:rsidRPr="00704A2A">
        <w:rPr>
          <w:b/>
          <w:color w:val="0000FF"/>
          <w:lang w:val="en-GB"/>
        </w:rPr>
        <w:t>6.1.5</w:t>
      </w:r>
      <w:r w:rsidRPr="00704A2A">
        <w:rPr>
          <w:b/>
          <w:color w:val="0000FF"/>
          <w:lang w:val="en-GB"/>
        </w:rPr>
        <w:tab/>
        <w:t>Timeframe for equipment availability</w:t>
      </w:r>
    </w:p>
    <w:p w:rsidR="00174475" w:rsidRPr="00704A2A" w:rsidRDefault="00174475" w:rsidP="0059591C">
      <w:pPr>
        <w:spacing w:before="120"/>
        <w:rPr>
          <w:color w:val="0000FF"/>
          <w:lang w:val="en-GB"/>
        </w:rPr>
      </w:pPr>
      <w:r w:rsidRPr="00704A2A">
        <w:rPr>
          <w:color w:val="0000FF"/>
          <w:lang w:val="en-GB"/>
        </w:rPr>
        <w:t>This broadband DA2GC system delivers access to Internet / Telephone networks for aircraft passengers. Suitable connectivity systems (WiFi / GSMOB) onboard aircraft are already available on the market.</w:t>
      </w:r>
    </w:p>
    <w:p w:rsidR="00174475" w:rsidRPr="00704A2A" w:rsidRDefault="00174475" w:rsidP="0059591C">
      <w:pPr>
        <w:spacing w:before="120"/>
        <w:rPr>
          <w:color w:val="0000FF"/>
          <w:lang w:val="en-GB"/>
        </w:rPr>
      </w:pPr>
      <w:r w:rsidRPr="00704A2A">
        <w:rPr>
          <w:color w:val="0000FF"/>
          <w:lang w:val="en-GB"/>
        </w:rPr>
        <w:t xml:space="preserve">The access network of this broadband DA2GC system consists of a terrestrial radio access network. The baseline access technology is the 3GPP evolved packet system (E-UTRAN+EPC) that is already commercially available, known as LTE. DA2GC specific enhancements required correspond mainly to operational aspects, e.g. antenna up-tilt at the Ground Station (Base Station), and network management issues. Adaptations of the ground components are expected to be completed ten months after spectrum designation / authorisation. The build-up of the ground network which is assumed to last about one year could be started in parallel. </w:t>
      </w:r>
    </w:p>
    <w:p w:rsidR="00174475" w:rsidRPr="00704A2A" w:rsidRDefault="00174475" w:rsidP="0059591C">
      <w:pPr>
        <w:spacing w:before="120"/>
        <w:rPr>
          <w:color w:val="0000FF"/>
          <w:lang w:val="en-GB"/>
        </w:rPr>
      </w:pPr>
      <w:r w:rsidRPr="00704A2A">
        <w:rPr>
          <w:color w:val="0000FF"/>
          <w:lang w:val="en-GB"/>
        </w:rPr>
        <w:t>The Aircraft Station (AS) ) acts as a mobile station (MS) in this broadband DA2GC system. Compared to a MS used in a usual mobile network, increased output power is required due to the higher path loss (larger cell sizes) in the broadband DA2GC network. Also improved synchronization features, e.g. to compensate the high Doppler shift, will be implemented. Time necessary for manufacturing the specific aircraft installation kits and for the corresponding type approval is estimated to be about one and a half year.</w:t>
      </w:r>
    </w:p>
    <w:p w:rsidR="00174475" w:rsidRPr="00704A2A" w:rsidRDefault="00174475" w:rsidP="0059591C">
      <w:pPr>
        <w:spacing w:before="120"/>
        <w:rPr>
          <w:color w:val="0000FF"/>
          <w:lang w:val="en-GB"/>
        </w:rPr>
      </w:pPr>
      <w:r w:rsidRPr="00704A2A">
        <w:rPr>
          <w:color w:val="0000FF"/>
          <w:lang w:val="en-GB"/>
        </w:rPr>
        <w:t xml:space="preserve">Thus the service rollout with first aircraft can be expected about 18 months after the spectrum designation/authorisation. The estimated timeline for equipment availability for this broadband DA2GC system is illustrated in </w:t>
      </w:r>
      <w:r w:rsidR="00B048A7">
        <w:fldChar w:fldCharType="begin"/>
      </w:r>
      <w:r w:rsidR="00B048A7">
        <w:instrText xml:space="preserve"> REF _Ref309652590 \h  \* MERGEFORMAT </w:instrText>
      </w:r>
      <w:r w:rsidR="00B048A7">
        <w:fldChar w:fldCharType="separate"/>
      </w:r>
      <w:r w:rsidRPr="00704A2A">
        <w:rPr>
          <w:color w:val="0000FF"/>
          <w:lang w:val="en-GB"/>
        </w:rPr>
        <w:t>Figure 5</w:t>
      </w:r>
      <w:r w:rsidR="00B048A7">
        <w:fldChar w:fldCharType="end"/>
      </w:r>
      <w:r w:rsidRPr="00704A2A">
        <w:rPr>
          <w:color w:val="0000FF"/>
          <w:lang w:val="en-GB"/>
        </w:rPr>
        <w:t>.</w:t>
      </w:r>
    </w:p>
    <w:p w:rsidR="00174475" w:rsidRPr="00704A2A" w:rsidRDefault="00174475" w:rsidP="00394059">
      <w:pPr>
        <w:rPr>
          <w:color w:val="0000FF"/>
          <w:lang w:val="en-GB"/>
        </w:rPr>
      </w:pPr>
    </w:p>
    <w:p w:rsidR="00174475" w:rsidRPr="00704A2A" w:rsidRDefault="00754ABF" w:rsidP="00394059">
      <w:pPr>
        <w:rPr>
          <w:color w:val="0000FF"/>
          <w:lang w:val="en-GB"/>
        </w:rPr>
      </w:pPr>
      <w:r>
        <w:rPr>
          <w:color w:val="0000FF"/>
          <w:lang w:val="en-GB"/>
        </w:rPr>
        <w:pict>
          <v:shape id="_x0000_i1030" type="#_x0000_t75" style="width:384.2pt;height:183.75pt">
            <v:imagedata r:id="rId13" o:title=""/>
          </v:shape>
        </w:pict>
      </w:r>
    </w:p>
    <w:p w:rsidR="00174475" w:rsidRPr="00704A2A" w:rsidRDefault="00174475" w:rsidP="00394059">
      <w:pPr>
        <w:jc w:val="center"/>
        <w:rPr>
          <w:b/>
          <w:color w:val="0000FF"/>
          <w:lang w:val="en-GB"/>
        </w:rPr>
      </w:pPr>
      <w:bookmarkStart w:id="4" w:name="_Ref309652590"/>
      <w:r w:rsidRPr="00704A2A">
        <w:rPr>
          <w:b/>
          <w:color w:val="0000FF"/>
          <w:lang w:val="en-GB"/>
        </w:rPr>
        <w:t xml:space="preserve">Figure </w:t>
      </w:r>
      <w:r w:rsidRPr="00704A2A">
        <w:rPr>
          <w:b/>
          <w:color w:val="0000FF"/>
          <w:lang w:val="en-GB"/>
        </w:rPr>
        <w:fldChar w:fldCharType="begin"/>
      </w:r>
      <w:r w:rsidRPr="00704A2A">
        <w:rPr>
          <w:b/>
          <w:color w:val="0000FF"/>
          <w:lang w:val="en-GB"/>
        </w:rPr>
        <w:instrText xml:space="preserve"> SEQ Figure \* ARABIC </w:instrText>
      </w:r>
      <w:r w:rsidRPr="00704A2A">
        <w:rPr>
          <w:b/>
          <w:color w:val="0000FF"/>
          <w:lang w:val="en-GB"/>
        </w:rPr>
        <w:fldChar w:fldCharType="separate"/>
      </w:r>
      <w:r w:rsidRPr="00704A2A">
        <w:rPr>
          <w:b/>
          <w:color w:val="0000FF"/>
          <w:lang w:val="en-GB"/>
        </w:rPr>
        <w:t>5</w:t>
      </w:r>
      <w:r w:rsidRPr="00704A2A">
        <w:rPr>
          <w:b/>
          <w:color w:val="0000FF"/>
          <w:lang w:val="en-GB"/>
        </w:rPr>
        <w:fldChar w:fldCharType="end"/>
      </w:r>
      <w:bookmarkEnd w:id="4"/>
      <w:r w:rsidRPr="00704A2A">
        <w:rPr>
          <w:b/>
          <w:color w:val="0000FF"/>
          <w:lang w:val="en-GB"/>
        </w:rPr>
        <w:t>: Timeline for BDA2GC equipment availability</w:t>
      </w:r>
    </w:p>
    <w:p w:rsidR="00174475" w:rsidRPr="00704A2A" w:rsidRDefault="00174475" w:rsidP="00394059">
      <w:pPr>
        <w:rPr>
          <w:color w:val="0000FF"/>
          <w:lang w:val="en-GB"/>
        </w:rPr>
      </w:pPr>
    </w:p>
    <w:p w:rsidR="00174475" w:rsidRPr="00704A2A" w:rsidRDefault="00754ABF" w:rsidP="00394059">
      <w:pPr>
        <w:pStyle w:val="KeinLeerraum"/>
        <w:rPr>
          <w:b/>
          <w:color w:val="0000FF"/>
          <w:lang w:val="en-GB"/>
        </w:rPr>
      </w:pPr>
      <w:r>
        <w:rPr>
          <w:b/>
          <w:color w:val="0000FF"/>
          <w:lang w:val="en-GB"/>
        </w:rPr>
        <w:t>6.1.6</w:t>
      </w:r>
      <w:r w:rsidR="00174475" w:rsidRPr="00704A2A">
        <w:rPr>
          <w:b/>
          <w:color w:val="0000FF"/>
          <w:lang w:val="en-GB"/>
        </w:rPr>
        <w:tab/>
        <w:t>System Implementation</w:t>
      </w:r>
    </w:p>
    <w:p w:rsidR="00174475" w:rsidRPr="00704A2A" w:rsidRDefault="00174475" w:rsidP="0059591C">
      <w:pPr>
        <w:spacing w:before="120"/>
        <w:rPr>
          <w:color w:val="0000FF"/>
          <w:lang w:val="en-GB"/>
        </w:rPr>
      </w:pPr>
      <w:r w:rsidRPr="00704A2A">
        <w:rPr>
          <w:color w:val="0000FF"/>
          <w:lang w:val="en-GB"/>
        </w:rPr>
        <w:t>...</w:t>
      </w:r>
    </w:p>
    <w:p w:rsidR="00174475" w:rsidRPr="00704A2A" w:rsidRDefault="00174475" w:rsidP="008A54B4">
      <w:pPr>
        <w:rPr>
          <w:color w:val="0000FF"/>
          <w:lang w:val="en-GB"/>
        </w:rPr>
      </w:pPr>
      <w:r w:rsidRPr="00704A2A">
        <w:rPr>
          <w:color w:val="0000FF"/>
          <w:lang w:val="en-GB"/>
        </w:rPr>
        <w:t xml:space="preserve">The flight density across European area for 2006 is presented on the left side of </w:t>
      </w:r>
      <w:r w:rsidR="00B048A7">
        <w:fldChar w:fldCharType="begin"/>
      </w:r>
      <w:r w:rsidR="00B048A7">
        <w:instrText xml:space="preserve"> REF _Ref309655575 \h  \* MERGEFORMAT </w:instrText>
      </w:r>
      <w:r w:rsidR="00B048A7">
        <w:fldChar w:fldCharType="separate"/>
      </w:r>
      <w:r w:rsidRPr="00704A2A">
        <w:rPr>
          <w:color w:val="0000FF"/>
          <w:szCs w:val="22"/>
          <w:lang w:val="en-GB"/>
        </w:rPr>
        <w:t>Figure 6</w:t>
      </w:r>
      <w:r w:rsidR="00B048A7">
        <w:fldChar w:fldCharType="end"/>
      </w:r>
      <w:r w:rsidRPr="00704A2A">
        <w:rPr>
          <w:color w:val="0000FF"/>
          <w:szCs w:val="22"/>
          <w:lang w:val="en-GB"/>
        </w:rPr>
        <w:t>.</w:t>
      </w:r>
      <w:r w:rsidRPr="00704A2A">
        <w:rPr>
          <w:color w:val="0000FF"/>
          <w:lang w:val="en-GB"/>
        </w:rPr>
        <w:t xml:space="preserve"> This figure also includes a long-term forecast for the year 2025.</w:t>
      </w:r>
    </w:p>
    <w:p w:rsidR="00174475" w:rsidRPr="00704A2A" w:rsidRDefault="00174475" w:rsidP="008A54B4">
      <w:pPr>
        <w:rPr>
          <w:color w:val="0000FF"/>
          <w:lang w:val="en-GB"/>
        </w:rPr>
      </w:pPr>
    </w:p>
    <w:p w:rsidR="00174475" w:rsidRPr="00704A2A" w:rsidRDefault="00754ABF" w:rsidP="008A54B4">
      <w:pPr>
        <w:rPr>
          <w:b/>
          <w:color w:val="0000FF"/>
          <w:lang w:val="en-GB"/>
        </w:rPr>
      </w:pPr>
      <w:r>
        <w:rPr>
          <w:b/>
          <w:color w:val="0000FF"/>
          <w:lang w:val="en-GB"/>
        </w:rPr>
        <w:lastRenderedPageBreak/>
        <w:pict>
          <v:shape id="_x0000_i1031" type="#_x0000_t75" style="width:454.05pt;height:147.2pt">
            <v:imagedata r:id="rId14" o:title=""/>
          </v:shape>
        </w:pict>
      </w:r>
    </w:p>
    <w:p w:rsidR="00174475" w:rsidRPr="00704A2A" w:rsidRDefault="00174475" w:rsidP="008A54B4">
      <w:pPr>
        <w:pStyle w:val="Beschriftung"/>
        <w:spacing w:before="120"/>
        <w:jc w:val="center"/>
        <w:rPr>
          <w:rFonts w:ascii="Arial" w:hAnsi="Arial" w:cs="Arial"/>
          <w:color w:val="0000FF"/>
          <w:sz w:val="22"/>
          <w:szCs w:val="22"/>
        </w:rPr>
      </w:pPr>
      <w:bookmarkStart w:id="5" w:name="_Ref309655575"/>
      <w:r w:rsidRPr="00704A2A">
        <w:rPr>
          <w:rFonts w:ascii="Arial" w:hAnsi="Arial" w:cs="Arial"/>
          <w:color w:val="0000FF"/>
          <w:sz w:val="22"/>
          <w:szCs w:val="22"/>
        </w:rPr>
        <w:t xml:space="preserve">Figure </w:t>
      </w:r>
      <w:r w:rsidRPr="00704A2A">
        <w:rPr>
          <w:rFonts w:ascii="Arial" w:hAnsi="Arial" w:cs="Arial"/>
          <w:color w:val="0000FF"/>
          <w:sz w:val="22"/>
          <w:szCs w:val="22"/>
        </w:rPr>
        <w:fldChar w:fldCharType="begin"/>
      </w:r>
      <w:r w:rsidRPr="00704A2A">
        <w:rPr>
          <w:rFonts w:ascii="Arial" w:hAnsi="Arial" w:cs="Arial"/>
          <w:color w:val="0000FF"/>
          <w:sz w:val="22"/>
          <w:szCs w:val="22"/>
        </w:rPr>
        <w:instrText xml:space="preserve"> SEQ Figure \* ARABIC </w:instrText>
      </w:r>
      <w:r w:rsidRPr="00704A2A">
        <w:rPr>
          <w:rFonts w:ascii="Arial" w:hAnsi="Arial" w:cs="Arial"/>
          <w:color w:val="0000FF"/>
          <w:sz w:val="22"/>
          <w:szCs w:val="22"/>
        </w:rPr>
        <w:fldChar w:fldCharType="separate"/>
      </w:r>
      <w:r w:rsidRPr="00704A2A">
        <w:rPr>
          <w:rFonts w:ascii="Arial" w:hAnsi="Arial" w:cs="Arial"/>
          <w:color w:val="0000FF"/>
          <w:sz w:val="22"/>
          <w:szCs w:val="22"/>
        </w:rPr>
        <w:t>6</w:t>
      </w:r>
      <w:r w:rsidRPr="00704A2A">
        <w:rPr>
          <w:rFonts w:ascii="Arial" w:hAnsi="Arial" w:cs="Arial"/>
          <w:color w:val="0000FF"/>
          <w:sz w:val="22"/>
          <w:szCs w:val="22"/>
        </w:rPr>
        <w:fldChar w:fldCharType="end"/>
      </w:r>
      <w:bookmarkEnd w:id="5"/>
      <w:r w:rsidRPr="00704A2A">
        <w:rPr>
          <w:rFonts w:ascii="Arial" w:hAnsi="Arial" w:cs="Arial"/>
          <w:color w:val="0000FF"/>
          <w:sz w:val="22"/>
          <w:szCs w:val="22"/>
        </w:rPr>
        <w:t>: Growth of European flight density (source: Eurocontrol / 2007)</w:t>
      </w:r>
    </w:p>
    <w:p w:rsidR="00174475" w:rsidRPr="00704A2A" w:rsidRDefault="00174475" w:rsidP="008A54B4">
      <w:pPr>
        <w:rPr>
          <w:color w:val="0000FF"/>
          <w:lang w:val="en-GB"/>
        </w:rPr>
      </w:pPr>
    </w:p>
    <w:p w:rsidR="00174475" w:rsidRPr="00704A2A" w:rsidRDefault="00174475" w:rsidP="008A54B4">
      <w:pPr>
        <w:rPr>
          <w:color w:val="0000FF"/>
          <w:lang w:val="en-GB"/>
        </w:rPr>
      </w:pPr>
      <w:r w:rsidRPr="00704A2A">
        <w:rPr>
          <w:color w:val="0000FF"/>
          <w:lang w:val="en-GB"/>
        </w:rPr>
        <w:t xml:space="preserve">The density patterns in </w:t>
      </w:r>
      <w:r w:rsidR="00B048A7">
        <w:fldChar w:fldCharType="begin"/>
      </w:r>
      <w:r w:rsidR="00B048A7">
        <w:instrText xml:space="preserve"> REF _Ref309655575 \h  \* MERGEFORMAT </w:instrText>
      </w:r>
      <w:r w:rsidR="00B048A7">
        <w:fldChar w:fldCharType="separate"/>
      </w:r>
      <w:r w:rsidRPr="00704A2A">
        <w:rPr>
          <w:color w:val="0000FF"/>
          <w:szCs w:val="22"/>
          <w:lang w:val="en-GB"/>
        </w:rPr>
        <w:t>Figure 6</w:t>
      </w:r>
      <w:r w:rsidR="00B048A7">
        <w:fldChar w:fldCharType="end"/>
      </w:r>
      <w:r w:rsidRPr="00704A2A">
        <w:rPr>
          <w:color w:val="0000FF"/>
          <w:szCs w:val="22"/>
          <w:lang w:val="en-GB"/>
        </w:rPr>
        <w:t xml:space="preserve"> might</w:t>
      </w:r>
      <w:r w:rsidRPr="00704A2A">
        <w:rPr>
          <w:color w:val="0000FF"/>
          <w:lang w:val="en-GB"/>
        </w:rPr>
        <w:t xml:space="preserve"> be used to define basic rollout coverage scenarios for the terrestrial broadband DA2G communication network, which could be extended during the following years to cover main flight routes and areas in Europe and neighbouring countries according to increasing air traffic demand. Based on this flight density forecast, a coverage extension to North Africa and Middle East could also be considered, provided the same spectrum as harmonised in CEPT could be made available there.</w:t>
      </w:r>
    </w:p>
    <w:p w:rsidR="00174475" w:rsidRPr="00704A2A" w:rsidRDefault="00174475" w:rsidP="008A54B4">
      <w:pPr>
        <w:rPr>
          <w:color w:val="0000FF"/>
          <w:lang w:val="en-GB"/>
        </w:rPr>
      </w:pPr>
      <w:r w:rsidRPr="00704A2A">
        <w:rPr>
          <w:color w:val="0000FF"/>
          <w:lang w:val="en-GB"/>
        </w:rPr>
        <w:t>...</w:t>
      </w:r>
    </w:p>
    <w:p w:rsidR="00174475" w:rsidRPr="00704A2A" w:rsidRDefault="00174475" w:rsidP="008A54B4">
      <w:pPr>
        <w:rPr>
          <w:lang w:val="en-GB"/>
        </w:rPr>
      </w:pPr>
    </w:p>
    <w:p w:rsidR="00174475" w:rsidRPr="00704A2A" w:rsidRDefault="00174475" w:rsidP="009221E4">
      <w:pPr>
        <w:rPr>
          <w:color w:val="0000FF"/>
          <w:lang w:val="en-GB"/>
        </w:rPr>
      </w:pPr>
    </w:p>
    <w:p w:rsidR="00174475" w:rsidRPr="00704A2A" w:rsidRDefault="00174475" w:rsidP="009221E4">
      <w:pPr>
        <w:rPr>
          <w:color w:val="0000FF"/>
          <w:lang w:val="en-GB"/>
        </w:rPr>
      </w:pPr>
    </w:p>
    <w:p w:rsidR="00174475" w:rsidRPr="00704A2A" w:rsidRDefault="00174475" w:rsidP="009221E4">
      <w:pPr>
        <w:rPr>
          <w:color w:val="0000FF"/>
          <w:lang w:val="en-GB"/>
        </w:rPr>
      </w:pPr>
    </w:p>
    <w:p w:rsidR="00174475" w:rsidRPr="00704A2A" w:rsidRDefault="00174475" w:rsidP="009221E4">
      <w:pPr>
        <w:rPr>
          <w:color w:val="0000FF"/>
          <w:lang w:val="en-GB"/>
        </w:rPr>
      </w:pPr>
    </w:p>
    <w:p w:rsidR="00174475" w:rsidRPr="00704A2A" w:rsidRDefault="00174475" w:rsidP="009221E4">
      <w:pPr>
        <w:rPr>
          <w:color w:val="0000FF"/>
          <w:lang w:val="en-GB"/>
        </w:rPr>
      </w:pPr>
    </w:p>
    <w:p w:rsidR="00174475" w:rsidRPr="00704A2A" w:rsidRDefault="00174475" w:rsidP="009221E4">
      <w:pPr>
        <w:rPr>
          <w:color w:val="0000FF"/>
          <w:lang w:val="en-GB"/>
        </w:rPr>
      </w:pPr>
    </w:p>
    <w:p w:rsidR="00174475" w:rsidRPr="00704A2A" w:rsidRDefault="00174475" w:rsidP="009221E4">
      <w:pPr>
        <w:rPr>
          <w:color w:val="0000FF"/>
          <w:lang w:val="en-GB"/>
        </w:rPr>
      </w:pPr>
    </w:p>
    <w:p w:rsidR="00174475" w:rsidRPr="00704A2A" w:rsidRDefault="00174475" w:rsidP="00317FB7">
      <w:pPr>
        <w:pStyle w:val="KeinLeerraum"/>
        <w:rPr>
          <w:lang w:val="en-GB"/>
        </w:rPr>
      </w:pPr>
    </w:p>
    <w:p w:rsidR="00174475" w:rsidRPr="00704A2A" w:rsidRDefault="00174475" w:rsidP="00317FB7">
      <w:pPr>
        <w:pStyle w:val="KeinLeerraum"/>
        <w:rPr>
          <w:lang w:val="en-GB"/>
        </w:rPr>
      </w:pPr>
    </w:p>
    <w:p w:rsidR="00174475" w:rsidRPr="00704A2A" w:rsidRDefault="00174475" w:rsidP="00317FB7">
      <w:pPr>
        <w:pStyle w:val="KeinLeerraum"/>
        <w:rPr>
          <w:lang w:val="en-GB"/>
        </w:rPr>
      </w:pPr>
      <w:r w:rsidRPr="00704A2A">
        <w:rPr>
          <w:b/>
          <w:lang w:val="en-GB"/>
        </w:rPr>
        <w:br w:type="page"/>
      </w:r>
      <w:r w:rsidRPr="00704A2A">
        <w:rPr>
          <w:b/>
          <w:lang w:val="en-GB"/>
        </w:rPr>
        <w:lastRenderedPageBreak/>
        <w:t>6.2</w:t>
      </w:r>
      <w:r w:rsidRPr="00704A2A">
        <w:rPr>
          <w:b/>
          <w:lang w:val="en-GB"/>
        </w:rPr>
        <w:tab/>
        <w:t>PROPOSAL FROM LH SYSTEMS AG</w:t>
      </w:r>
      <w:r w:rsidRPr="00704A2A">
        <w:rPr>
          <w:lang w:val="en-GB"/>
        </w:rPr>
        <w:t xml:space="preserve"> [Future ETSI System Reference Document xxx]</w:t>
      </w:r>
    </w:p>
    <w:p w:rsidR="00174475" w:rsidRPr="00704A2A" w:rsidRDefault="00174475" w:rsidP="00317FB7">
      <w:pPr>
        <w:pStyle w:val="KeinLeerraum"/>
        <w:rPr>
          <w:lang w:val="en-GB"/>
        </w:rPr>
      </w:pPr>
    </w:p>
    <w:p w:rsidR="00174475" w:rsidRPr="00704A2A" w:rsidRDefault="00174475" w:rsidP="00317FB7">
      <w:pPr>
        <w:pStyle w:val="KeinLeerraum"/>
        <w:rPr>
          <w:highlight w:val="yellow"/>
          <w:lang w:val="en-GB"/>
        </w:rPr>
      </w:pPr>
      <w:r w:rsidRPr="00704A2A">
        <w:rPr>
          <w:highlight w:val="yellow"/>
          <w:lang w:val="en-GB"/>
        </w:rPr>
        <w:t>see FM48(11)023, FM48(11)017</w:t>
      </w:r>
    </w:p>
    <w:p w:rsidR="00174475" w:rsidRPr="00704A2A" w:rsidRDefault="00174475" w:rsidP="00317FB7">
      <w:pPr>
        <w:pStyle w:val="KeinLeerraum"/>
        <w:rPr>
          <w:highlight w:val="yellow"/>
          <w:lang w:val="en-GB"/>
        </w:rPr>
      </w:pPr>
    </w:p>
    <w:p w:rsidR="00174475" w:rsidRPr="00704A2A" w:rsidRDefault="00174475" w:rsidP="001842D2">
      <w:pPr>
        <w:pStyle w:val="KeinLeerraum"/>
        <w:rPr>
          <w:highlight w:val="yellow"/>
          <w:lang w:val="en-GB"/>
        </w:rPr>
      </w:pPr>
      <w:r w:rsidRPr="00704A2A">
        <w:rPr>
          <w:highlight w:val="yellow"/>
          <w:lang w:val="en-GB"/>
        </w:rPr>
        <w:t>key elements:</w:t>
      </w:r>
    </w:p>
    <w:p w:rsidR="00174475" w:rsidRPr="00704A2A" w:rsidRDefault="00174475" w:rsidP="001842D2">
      <w:pPr>
        <w:pStyle w:val="KeinLeerraum"/>
        <w:rPr>
          <w:lang w:val="en-GB"/>
        </w:rPr>
      </w:pPr>
      <w:r w:rsidRPr="00704A2A">
        <w:rPr>
          <w:highlight w:val="yellow"/>
          <w:lang w:val="en-GB"/>
        </w:rPr>
        <w:t>detailed system description (technology), QoS, specific spectrum needs, candidate bands, timeframe for equipment availability, system implementation (airline interest, operator commitment)</w:t>
      </w:r>
    </w:p>
    <w:p w:rsidR="00174475" w:rsidRPr="00704A2A" w:rsidRDefault="00174475" w:rsidP="00317FB7">
      <w:pPr>
        <w:pStyle w:val="KeinLeerraum"/>
        <w:rPr>
          <w:lang w:val="en-GB"/>
        </w:rPr>
      </w:pPr>
    </w:p>
    <w:p w:rsidR="00174475" w:rsidRPr="00704A2A" w:rsidRDefault="00174475" w:rsidP="00317FB7">
      <w:pPr>
        <w:pStyle w:val="KeinLeerraum"/>
        <w:rPr>
          <w:lang w:val="en-GB"/>
        </w:rPr>
      </w:pPr>
    </w:p>
    <w:p w:rsidR="00174475" w:rsidRPr="00704A2A" w:rsidRDefault="00174475" w:rsidP="00317FB7">
      <w:pPr>
        <w:pStyle w:val="KeinLeerraum"/>
        <w:rPr>
          <w:lang w:val="en-GB"/>
        </w:rPr>
      </w:pPr>
      <w:r w:rsidRPr="00704A2A">
        <w:rPr>
          <w:b/>
          <w:lang w:val="en-GB"/>
        </w:rPr>
        <w:br w:type="page"/>
      </w:r>
      <w:r w:rsidRPr="00704A2A">
        <w:rPr>
          <w:b/>
          <w:lang w:val="en-GB"/>
        </w:rPr>
        <w:lastRenderedPageBreak/>
        <w:t>6.3</w:t>
      </w:r>
      <w:r w:rsidRPr="00704A2A">
        <w:rPr>
          <w:b/>
          <w:lang w:val="en-GB"/>
        </w:rPr>
        <w:tab/>
        <w:t>PROPOSAL FROM AERO3G</w:t>
      </w:r>
      <w:r w:rsidRPr="00704A2A">
        <w:rPr>
          <w:lang w:val="en-GB"/>
        </w:rPr>
        <w:t xml:space="preserve"> [Future ETSI System Reference Document xxx ???]</w:t>
      </w:r>
    </w:p>
    <w:p w:rsidR="00174475" w:rsidRPr="00704A2A" w:rsidRDefault="00174475" w:rsidP="00317FB7">
      <w:pPr>
        <w:pStyle w:val="KeinLeerraum"/>
        <w:rPr>
          <w:lang w:val="en-GB"/>
        </w:rPr>
      </w:pPr>
    </w:p>
    <w:p w:rsidR="00174475" w:rsidRPr="00704A2A" w:rsidRDefault="00174475" w:rsidP="00317FB7">
      <w:pPr>
        <w:pStyle w:val="KeinLeerraum"/>
        <w:rPr>
          <w:highlight w:val="yellow"/>
          <w:lang w:val="en-GB"/>
        </w:rPr>
      </w:pPr>
      <w:r w:rsidRPr="00704A2A">
        <w:rPr>
          <w:highlight w:val="yellow"/>
          <w:lang w:val="en-GB"/>
        </w:rPr>
        <w:t>see FM48(11)038</w:t>
      </w:r>
    </w:p>
    <w:p w:rsidR="00174475" w:rsidRPr="00704A2A" w:rsidRDefault="00174475" w:rsidP="00317FB7">
      <w:pPr>
        <w:pStyle w:val="KeinLeerraum"/>
        <w:rPr>
          <w:highlight w:val="yellow"/>
          <w:lang w:val="en-GB"/>
        </w:rPr>
      </w:pPr>
    </w:p>
    <w:p w:rsidR="00174475" w:rsidRPr="00704A2A" w:rsidRDefault="00174475" w:rsidP="001842D2">
      <w:pPr>
        <w:pStyle w:val="KeinLeerraum"/>
        <w:rPr>
          <w:highlight w:val="yellow"/>
          <w:lang w:val="en-GB"/>
        </w:rPr>
      </w:pPr>
      <w:r w:rsidRPr="00704A2A">
        <w:rPr>
          <w:highlight w:val="yellow"/>
          <w:lang w:val="en-GB"/>
        </w:rPr>
        <w:t>key elements:</w:t>
      </w:r>
    </w:p>
    <w:p w:rsidR="00174475" w:rsidRPr="00704A2A" w:rsidRDefault="00174475" w:rsidP="001842D2">
      <w:pPr>
        <w:pStyle w:val="KeinLeerraum"/>
        <w:rPr>
          <w:lang w:val="en-GB"/>
        </w:rPr>
      </w:pPr>
      <w:r w:rsidRPr="00704A2A">
        <w:rPr>
          <w:highlight w:val="yellow"/>
          <w:lang w:val="en-GB"/>
        </w:rPr>
        <w:t>detailed system description (technology), QoS, specific spectrum needs, candidate bands, timeframe for equipment availability, system implementation (airline interest, operator commitment)</w:t>
      </w:r>
    </w:p>
    <w:p w:rsidR="00174475" w:rsidRPr="00704A2A" w:rsidRDefault="00174475" w:rsidP="00317FB7">
      <w:pPr>
        <w:pStyle w:val="KeinLeerraum"/>
        <w:rPr>
          <w:lang w:val="en-GB"/>
        </w:rPr>
      </w:pPr>
    </w:p>
    <w:p w:rsidR="00174475" w:rsidRPr="00704A2A" w:rsidRDefault="00174475" w:rsidP="00317FB7">
      <w:pPr>
        <w:pStyle w:val="KeinLeerraum"/>
        <w:rPr>
          <w:lang w:val="en-GB"/>
        </w:rPr>
      </w:pPr>
    </w:p>
    <w:p w:rsidR="00174475" w:rsidRPr="00704A2A" w:rsidRDefault="00174475" w:rsidP="00317FB7">
      <w:pPr>
        <w:pStyle w:val="KeinLeerraum"/>
        <w:rPr>
          <w:lang w:val="en-GB"/>
        </w:rPr>
      </w:pPr>
      <w:r w:rsidRPr="00704A2A">
        <w:rPr>
          <w:b/>
          <w:lang w:val="en-GB"/>
        </w:rPr>
        <w:br w:type="page"/>
      </w:r>
      <w:r w:rsidRPr="00704A2A">
        <w:rPr>
          <w:b/>
          <w:lang w:val="en-GB"/>
        </w:rPr>
        <w:lastRenderedPageBreak/>
        <w:t>7</w:t>
      </w:r>
      <w:r w:rsidRPr="00704A2A">
        <w:rPr>
          <w:b/>
          <w:lang w:val="en-GB"/>
        </w:rPr>
        <w:tab/>
        <w:t>OUTCOME OF COMPATIBILITY STUDIES</w:t>
      </w:r>
      <w:r w:rsidRPr="00704A2A">
        <w:rPr>
          <w:lang w:val="en-GB"/>
        </w:rPr>
        <w:t xml:space="preserve"> [ECC Report xxx from SE PT 44]</w:t>
      </w:r>
    </w:p>
    <w:p w:rsidR="00174475" w:rsidRPr="00704A2A" w:rsidRDefault="00174475" w:rsidP="00317FB7">
      <w:pPr>
        <w:pStyle w:val="KeinLeerraum"/>
        <w:rPr>
          <w:lang w:val="en-GB"/>
        </w:rPr>
      </w:pPr>
    </w:p>
    <w:p w:rsidR="00174475" w:rsidRPr="00704A2A" w:rsidRDefault="00174475" w:rsidP="00317FB7">
      <w:pPr>
        <w:pStyle w:val="KeinLeerraum"/>
        <w:rPr>
          <w:lang w:val="en-GB"/>
        </w:rPr>
      </w:pPr>
    </w:p>
    <w:p w:rsidR="00174475" w:rsidRPr="00704A2A" w:rsidRDefault="00174475" w:rsidP="00317FB7">
      <w:pPr>
        <w:pStyle w:val="KeinLeerraum"/>
        <w:rPr>
          <w:b/>
          <w:lang w:val="en-GB"/>
        </w:rPr>
      </w:pPr>
      <w:r w:rsidRPr="00704A2A">
        <w:rPr>
          <w:b/>
          <w:lang w:val="en-GB"/>
        </w:rPr>
        <w:br w:type="page"/>
      </w:r>
      <w:r w:rsidRPr="00704A2A">
        <w:rPr>
          <w:b/>
          <w:lang w:val="en-GB"/>
        </w:rPr>
        <w:lastRenderedPageBreak/>
        <w:t>8</w:t>
      </w:r>
      <w:r w:rsidRPr="00704A2A">
        <w:rPr>
          <w:b/>
          <w:lang w:val="en-GB"/>
        </w:rPr>
        <w:tab/>
        <w:t>CONCLUSIONS</w:t>
      </w:r>
    </w:p>
    <w:p w:rsidR="00174475" w:rsidRPr="00704A2A" w:rsidRDefault="00174475" w:rsidP="00317FB7">
      <w:pPr>
        <w:pStyle w:val="KeinLeerraum"/>
        <w:rPr>
          <w:lang w:val="en-GB"/>
        </w:rPr>
      </w:pPr>
    </w:p>
    <w:p w:rsidR="00174475" w:rsidRPr="00704A2A" w:rsidRDefault="00174475" w:rsidP="00317FB7">
      <w:pPr>
        <w:pStyle w:val="KeinLeerraum"/>
        <w:rPr>
          <w:lang w:val="en-GB"/>
        </w:rPr>
      </w:pPr>
    </w:p>
    <w:p w:rsidR="00174475" w:rsidRPr="00704A2A" w:rsidRDefault="00174475" w:rsidP="00317FB7">
      <w:pPr>
        <w:pStyle w:val="KeinLeerraum"/>
        <w:rPr>
          <w:b/>
          <w:lang w:val="en-GB"/>
        </w:rPr>
      </w:pPr>
      <w:r w:rsidRPr="00704A2A">
        <w:rPr>
          <w:b/>
          <w:lang w:val="en-GB"/>
        </w:rPr>
        <w:br w:type="page"/>
      </w:r>
      <w:r w:rsidRPr="00704A2A">
        <w:rPr>
          <w:b/>
          <w:lang w:val="en-GB"/>
        </w:rPr>
        <w:lastRenderedPageBreak/>
        <w:t>ANNEX 1: LIST OF REFERENCE</w:t>
      </w:r>
    </w:p>
    <w:p w:rsidR="00174475" w:rsidRPr="00704A2A" w:rsidRDefault="00174475" w:rsidP="00F97DDE">
      <w:pPr>
        <w:pStyle w:val="KeinLeerraum"/>
        <w:rPr>
          <w:lang w:val="en-GB"/>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1"/>
        <w:gridCol w:w="7479"/>
      </w:tblGrid>
      <w:tr w:rsidR="00174475" w:rsidRPr="00704A2A" w:rsidTr="006B4FCD">
        <w:tc>
          <w:tcPr>
            <w:tcW w:w="1701" w:type="dxa"/>
          </w:tcPr>
          <w:p w:rsidR="00174475" w:rsidRPr="00704A2A" w:rsidRDefault="00174475" w:rsidP="00EC60C8">
            <w:pPr>
              <w:pStyle w:val="KeinLeerraum"/>
              <w:rPr>
                <w:lang w:val="en-GB"/>
              </w:rPr>
            </w:pPr>
            <w:r w:rsidRPr="00704A2A">
              <w:rPr>
                <w:lang w:val="en-GB"/>
              </w:rPr>
              <w:t>[1]</w:t>
            </w:r>
          </w:p>
        </w:tc>
        <w:tc>
          <w:tcPr>
            <w:tcW w:w="7479" w:type="dxa"/>
          </w:tcPr>
          <w:p w:rsidR="00174475" w:rsidRPr="00704A2A" w:rsidRDefault="00174475" w:rsidP="00EC60C8">
            <w:pPr>
              <w:pStyle w:val="KeinLeerraum"/>
              <w:rPr>
                <w:lang w:val="en-GB"/>
              </w:rPr>
            </w:pPr>
            <w:r w:rsidRPr="00704A2A">
              <w:rPr>
                <w:lang w:val="en-GB"/>
              </w:rPr>
              <w:t>ETSI TR 103 054 V1.1.1 (2010-07), System Reference Document, Broadband Direct-Air-to-Ground Communications operating in part of the frequency range from 790 MHz to 5150 MHz; FM48(10)003</w:t>
            </w:r>
          </w:p>
          <w:p w:rsidR="00174475" w:rsidRPr="00704A2A" w:rsidRDefault="00174475" w:rsidP="00EC60C8">
            <w:pPr>
              <w:pStyle w:val="KeinLeerraum"/>
              <w:rPr>
                <w:lang w:val="en-GB"/>
              </w:rPr>
            </w:pPr>
          </w:p>
        </w:tc>
      </w:tr>
      <w:tr w:rsidR="00174475" w:rsidRPr="00704A2A" w:rsidTr="006B4FCD">
        <w:tc>
          <w:tcPr>
            <w:tcW w:w="1701" w:type="dxa"/>
          </w:tcPr>
          <w:p w:rsidR="00174475" w:rsidRPr="00704A2A" w:rsidRDefault="00174475" w:rsidP="00EC60C8">
            <w:pPr>
              <w:pStyle w:val="KeinLeerraum"/>
              <w:rPr>
                <w:color w:val="0000FF"/>
                <w:lang w:val="en-GB"/>
              </w:rPr>
            </w:pPr>
            <w:r w:rsidRPr="00704A2A">
              <w:rPr>
                <w:color w:val="0000FF"/>
                <w:lang w:val="en-GB"/>
              </w:rPr>
              <w:t>[2]</w:t>
            </w:r>
          </w:p>
        </w:tc>
        <w:tc>
          <w:tcPr>
            <w:tcW w:w="7479" w:type="dxa"/>
          </w:tcPr>
          <w:p w:rsidR="00174475" w:rsidRPr="00704A2A" w:rsidRDefault="00174475" w:rsidP="00EC60C8">
            <w:pPr>
              <w:pStyle w:val="KeinLeerraum"/>
              <w:rPr>
                <w:color w:val="0000FF"/>
                <w:lang w:val="en-GB"/>
              </w:rPr>
            </w:pPr>
            <w:r w:rsidRPr="00704A2A">
              <w:rPr>
                <w:color w:val="0000FF"/>
                <w:lang w:val="en-GB"/>
              </w:rPr>
              <w:t>ETSI TS 136 300: "LTE; Evolved Universal Terrestrial Radio Access (E-UTRA) and Evolved Universal Terrestrial Radio Access Network (E-UTRAN); Overall description; Stage 2 (3GPP TS 36.300)".</w:t>
            </w:r>
          </w:p>
          <w:p w:rsidR="00174475" w:rsidRPr="00704A2A" w:rsidRDefault="00174475" w:rsidP="00EC60C8">
            <w:pPr>
              <w:pStyle w:val="KeinLeerraum"/>
              <w:rPr>
                <w:color w:val="0000FF"/>
                <w:lang w:val="en-GB"/>
              </w:rPr>
            </w:pPr>
          </w:p>
        </w:tc>
      </w:tr>
      <w:tr w:rsidR="00174475" w:rsidRPr="00704A2A" w:rsidTr="006B4FCD">
        <w:tc>
          <w:tcPr>
            <w:tcW w:w="1701" w:type="dxa"/>
          </w:tcPr>
          <w:p w:rsidR="00174475" w:rsidRPr="00704A2A" w:rsidRDefault="00174475" w:rsidP="00EC60C8">
            <w:pPr>
              <w:pStyle w:val="KeinLeerraum"/>
              <w:rPr>
                <w:color w:val="0000FF"/>
                <w:lang w:val="en-GB"/>
              </w:rPr>
            </w:pPr>
            <w:r w:rsidRPr="00704A2A">
              <w:rPr>
                <w:color w:val="0000FF"/>
                <w:lang w:val="en-GB"/>
              </w:rPr>
              <w:t>[3]</w:t>
            </w:r>
          </w:p>
          <w:p w:rsidR="00174475" w:rsidRPr="00704A2A" w:rsidRDefault="00174475" w:rsidP="00EC60C8">
            <w:pPr>
              <w:pStyle w:val="KeinLeerraum"/>
              <w:rPr>
                <w:color w:val="0000FF"/>
                <w:lang w:val="en-GB"/>
              </w:rPr>
            </w:pPr>
          </w:p>
        </w:tc>
        <w:tc>
          <w:tcPr>
            <w:tcW w:w="7479" w:type="dxa"/>
          </w:tcPr>
          <w:p w:rsidR="00174475" w:rsidRPr="00704A2A" w:rsidRDefault="00174475" w:rsidP="00EC60C8">
            <w:pPr>
              <w:pStyle w:val="KeinLeerraum"/>
              <w:rPr>
                <w:color w:val="0000FF"/>
                <w:lang w:val="en-GB"/>
              </w:rPr>
            </w:pPr>
            <w:r w:rsidRPr="00704A2A">
              <w:rPr>
                <w:color w:val="0000FF"/>
                <w:lang w:val="en-GB"/>
              </w:rPr>
              <w:t>Document FM(11)091: Spectrum demand for Broadband Direct Air-to-Ground Communications (DA2GC) based on performance figures for a LTE-based DA2GC system.</w:t>
            </w:r>
          </w:p>
          <w:p w:rsidR="00174475" w:rsidRPr="00704A2A" w:rsidRDefault="00174475" w:rsidP="00EC60C8">
            <w:pPr>
              <w:pStyle w:val="KeinLeerraum"/>
              <w:rPr>
                <w:color w:val="0000FF"/>
                <w:lang w:val="en-GB"/>
              </w:rPr>
            </w:pPr>
          </w:p>
        </w:tc>
      </w:tr>
      <w:tr w:rsidR="00174475" w:rsidRPr="00704A2A" w:rsidTr="006B4FCD">
        <w:tc>
          <w:tcPr>
            <w:tcW w:w="1701" w:type="dxa"/>
          </w:tcPr>
          <w:p w:rsidR="00174475" w:rsidRPr="00704A2A" w:rsidRDefault="00174475" w:rsidP="00EC60C8">
            <w:pPr>
              <w:pStyle w:val="KeinLeerraum"/>
              <w:rPr>
                <w:color w:val="0000FF"/>
                <w:lang w:val="en-GB"/>
              </w:rPr>
            </w:pPr>
            <w:r w:rsidRPr="00704A2A">
              <w:rPr>
                <w:color w:val="0000FF"/>
                <w:lang w:val="en-GB"/>
              </w:rPr>
              <w:t>[4]</w:t>
            </w:r>
          </w:p>
          <w:p w:rsidR="00174475" w:rsidRPr="00704A2A" w:rsidRDefault="00174475" w:rsidP="00EC60C8">
            <w:pPr>
              <w:pStyle w:val="KeinLeerraum"/>
              <w:rPr>
                <w:color w:val="0000FF"/>
                <w:lang w:val="en-GB"/>
              </w:rPr>
            </w:pPr>
          </w:p>
          <w:p w:rsidR="00174475" w:rsidRPr="00704A2A" w:rsidRDefault="00174475" w:rsidP="00EC60C8">
            <w:pPr>
              <w:pStyle w:val="KeinLeerraum"/>
              <w:rPr>
                <w:color w:val="0000FF"/>
                <w:lang w:val="en-GB"/>
              </w:rPr>
            </w:pPr>
          </w:p>
        </w:tc>
        <w:tc>
          <w:tcPr>
            <w:tcW w:w="7479" w:type="dxa"/>
          </w:tcPr>
          <w:p w:rsidR="00174475" w:rsidRPr="00704A2A" w:rsidRDefault="00174475" w:rsidP="00EC60C8">
            <w:pPr>
              <w:pStyle w:val="KeinLeerraum"/>
              <w:rPr>
                <w:color w:val="0000FF"/>
                <w:lang w:val="en-GB"/>
              </w:rPr>
            </w:pPr>
          </w:p>
        </w:tc>
      </w:tr>
    </w:tbl>
    <w:p w:rsidR="00174475" w:rsidRPr="00704A2A" w:rsidRDefault="00174475" w:rsidP="00F97DDE">
      <w:pPr>
        <w:pStyle w:val="KeinLeerraum"/>
        <w:rPr>
          <w:lang w:val="en-GB"/>
        </w:rPr>
      </w:pPr>
    </w:p>
    <w:p w:rsidR="00174475" w:rsidRPr="00704A2A" w:rsidRDefault="00174475" w:rsidP="00317FB7">
      <w:pPr>
        <w:pStyle w:val="KeinLeerraum"/>
        <w:rPr>
          <w:lang w:val="en-GB"/>
        </w:rPr>
      </w:pPr>
    </w:p>
    <w:p w:rsidR="00174475" w:rsidRPr="00704A2A" w:rsidRDefault="00174475" w:rsidP="00317FB7">
      <w:pPr>
        <w:pStyle w:val="KeinLeerraum"/>
        <w:rPr>
          <w:lang w:val="en-GB"/>
        </w:rPr>
      </w:pPr>
    </w:p>
    <w:sectPr w:rsidR="00174475" w:rsidRPr="00704A2A" w:rsidSect="008F677F">
      <w:footerReference w:type="even" r:id="rId15"/>
      <w:footerReference w:type="default" r:id="rId16"/>
      <w:pgSz w:w="11907" w:h="16840" w:code="9"/>
      <w:pgMar w:top="1134" w:right="1275" w:bottom="1134" w:left="1276" w:header="720" w:footer="720" w:gutter="0"/>
      <w:paperSrc w:first="1" w:other="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48A7" w:rsidRDefault="00B048A7">
      <w:r>
        <w:separator/>
      </w:r>
    </w:p>
  </w:endnote>
  <w:endnote w:type="continuationSeparator" w:id="0">
    <w:p w:rsidR="00B048A7" w:rsidRDefault="00B04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475" w:rsidRDefault="00174475">
    <w:pPr>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3</w:t>
    </w:r>
    <w:r>
      <w:rPr>
        <w:rStyle w:val="Seitenzahl"/>
      </w:rPr>
      <w:fldChar w:fldCharType="end"/>
    </w:r>
  </w:p>
  <w:p w:rsidR="00174475" w:rsidRDefault="0017447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475" w:rsidRDefault="00174475">
    <w:pPr>
      <w:framePr w:wrap="around" w:vAnchor="text" w:hAnchor="margin" w:xAlign="center" w:y="1"/>
      <w:rPr>
        <w:rStyle w:val="Seitenzahl"/>
        <w:sz w:val="20"/>
      </w:rPr>
    </w:pPr>
    <w:r>
      <w:rPr>
        <w:rStyle w:val="Seitenzahl"/>
        <w:sz w:val="20"/>
      </w:rPr>
      <w:fldChar w:fldCharType="begin"/>
    </w:r>
    <w:r>
      <w:rPr>
        <w:rStyle w:val="Seitenzahl"/>
        <w:sz w:val="20"/>
      </w:rPr>
      <w:instrText xml:space="preserve">PAGE  </w:instrText>
    </w:r>
    <w:r>
      <w:rPr>
        <w:rStyle w:val="Seitenzahl"/>
        <w:sz w:val="20"/>
      </w:rPr>
      <w:fldChar w:fldCharType="separate"/>
    </w:r>
    <w:r w:rsidR="00754ABF">
      <w:rPr>
        <w:rStyle w:val="Seitenzahl"/>
        <w:noProof/>
        <w:sz w:val="20"/>
      </w:rPr>
      <w:t>2</w:t>
    </w:r>
    <w:r>
      <w:rPr>
        <w:rStyle w:val="Seitenzahl"/>
        <w:sz w:val="20"/>
      </w:rPr>
      <w:fldChar w:fldCharType="end"/>
    </w:r>
  </w:p>
  <w:p w:rsidR="00174475" w:rsidRDefault="0017447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48A7" w:rsidRDefault="00B048A7">
      <w:r>
        <w:separator/>
      </w:r>
    </w:p>
  </w:footnote>
  <w:footnote w:type="continuationSeparator" w:id="0">
    <w:p w:rsidR="00B048A7" w:rsidRDefault="00B048A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6062D"/>
    <w:multiLevelType w:val="hybridMultilevel"/>
    <w:tmpl w:val="D33ADC22"/>
    <w:lvl w:ilvl="0" w:tplc="09AAFE48">
      <w:start w:val="23"/>
      <w:numFmt w:val="decimal"/>
      <w:lvlText w:val="%1"/>
      <w:lvlJc w:val="left"/>
      <w:pPr>
        <w:tabs>
          <w:tab w:val="num" w:pos="930"/>
        </w:tabs>
        <w:ind w:left="930" w:hanging="57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
    <w:nsid w:val="15633D74"/>
    <w:multiLevelType w:val="hybridMultilevel"/>
    <w:tmpl w:val="BAB8DC6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17606BB8"/>
    <w:multiLevelType w:val="hybridMultilevel"/>
    <w:tmpl w:val="86C001F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2D0D17E7"/>
    <w:multiLevelType w:val="multilevel"/>
    <w:tmpl w:val="14F2EEB8"/>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4">
    <w:nsid w:val="30392B7A"/>
    <w:multiLevelType w:val="hybridMultilevel"/>
    <w:tmpl w:val="50F8C5A8"/>
    <w:lvl w:ilvl="0" w:tplc="04070001">
      <w:start w:val="1"/>
      <w:numFmt w:val="bullet"/>
      <w:lvlText w:val=""/>
      <w:lvlJc w:val="left"/>
      <w:pPr>
        <w:tabs>
          <w:tab w:val="num" w:pos="2134"/>
        </w:tabs>
        <w:ind w:left="2134" w:hanging="360"/>
      </w:pPr>
      <w:rPr>
        <w:rFonts w:ascii="Symbol" w:hAnsi="Symbol" w:hint="default"/>
      </w:rPr>
    </w:lvl>
    <w:lvl w:ilvl="1" w:tplc="04070003" w:tentative="1">
      <w:start w:val="1"/>
      <w:numFmt w:val="bullet"/>
      <w:lvlText w:val="o"/>
      <w:lvlJc w:val="left"/>
      <w:pPr>
        <w:tabs>
          <w:tab w:val="num" w:pos="2854"/>
        </w:tabs>
        <w:ind w:left="2854" w:hanging="360"/>
      </w:pPr>
      <w:rPr>
        <w:rFonts w:ascii="Courier New" w:hAnsi="Courier New" w:hint="default"/>
      </w:rPr>
    </w:lvl>
    <w:lvl w:ilvl="2" w:tplc="04070005" w:tentative="1">
      <w:start w:val="1"/>
      <w:numFmt w:val="bullet"/>
      <w:lvlText w:val=""/>
      <w:lvlJc w:val="left"/>
      <w:pPr>
        <w:tabs>
          <w:tab w:val="num" w:pos="3574"/>
        </w:tabs>
        <w:ind w:left="3574" w:hanging="360"/>
      </w:pPr>
      <w:rPr>
        <w:rFonts w:ascii="Wingdings" w:hAnsi="Wingdings" w:hint="default"/>
      </w:rPr>
    </w:lvl>
    <w:lvl w:ilvl="3" w:tplc="04070001" w:tentative="1">
      <w:start w:val="1"/>
      <w:numFmt w:val="bullet"/>
      <w:lvlText w:val=""/>
      <w:lvlJc w:val="left"/>
      <w:pPr>
        <w:tabs>
          <w:tab w:val="num" w:pos="4294"/>
        </w:tabs>
        <w:ind w:left="4294" w:hanging="360"/>
      </w:pPr>
      <w:rPr>
        <w:rFonts w:ascii="Symbol" w:hAnsi="Symbol" w:hint="default"/>
      </w:rPr>
    </w:lvl>
    <w:lvl w:ilvl="4" w:tplc="04070003" w:tentative="1">
      <w:start w:val="1"/>
      <w:numFmt w:val="bullet"/>
      <w:lvlText w:val="o"/>
      <w:lvlJc w:val="left"/>
      <w:pPr>
        <w:tabs>
          <w:tab w:val="num" w:pos="5014"/>
        </w:tabs>
        <w:ind w:left="5014" w:hanging="360"/>
      </w:pPr>
      <w:rPr>
        <w:rFonts w:ascii="Courier New" w:hAnsi="Courier New" w:hint="default"/>
      </w:rPr>
    </w:lvl>
    <w:lvl w:ilvl="5" w:tplc="04070005" w:tentative="1">
      <w:start w:val="1"/>
      <w:numFmt w:val="bullet"/>
      <w:lvlText w:val=""/>
      <w:lvlJc w:val="left"/>
      <w:pPr>
        <w:tabs>
          <w:tab w:val="num" w:pos="5734"/>
        </w:tabs>
        <w:ind w:left="5734" w:hanging="360"/>
      </w:pPr>
      <w:rPr>
        <w:rFonts w:ascii="Wingdings" w:hAnsi="Wingdings" w:hint="default"/>
      </w:rPr>
    </w:lvl>
    <w:lvl w:ilvl="6" w:tplc="04070001" w:tentative="1">
      <w:start w:val="1"/>
      <w:numFmt w:val="bullet"/>
      <w:lvlText w:val=""/>
      <w:lvlJc w:val="left"/>
      <w:pPr>
        <w:tabs>
          <w:tab w:val="num" w:pos="6454"/>
        </w:tabs>
        <w:ind w:left="6454" w:hanging="360"/>
      </w:pPr>
      <w:rPr>
        <w:rFonts w:ascii="Symbol" w:hAnsi="Symbol" w:hint="default"/>
      </w:rPr>
    </w:lvl>
    <w:lvl w:ilvl="7" w:tplc="04070003" w:tentative="1">
      <w:start w:val="1"/>
      <w:numFmt w:val="bullet"/>
      <w:lvlText w:val="o"/>
      <w:lvlJc w:val="left"/>
      <w:pPr>
        <w:tabs>
          <w:tab w:val="num" w:pos="7174"/>
        </w:tabs>
        <w:ind w:left="7174" w:hanging="360"/>
      </w:pPr>
      <w:rPr>
        <w:rFonts w:ascii="Courier New" w:hAnsi="Courier New" w:hint="default"/>
      </w:rPr>
    </w:lvl>
    <w:lvl w:ilvl="8" w:tplc="04070005" w:tentative="1">
      <w:start w:val="1"/>
      <w:numFmt w:val="bullet"/>
      <w:lvlText w:val=""/>
      <w:lvlJc w:val="left"/>
      <w:pPr>
        <w:tabs>
          <w:tab w:val="num" w:pos="7894"/>
        </w:tabs>
        <w:ind w:left="7894" w:hanging="360"/>
      </w:pPr>
      <w:rPr>
        <w:rFonts w:ascii="Wingdings" w:hAnsi="Wingdings" w:hint="default"/>
      </w:rPr>
    </w:lvl>
  </w:abstractNum>
  <w:abstractNum w:abstractNumId="5">
    <w:nsid w:val="35C80964"/>
    <w:multiLevelType w:val="hybridMultilevel"/>
    <w:tmpl w:val="E9C00184"/>
    <w:lvl w:ilvl="0" w:tplc="3EF48BA0">
      <w:start w:val="1"/>
      <w:numFmt w:val="decimal"/>
      <w:pStyle w:val="BN"/>
      <w:lvlText w:val="%1)"/>
      <w:lvlJc w:val="left"/>
      <w:pPr>
        <w:tabs>
          <w:tab w:val="num" w:pos="737"/>
        </w:tabs>
        <w:ind w:left="737" w:hanging="453"/>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35CC17F7"/>
    <w:multiLevelType w:val="multilevel"/>
    <w:tmpl w:val="0440665E"/>
    <w:lvl w:ilvl="0">
      <w:start w:val="1"/>
      <w:numFmt w:val="decimal"/>
      <w:lvlText w:val="%1."/>
      <w:lvlJc w:val="left"/>
      <w:pPr>
        <w:tabs>
          <w:tab w:val="num" w:pos="720"/>
        </w:tabs>
        <w:ind w:left="720" w:hanging="360"/>
      </w:pPr>
      <w:rPr>
        <w:rFonts w:cs="Times New Roman"/>
      </w:rPr>
    </w:lvl>
    <w:lvl w:ilvl="1">
      <w:numFmt w:val="none"/>
      <w:lvlText w:val=""/>
      <w:lvlJc w:val="left"/>
      <w:pPr>
        <w:tabs>
          <w:tab w:val="num" w:pos="360"/>
        </w:tabs>
      </w:pPr>
      <w:rPr>
        <w:rFonts w:cs="Times New Roman"/>
      </w:rPr>
    </w:lvl>
    <w:lvl w:ilvl="2">
      <w:numFmt w:val="none"/>
      <w:lvlText w:val=""/>
      <w:lvlJc w:val="left"/>
      <w:pPr>
        <w:tabs>
          <w:tab w:val="num" w:pos="360"/>
        </w:tabs>
      </w:pPr>
      <w:rPr>
        <w:rFonts w:cs="Times New Roman"/>
      </w:rPr>
    </w:lvl>
    <w:lvl w:ilvl="3">
      <w:numFmt w:val="none"/>
      <w:lvlText w:val=""/>
      <w:lvlJc w:val="left"/>
      <w:pPr>
        <w:tabs>
          <w:tab w:val="num" w:pos="360"/>
        </w:tabs>
      </w:pPr>
      <w:rPr>
        <w:rFonts w:cs="Times New Roman"/>
      </w:rPr>
    </w:lvl>
    <w:lvl w:ilvl="4">
      <w:numFmt w:val="none"/>
      <w:lvlText w:val=""/>
      <w:lvlJc w:val="left"/>
      <w:pPr>
        <w:tabs>
          <w:tab w:val="num" w:pos="360"/>
        </w:tabs>
      </w:pPr>
      <w:rPr>
        <w:rFonts w:cs="Times New Roman"/>
      </w:rPr>
    </w:lvl>
    <w:lvl w:ilvl="5">
      <w:numFmt w:val="none"/>
      <w:lvlText w:val=""/>
      <w:lvlJc w:val="left"/>
      <w:pPr>
        <w:tabs>
          <w:tab w:val="num" w:pos="360"/>
        </w:tabs>
      </w:pPr>
      <w:rPr>
        <w:rFonts w:cs="Times New Roman"/>
      </w:rPr>
    </w:lvl>
    <w:lvl w:ilvl="6">
      <w:numFmt w:val="none"/>
      <w:lvlText w:val=""/>
      <w:lvlJc w:val="left"/>
      <w:pPr>
        <w:tabs>
          <w:tab w:val="num" w:pos="360"/>
        </w:tabs>
      </w:pPr>
      <w:rPr>
        <w:rFonts w:cs="Times New Roman"/>
      </w:rPr>
    </w:lvl>
    <w:lvl w:ilvl="7">
      <w:numFmt w:val="none"/>
      <w:lvlText w:val=""/>
      <w:lvlJc w:val="left"/>
      <w:pPr>
        <w:tabs>
          <w:tab w:val="num" w:pos="360"/>
        </w:tabs>
      </w:pPr>
      <w:rPr>
        <w:rFonts w:cs="Times New Roman"/>
      </w:rPr>
    </w:lvl>
    <w:lvl w:ilvl="8">
      <w:numFmt w:val="none"/>
      <w:lvlText w:val=""/>
      <w:lvlJc w:val="left"/>
      <w:pPr>
        <w:tabs>
          <w:tab w:val="num" w:pos="360"/>
        </w:tabs>
      </w:pPr>
      <w:rPr>
        <w:rFonts w:cs="Times New Roman"/>
      </w:rPr>
    </w:lvl>
  </w:abstractNum>
  <w:abstractNum w:abstractNumId="7">
    <w:nsid w:val="36046D04"/>
    <w:multiLevelType w:val="multilevel"/>
    <w:tmpl w:val="EC66CCCA"/>
    <w:lvl w:ilvl="0">
      <w:start w:val="1"/>
      <w:numFmt w:val="bullet"/>
      <w:lvlText w:val=""/>
      <w:lvlJc w:val="left"/>
      <w:pPr>
        <w:tabs>
          <w:tab w:val="num" w:pos="1571"/>
        </w:tabs>
        <w:ind w:left="1571" w:hanging="360"/>
      </w:pPr>
      <w:rPr>
        <w:rFonts w:ascii="Symbol" w:hAnsi="Symbol"/>
        <w:sz w:val="22"/>
      </w:rPr>
    </w:lvl>
    <w:lvl w:ilvl="1">
      <w:start w:val="1"/>
      <w:numFmt w:val="bullet"/>
      <w:lvlText w:val="o"/>
      <w:lvlJc w:val="left"/>
      <w:pPr>
        <w:tabs>
          <w:tab w:val="num" w:pos="2291"/>
        </w:tabs>
        <w:ind w:left="2291" w:hanging="360"/>
      </w:pPr>
      <w:rPr>
        <w:rFonts w:ascii="Courier New" w:hAnsi="Courier New" w:hint="default"/>
      </w:rPr>
    </w:lvl>
    <w:lvl w:ilvl="2">
      <w:start w:val="1"/>
      <w:numFmt w:val="bullet"/>
      <w:lvlText w:val=""/>
      <w:lvlJc w:val="left"/>
      <w:pPr>
        <w:tabs>
          <w:tab w:val="num" w:pos="3011"/>
        </w:tabs>
        <w:ind w:left="3011" w:hanging="360"/>
      </w:pPr>
      <w:rPr>
        <w:rFonts w:ascii="Wingdings" w:hAnsi="Wingdings" w:hint="default"/>
      </w:rPr>
    </w:lvl>
    <w:lvl w:ilvl="3">
      <w:start w:val="1"/>
      <w:numFmt w:val="bullet"/>
      <w:lvlText w:val=""/>
      <w:lvlJc w:val="left"/>
      <w:pPr>
        <w:tabs>
          <w:tab w:val="num" w:pos="3731"/>
        </w:tabs>
        <w:ind w:left="3731" w:hanging="360"/>
      </w:pPr>
      <w:rPr>
        <w:rFonts w:ascii="Symbol" w:hAnsi="Symbol" w:hint="default"/>
      </w:rPr>
    </w:lvl>
    <w:lvl w:ilvl="4">
      <w:start w:val="1"/>
      <w:numFmt w:val="bullet"/>
      <w:lvlText w:val="o"/>
      <w:lvlJc w:val="left"/>
      <w:pPr>
        <w:tabs>
          <w:tab w:val="num" w:pos="4451"/>
        </w:tabs>
        <w:ind w:left="4451" w:hanging="360"/>
      </w:pPr>
      <w:rPr>
        <w:rFonts w:ascii="Courier New" w:hAnsi="Courier New" w:hint="default"/>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8">
    <w:nsid w:val="448B49BC"/>
    <w:multiLevelType w:val="hybridMultilevel"/>
    <w:tmpl w:val="CB58699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4B361554"/>
    <w:multiLevelType w:val="hybridMultilevel"/>
    <w:tmpl w:val="EC66CCCA"/>
    <w:lvl w:ilvl="0" w:tplc="04070001">
      <w:start w:val="1"/>
      <w:numFmt w:val="bullet"/>
      <w:lvlText w:val=""/>
      <w:lvlJc w:val="left"/>
      <w:pPr>
        <w:tabs>
          <w:tab w:val="num" w:pos="1571"/>
        </w:tabs>
        <w:ind w:left="1571" w:hanging="360"/>
      </w:pPr>
      <w:rPr>
        <w:rFonts w:ascii="Symbol" w:hAnsi="Symbol" w:hint="default"/>
      </w:rPr>
    </w:lvl>
    <w:lvl w:ilvl="1" w:tplc="04070003" w:tentative="1">
      <w:start w:val="1"/>
      <w:numFmt w:val="bullet"/>
      <w:lvlText w:val="o"/>
      <w:lvlJc w:val="left"/>
      <w:pPr>
        <w:tabs>
          <w:tab w:val="num" w:pos="2291"/>
        </w:tabs>
        <w:ind w:left="2291" w:hanging="360"/>
      </w:pPr>
      <w:rPr>
        <w:rFonts w:ascii="Courier New" w:hAnsi="Courier New" w:hint="default"/>
      </w:rPr>
    </w:lvl>
    <w:lvl w:ilvl="2" w:tplc="04070005" w:tentative="1">
      <w:start w:val="1"/>
      <w:numFmt w:val="bullet"/>
      <w:lvlText w:val=""/>
      <w:lvlJc w:val="left"/>
      <w:pPr>
        <w:tabs>
          <w:tab w:val="num" w:pos="3011"/>
        </w:tabs>
        <w:ind w:left="3011" w:hanging="360"/>
      </w:pPr>
      <w:rPr>
        <w:rFonts w:ascii="Wingdings" w:hAnsi="Wingdings" w:hint="default"/>
      </w:rPr>
    </w:lvl>
    <w:lvl w:ilvl="3" w:tplc="04070001" w:tentative="1">
      <w:start w:val="1"/>
      <w:numFmt w:val="bullet"/>
      <w:lvlText w:val=""/>
      <w:lvlJc w:val="left"/>
      <w:pPr>
        <w:tabs>
          <w:tab w:val="num" w:pos="3731"/>
        </w:tabs>
        <w:ind w:left="3731" w:hanging="360"/>
      </w:pPr>
      <w:rPr>
        <w:rFonts w:ascii="Symbol" w:hAnsi="Symbol" w:hint="default"/>
      </w:rPr>
    </w:lvl>
    <w:lvl w:ilvl="4" w:tplc="04070003" w:tentative="1">
      <w:start w:val="1"/>
      <w:numFmt w:val="bullet"/>
      <w:lvlText w:val="o"/>
      <w:lvlJc w:val="left"/>
      <w:pPr>
        <w:tabs>
          <w:tab w:val="num" w:pos="4451"/>
        </w:tabs>
        <w:ind w:left="4451" w:hanging="360"/>
      </w:pPr>
      <w:rPr>
        <w:rFonts w:ascii="Courier New" w:hAnsi="Courier New" w:hint="default"/>
      </w:rPr>
    </w:lvl>
    <w:lvl w:ilvl="5" w:tplc="04070005" w:tentative="1">
      <w:start w:val="1"/>
      <w:numFmt w:val="bullet"/>
      <w:lvlText w:val=""/>
      <w:lvlJc w:val="left"/>
      <w:pPr>
        <w:tabs>
          <w:tab w:val="num" w:pos="5171"/>
        </w:tabs>
        <w:ind w:left="5171" w:hanging="360"/>
      </w:pPr>
      <w:rPr>
        <w:rFonts w:ascii="Wingdings" w:hAnsi="Wingdings" w:hint="default"/>
      </w:rPr>
    </w:lvl>
    <w:lvl w:ilvl="6" w:tplc="04070001" w:tentative="1">
      <w:start w:val="1"/>
      <w:numFmt w:val="bullet"/>
      <w:lvlText w:val=""/>
      <w:lvlJc w:val="left"/>
      <w:pPr>
        <w:tabs>
          <w:tab w:val="num" w:pos="5891"/>
        </w:tabs>
        <w:ind w:left="5891" w:hanging="360"/>
      </w:pPr>
      <w:rPr>
        <w:rFonts w:ascii="Symbol" w:hAnsi="Symbol" w:hint="default"/>
      </w:rPr>
    </w:lvl>
    <w:lvl w:ilvl="7" w:tplc="04070003" w:tentative="1">
      <w:start w:val="1"/>
      <w:numFmt w:val="bullet"/>
      <w:lvlText w:val="o"/>
      <w:lvlJc w:val="left"/>
      <w:pPr>
        <w:tabs>
          <w:tab w:val="num" w:pos="6611"/>
        </w:tabs>
        <w:ind w:left="6611" w:hanging="360"/>
      </w:pPr>
      <w:rPr>
        <w:rFonts w:ascii="Courier New" w:hAnsi="Courier New" w:hint="default"/>
      </w:rPr>
    </w:lvl>
    <w:lvl w:ilvl="8" w:tplc="04070005" w:tentative="1">
      <w:start w:val="1"/>
      <w:numFmt w:val="bullet"/>
      <w:lvlText w:val=""/>
      <w:lvlJc w:val="left"/>
      <w:pPr>
        <w:tabs>
          <w:tab w:val="num" w:pos="7331"/>
        </w:tabs>
        <w:ind w:left="7331" w:hanging="360"/>
      </w:pPr>
      <w:rPr>
        <w:rFonts w:ascii="Wingdings" w:hAnsi="Wingdings" w:hint="default"/>
      </w:rPr>
    </w:lvl>
  </w:abstractNum>
  <w:abstractNum w:abstractNumId="10">
    <w:nsid w:val="54A576F7"/>
    <w:multiLevelType w:val="hybridMultilevel"/>
    <w:tmpl w:val="E74273FC"/>
    <w:lvl w:ilvl="0" w:tplc="0407000F">
      <w:start w:val="1"/>
      <w:numFmt w:val="decimal"/>
      <w:lvlText w:val="%1."/>
      <w:lvlJc w:val="left"/>
      <w:pPr>
        <w:tabs>
          <w:tab w:val="num" w:pos="720"/>
        </w:tabs>
        <w:ind w:left="720"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1">
    <w:nsid w:val="5CDB1330"/>
    <w:multiLevelType w:val="hybridMultilevel"/>
    <w:tmpl w:val="77A42D1C"/>
    <w:lvl w:ilvl="0" w:tplc="521EB320">
      <w:start w:val="6"/>
      <w:numFmt w:val="bullet"/>
      <w:lvlText w:val="-"/>
      <w:lvlJc w:val="left"/>
      <w:pPr>
        <w:ind w:left="360" w:hanging="360"/>
      </w:pPr>
      <w:rPr>
        <w:rFonts w:ascii="Arial" w:eastAsia="Times New Roman" w:hAnsi="Arial" w:hint="default"/>
      </w:rPr>
    </w:lvl>
    <w:lvl w:ilvl="1" w:tplc="08160003">
      <w:start w:val="1"/>
      <w:numFmt w:val="bullet"/>
      <w:lvlText w:val="o"/>
      <w:lvlJc w:val="left"/>
      <w:pPr>
        <w:ind w:left="1080" w:hanging="360"/>
      </w:pPr>
      <w:rPr>
        <w:rFonts w:ascii="Courier New" w:hAnsi="Courier New" w:hint="default"/>
      </w:rPr>
    </w:lvl>
    <w:lvl w:ilvl="2" w:tplc="08160005">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2">
    <w:nsid w:val="5CFD2AB5"/>
    <w:multiLevelType w:val="hybridMultilevel"/>
    <w:tmpl w:val="14C641E0"/>
    <w:lvl w:ilvl="0" w:tplc="0816001B">
      <w:start w:val="1"/>
      <w:numFmt w:val="lowerRoman"/>
      <w:lvlText w:val="%1."/>
      <w:lvlJc w:val="right"/>
      <w:pPr>
        <w:ind w:left="720" w:hanging="360"/>
      </w:pPr>
      <w:rPr>
        <w:rFonts w:cs="Times New Roman" w:hint="default"/>
      </w:rPr>
    </w:lvl>
    <w:lvl w:ilvl="1" w:tplc="08160003">
      <w:start w:val="1"/>
      <w:numFmt w:val="bullet"/>
      <w:lvlText w:val="o"/>
      <w:lvlJc w:val="left"/>
      <w:pPr>
        <w:ind w:left="1440" w:hanging="360"/>
      </w:pPr>
      <w:rPr>
        <w:rFonts w:ascii="Courier New" w:hAnsi="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3">
    <w:nsid w:val="5D29287F"/>
    <w:multiLevelType w:val="hybridMultilevel"/>
    <w:tmpl w:val="73C00256"/>
    <w:lvl w:ilvl="0" w:tplc="2382B4D2">
      <w:start w:val="4"/>
      <w:numFmt w:val="decimal"/>
      <w:lvlText w:val="%1"/>
      <w:lvlJc w:val="left"/>
      <w:pPr>
        <w:tabs>
          <w:tab w:val="num" w:pos="930"/>
        </w:tabs>
        <w:ind w:left="930" w:hanging="57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4">
    <w:nsid w:val="61567838"/>
    <w:multiLevelType w:val="hybridMultilevel"/>
    <w:tmpl w:val="BC4E8EE8"/>
    <w:lvl w:ilvl="0" w:tplc="0407000F">
      <w:start w:val="1"/>
      <w:numFmt w:val="decimal"/>
      <w:lvlText w:val="%1."/>
      <w:lvlJc w:val="left"/>
      <w:pPr>
        <w:tabs>
          <w:tab w:val="num" w:pos="720"/>
        </w:tabs>
        <w:ind w:left="720" w:hanging="360"/>
      </w:pPr>
      <w:rPr>
        <w:rFonts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5">
    <w:nsid w:val="707767BF"/>
    <w:multiLevelType w:val="multilevel"/>
    <w:tmpl w:val="7060B39E"/>
    <w:lvl w:ilvl="0">
      <w:start w:val="1"/>
      <w:numFmt w:val="decimal"/>
      <w:pStyle w:val="berschrift1"/>
      <w:lvlText w:val="%1"/>
      <w:lvlJc w:val="left"/>
      <w:pPr>
        <w:tabs>
          <w:tab w:val="num" w:pos="432"/>
        </w:tabs>
        <w:ind w:left="432" w:hanging="432"/>
      </w:pPr>
      <w:rPr>
        <w:rFonts w:cs="Times New Roman"/>
      </w:rPr>
    </w:lvl>
    <w:lvl w:ilvl="1">
      <w:start w:val="1"/>
      <w:numFmt w:val="decimal"/>
      <w:pStyle w:val="berschrift2"/>
      <w:lvlText w:val="%1.%2"/>
      <w:lvlJc w:val="left"/>
      <w:pPr>
        <w:tabs>
          <w:tab w:val="num" w:pos="576"/>
        </w:tabs>
        <w:ind w:left="576" w:hanging="576"/>
      </w:pPr>
      <w:rPr>
        <w:rFonts w:cs="Times New Roman"/>
      </w:rPr>
    </w:lvl>
    <w:lvl w:ilvl="2">
      <w:start w:val="1"/>
      <w:numFmt w:val="decimal"/>
      <w:pStyle w:val="berschrift3"/>
      <w:lvlText w:val="%1.%2.%3"/>
      <w:lvlJc w:val="left"/>
      <w:pPr>
        <w:tabs>
          <w:tab w:val="num" w:pos="720"/>
        </w:tabs>
        <w:ind w:left="720" w:hanging="720"/>
      </w:pPr>
      <w:rPr>
        <w:rFonts w:cs="Times New Roman"/>
      </w:rPr>
    </w:lvl>
    <w:lvl w:ilvl="3">
      <w:start w:val="1"/>
      <w:numFmt w:val="decimal"/>
      <w:pStyle w:val="berschrift4"/>
      <w:lvlText w:val="%1.%2.%3.%4"/>
      <w:lvlJc w:val="left"/>
      <w:pPr>
        <w:tabs>
          <w:tab w:val="num" w:pos="864"/>
        </w:tabs>
        <w:ind w:left="864" w:hanging="864"/>
      </w:pPr>
      <w:rPr>
        <w:rFonts w:cs="Times New Roman"/>
      </w:rPr>
    </w:lvl>
    <w:lvl w:ilvl="4">
      <w:start w:val="1"/>
      <w:numFmt w:val="decimal"/>
      <w:pStyle w:val="berschrift5"/>
      <w:lvlText w:val="%1.%2.%3.%4.%5"/>
      <w:lvlJc w:val="left"/>
      <w:pPr>
        <w:tabs>
          <w:tab w:val="num" w:pos="1008"/>
        </w:tabs>
        <w:ind w:left="1008" w:hanging="1008"/>
      </w:pPr>
      <w:rPr>
        <w:rFonts w:cs="Times New Roman"/>
      </w:rPr>
    </w:lvl>
    <w:lvl w:ilvl="5">
      <w:start w:val="1"/>
      <w:numFmt w:val="decimal"/>
      <w:pStyle w:val="berschrift6"/>
      <w:lvlText w:val="%1.%2.%3.%4.%5.%6"/>
      <w:lvlJc w:val="left"/>
      <w:pPr>
        <w:tabs>
          <w:tab w:val="num" w:pos="1152"/>
        </w:tabs>
        <w:ind w:left="1152" w:hanging="1152"/>
      </w:pPr>
      <w:rPr>
        <w:rFonts w:cs="Times New Roman"/>
      </w:rPr>
    </w:lvl>
    <w:lvl w:ilvl="6">
      <w:start w:val="1"/>
      <w:numFmt w:val="decimal"/>
      <w:pStyle w:val="berschrift7"/>
      <w:lvlText w:val="%1.%2.%3.%4.%5.%6.%7"/>
      <w:lvlJc w:val="left"/>
      <w:pPr>
        <w:tabs>
          <w:tab w:val="num" w:pos="1296"/>
        </w:tabs>
        <w:ind w:left="1296" w:hanging="1296"/>
      </w:pPr>
      <w:rPr>
        <w:rFonts w:cs="Times New Roman"/>
      </w:rPr>
    </w:lvl>
    <w:lvl w:ilvl="7">
      <w:start w:val="1"/>
      <w:numFmt w:val="decimal"/>
      <w:pStyle w:val="berschrift8"/>
      <w:lvlText w:val="%1.%2.%3.%4.%5.%6.%7.%8"/>
      <w:lvlJc w:val="left"/>
      <w:pPr>
        <w:tabs>
          <w:tab w:val="num" w:pos="1440"/>
        </w:tabs>
        <w:ind w:left="1440" w:hanging="1440"/>
      </w:pPr>
      <w:rPr>
        <w:rFonts w:cs="Times New Roman"/>
      </w:rPr>
    </w:lvl>
    <w:lvl w:ilvl="8">
      <w:start w:val="1"/>
      <w:numFmt w:val="decimal"/>
      <w:pStyle w:val="berschrift9"/>
      <w:lvlText w:val="%1.%2.%3.%4.%5.%6.%7.%8.%9"/>
      <w:lvlJc w:val="left"/>
      <w:pPr>
        <w:tabs>
          <w:tab w:val="num" w:pos="1584"/>
        </w:tabs>
        <w:ind w:left="1584" w:hanging="1584"/>
      </w:pPr>
      <w:rPr>
        <w:rFonts w:cs="Times New Roman"/>
      </w:rPr>
    </w:lvl>
  </w:abstractNum>
  <w:num w:numId="1">
    <w:abstractNumId w:val="13"/>
  </w:num>
  <w:num w:numId="2">
    <w:abstractNumId w:val="0"/>
  </w:num>
  <w:num w:numId="3">
    <w:abstractNumId w:val="15"/>
  </w:num>
  <w:num w:numId="4">
    <w:abstractNumId w:val="15"/>
  </w:num>
  <w:num w:numId="5">
    <w:abstractNumId w:val="15"/>
  </w:num>
  <w:num w:numId="6">
    <w:abstractNumId w:val="14"/>
  </w:num>
  <w:num w:numId="7">
    <w:abstractNumId w:val="15"/>
  </w:num>
  <w:num w:numId="8">
    <w:abstractNumId w:val="15"/>
  </w:num>
  <w:num w:numId="9">
    <w:abstractNumId w:val="4"/>
  </w:num>
  <w:num w:numId="10">
    <w:abstractNumId w:val="9"/>
  </w:num>
  <w:num w:numId="11">
    <w:abstractNumId w:val="7"/>
  </w:num>
  <w:num w:numId="12">
    <w:abstractNumId w:val="10"/>
  </w:num>
  <w:num w:numId="13">
    <w:abstractNumId w:val="6"/>
  </w:num>
  <w:num w:numId="14">
    <w:abstractNumId w:val="3"/>
  </w:num>
  <w:num w:numId="15">
    <w:abstractNumId w:val="8"/>
  </w:num>
  <w:num w:numId="16">
    <w:abstractNumId w:val="5"/>
  </w:num>
  <w:num w:numId="17">
    <w:abstractNumId w:val="11"/>
  </w:num>
  <w:num w:numId="18">
    <w:abstractNumId w:val="12"/>
  </w:num>
  <w:num w:numId="19">
    <w:abstractNumId w:val="2"/>
  </w:num>
  <w:num w:numId="20">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printFractionalCharacterWidth/>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567"/>
  <w:hyphenationZone w:val="42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B5818"/>
    <w:rsid w:val="000020E1"/>
    <w:rsid w:val="00010E24"/>
    <w:rsid w:val="000233C6"/>
    <w:rsid w:val="000265E5"/>
    <w:rsid w:val="000277DE"/>
    <w:rsid w:val="00033112"/>
    <w:rsid w:val="000364E2"/>
    <w:rsid w:val="00041851"/>
    <w:rsid w:val="000421F3"/>
    <w:rsid w:val="00042E6D"/>
    <w:rsid w:val="00045714"/>
    <w:rsid w:val="00046A2D"/>
    <w:rsid w:val="000552CA"/>
    <w:rsid w:val="000641A7"/>
    <w:rsid w:val="00086867"/>
    <w:rsid w:val="00095D52"/>
    <w:rsid w:val="00097E34"/>
    <w:rsid w:val="000B0905"/>
    <w:rsid w:val="000D0F3C"/>
    <w:rsid w:val="000E346F"/>
    <w:rsid w:val="000F0397"/>
    <w:rsid w:val="000F1373"/>
    <w:rsid w:val="00106047"/>
    <w:rsid w:val="00113B49"/>
    <w:rsid w:val="00135FE7"/>
    <w:rsid w:val="001374F8"/>
    <w:rsid w:val="00160568"/>
    <w:rsid w:val="00161D26"/>
    <w:rsid w:val="00162CBB"/>
    <w:rsid w:val="0016435A"/>
    <w:rsid w:val="00174475"/>
    <w:rsid w:val="001842D2"/>
    <w:rsid w:val="00187A71"/>
    <w:rsid w:val="00190E62"/>
    <w:rsid w:val="001C664A"/>
    <w:rsid w:val="001E0E49"/>
    <w:rsid w:val="001F2614"/>
    <w:rsid w:val="0020600A"/>
    <w:rsid w:val="00214250"/>
    <w:rsid w:val="00215746"/>
    <w:rsid w:val="00220878"/>
    <w:rsid w:val="0022292E"/>
    <w:rsid w:val="00222F7B"/>
    <w:rsid w:val="00224BA2"/>
    <w:rsid w:val="00257229"/>
    <w:rsid w:val="00260D98"/>
    <w:rsid w:val="00263CBF"/>
    <w:rsid w:val="00265F78"/>
    <w:rsid w:val="0026766F"/>
    <w:rsid w:val="00277BC1"/>
    <w:rsid w:val="0028051D"/>
    <w:rsid w:val="00294331"/>
    <w:rsid w:val="002A02A3"/>
    <w:rsid w:val="002B169D"/>
    <w:rsid w:val="002B2B39"/>
    <w:rsid w:val="002B47FC"/>
    <w:rsid w:val="002B683F"/>
    <w:rsid w:val="002D7024"/>
    <w:rsid w:val="002F4AAB"/>
    <w:rsid w:val="00314E5E"/>
    <w:rsid w:val="00317FB7"/>
    <w:rsid w:val="00346C62"/>
    <w:rsid w:val="00357A5F"/>
    <w:rsid w:val="00365E33"/>
    <w:rsid w:val="00367DDC"/>
    <w:rsid w:val="00381C90"/>
    <w:rsid w:val="0039030E"/>
    <w:rsid w:val="00394059"/>
    <w:rsid w:val="003A57CC"/>
    <w:rsid w:val="003B1654"/>
    <w:rsid w:val="003C000B"/>
    <w:rsid w:val="003C2268"/>
    <w:rsid w:val="003C4848"/>
    <w:rsid w:val="003C53D0"/>
    <w:rsid w:val="003E2362"/>
    <w:rsid w:val="003E76E9"/>
    <w:rsid w:val="003F5B48"/>
    <w:rsid w:val="003F73E2"/>
    <w:rsid w:val="004002F7"/>
    <w:rsid w:val="00412935"/>
    <w:rsid w:val="00415305"/>
    <w:rsid w:val="00430369"/>
    <w:rsid w:val="00431D12"/>
    <w:rsid w:val="004369DC"/>
    <w:rsid w:val="00440A96"/>
    <w:rsid w:val="00443C40"/>
    <w:rsid w:val="004648A4"/>
    <w:rsid w:val="004662F9"/>
    <w:rsid w:val="00466780"/>
    <w:rsid w:val="00486369"/>
    <w:rsid w:val="00492C19"/>
    <w:rsid w:val="00493F86"/>
    <w:rsid w:val="004A099D"/>
    <w:rsid w:val="004A47FF"/>
    <w:rsid w:val="004B23D3"/>
    <w:rsid w:val="004F061E"/>
    <w:rsid w:val="004F2824"/>
    <w:rsid w:val="004F2E89"/>
    <w:rsid w:val="004F730C"/>
    <w:rsid w:val="005018FB"/>
    <w:rsid w:val="005172BD"/>
    <w:rsid w:val="005269EA"/>
    <w:rsid w:val="0053015C"/>
    <w:rsid w:val="00533846"/>
    <w:rsid w:val="005348B2"/>
    <w:rsid w:val="005434C4"/>
    <w:rsid w:val="00554550"/>
    <w:rsid w:val="005549FF"/>
    <w:rsid w:val="00562E1E"/>
    <w:rsid w:val="00563F36"/>
    <w:rsid w:val="005761BB"/>
    <w:rsid w:val="00577859"/>
    <w:rsid w:val="005779CA"/>
    <w:rsid w:val="0059591C"/>
    <w:rsid w:val="005B5818"/>
    <w:rsid w:val="005E2346"/>
    <w:rsid w:val="005E79C0"/>
    <w:rsid w:val="005F1C1F"/>
    <w:rsid w:val="005F2DB5"/>
    <w:rsid w:val="0060416D"/>
    <w:rsid w:val="00616265"/>
    <w:rsid w:val="0062357A"/>
    <w:rsid w:val="0063524D"/>
    <w:rsid w:val="00640C96"/>
    <w:rsid w:val="00642332"/>
    <w:rsid w:val="00644527"/>
    <w:rsid w:val="006542C3"/>
    <w:rsid w:val="0065588F"/>
    <w:rsid w:val="00664805"/>
    <w:rsid w:val="00684589"/>
    <w:rsid w:val="006845C9"/>
    <w:rsid w:val="006902F9"/>
    <w:rsid w:val="00690B4B"/>
    <w:rsid w:val="0069180A"/>
    <w:rsid w:val="006B4FCD"/>
    <w:rsid w:val="006C4BCC"/>
    <w:rsid w:val="006D1EAC"/>
    <w:rsid w:val="006E127E"/>
    <w:rsid w:val="006E1FA9"/>
    <w:rsid w:val="006F04D4"/>
    <w:rsid w:val="006F410A"/>
    <w:rsid w:val="00704A2A"/>
    <w:rsid w:val="0070740D"/>
    <w:rsid w:val="00715E00"/>
    <w:rsid w:val="00733354"/>
    <w:rsid w:val="007538DB"/>
    <w:rsid w:val="007548F5"/>
    <w:rsid w:val="00754ABF"/>
    <w:rsid w:val="0075560F"/>
    <w:rsid w:val="00774351"/>
    <w:rsid w:val="00782F34"/>
    <w:rsid w:val="007925CA"/>
    <w:rsid w:val="00793843"/>
    <w:rsid w:val="007A1831"/>
    <w:rsid w:val="007A49AD"/>
    <w:rsid w:val="007C4A46"/>
    <w:rsid w:val="00802521"/>
    <w:rsid w:val="00807AA2"/>
    <w:rsid w:val="00807F54"/>
    <w:rsid w:val="00820168"/>
    <w:rsid w:val="0082667D"/>
    <w:rsid w:val="00827410"/>
    <w:rsid w:val="00873858"/>
    <w:rsid w:val="008755FA"/>
    <w:rsid w:val="00884205"/>
    <w:rsid w:val="00887824"/>
    <w:rsid w:val="008A37BA"/>
    <w:rsid w:val="008A54B4"/>
    <w:rsid w:val="008A6F4D"/>
    <w:rsid w:val="008C0520"/>
    <w:rsid w:val="008D2718"/>
    <w:rsid w:val="008D65E9"/>
    <w:rsid w:val="008D763E"/>
    <w:rsid w:val="008F33D5"/>
    <w:rsid w:val="008F3D6B"/>
    <w:rsid w:val="008F5596"/>
    <w:rsid w:val="008F5ECB"/>
    <w:rsid w:val="008F677F"/>
    <w:rsid w:val="009221E4"/>
    <w:rsid w:val="0095456A"/>
    <w:rsid w:val="00982740"/>
    <w:rsid w:val="009852E6"/>
    <w:rsid w:val="0098621D"/>
    <w:rsid w:val="00997A4D"/>
    <w:rsid w:val="009B3CB6"/>
    <w:rsid w:val="009C2F3B"/>
    <w:rsid w:val="009D242F"/>
    <w:rsid w:val="009E1BA5"/>
    <w:rsid w:val="009F0192"/>
    <w:rsid w:val="009F23C7"/>
    <w:rsid w:val="009F66B5"/>
    <w:rsid w:val="00A024A8"/>
    <w:rsid w:val="00A17B30"/>
    <w:rsid w:val="00A17E27"/>
    <w:rsid w:val="00A26B48"/>
    <w:rsid w:val="00A477F3"/>
    <w:rsid w:val="00A724C1"/>
    <w:rsid w:val="00A77E89"/>
    <w:rsid w:val="00A87C8C"/>
    <w:rsid w:val="00A95309"/>
    <w:rsid w:val="00AA26E7"/>
    <w:rsid w:val="00AA3CFD"/>
    <w:rsid w:val="00AA59E8"/>
    <w:rsid w:val="00AC0304"/>
    <w:rsid w:val="00AC345D"/>
    <w:rsid w:val="00AD0819"/>
    <w:rsid w:val="00AD241F"/>
    <w:rsid w:val="00AD45F4"/>
    <w:rsid w:val="00AE7906"/>
    <w:rsid w:val="00AF03CC"/>
    <w:rsid w:val="00B0161E"/>
    <w:rsid w:val="00B048A7"/>
    <w:rsid w:val="00B1073A"/>
    <w:rsid w:val="00B1660B"/>
    <w:rsid w:val="00B16EE8"/>
    <w:rsid w:val="00B22746"/>
    <w:rsid w:val="00B24B73"/>
    <w:rsid w:val="00B47F0F"/>
    <w:rsid w:val="00B6512A"/>
    <w:rsid w:val="00B70CD3"/>
    <w:rsid w:val="00B90507"/>
    <w:rsid w:val="00BC2918"/>
    <w:rsid w:val="00BC312A"/>
    <w:rsid w:val="00BE3AE9"/>
    <w:rsid w:val="00BE4CC9"/>
    <w:rsid w:val="00BF09CB"/>
    <w:rsid w:val="00BF2999"/>
    <w:rsid w:val="00BF3C4C"/>
    <w:rsid w:val="00C154C2"/>
    <w:rsid w:val="00C17CC7"/>
    <w:rsid w:val="00C309B1"/>
    <w:rsid w:val="00C43796"/>
    <w:rsid w:val="00C47BE9"/>
    <w:rsid w:val="00C5418E"/>
    <w:rsid w:val="00C60D46"/>
    <w:rsid w:val="00C62218"/>
    <w:rsid w:val="00C75E0E"/>
    <w:rsid w:val="00C82BC5"/>
    <w:rsid w:val="00CB0BBB"/>
    <w:rsid w:val="00CC3737"/>
    <w:rsid w:val="00CD4FA2"/>
    <w:rsid w:val="00CD51FD"/>
    <w:rsid w:val="00CE40EE"/>
    <w:rsid w:val="00CE6591"/>
    <w:rsid w:val="00CF4124"/>
    <w:rsid w:val="00D004D0"/>
    <w:rsid w:val="00D00B4F"/>
    <w:rsid w:val="00D14191"/>
    <w:rsid w:val="00D26DC0"/>
    <w:rsid w:val="00D27A7F"/>
    <w:rsid w:val="00D34708"/>
    <w:rsid w:val="00D53B5D"/>
    <w:rsid w:val="00D671A5"/>
    <w:rsid w:val="00D80D69"/>
    <w:rsid w:val="00DD03DC"/>
    <w:rsid w:val="00DD08BA"/>
    <w:rsid w:val="00DE5E01"/>
    <w:rsid w:val="00DF2416"/>
    <w:rsid w:val="00DF2A80"/>
    <w:rsid w:val="00E15A75"/>
    <w:rsid w:val="00E232D3"/>
    <w:rsid w:val="00E2796D"/>
    <w:rsid w:val="00E27C6A"/>
    <w:rsid w:val="00E40873"/>
    <w:rsid w:val="00E561B8"/>
    <w:rsid w:val="00E577A4"/>
    <w:rsid w:val="00E768A0"/>
    <w:rsid w:val="00E87AEF"/>
    <w:rsid w:val="00E93323"/>
    <w:rsid w:val="00E954C8"/>
    <w:rsid w:val="00E95CFE"/>
    <w:rsid w:val="00EA1D52"/>
    <w:rsid w:val="00EC60C8"/>
    <w:rsid w:val="00EE07DC"/>
    <w:rsid w:val="00EE6D93"/>
    <w:rsid w:val="00EF1568"/>
    <w:rsid w:val="00F05B26"/>
    <w:rsid w:val="00F22950"/>
    <w:rsid w:val="00F311FB"/>
    <w:rsid w:val="00F327A6"/>
    <w:rsid w:val="00F37A73"/>
    <w:rsid w:val="00F43BE8"/>
    <w:rsid w:val="00F53012"/>
    <w:rsid w:val="00F628F3"/>
    <w:rsid w:val="00F70D44"/>
    <w:rsid w:val="00F97DDE"/>
    <w:rsid w:val="00FA15BA"/>
    <w:rsid w:val="00FA5276"/>
    <w:rsid w:val="00FA6EBF"/>
    <w:rsid w:val="00FA7FC5"/>
    <w:rsid w:val="00FD0B6D"/>
    <w:rsid w:val="00FD7E46"/>
    <w:rsid w:val="00FE1DCB"/>
    <w:rsid w:val="00FE61C8"/>
    <w:rsid w:val="00FF320E"/>
    <w:rsid w:val="00FF377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Standard">
    <w:name w:val="Normal"/>
    <w:qFormat/>
    <w:rsid w:val="00CF4124"/>
    <w:pPr>
      <w:spacing w:after="120"/>
      <w:jc w:val="both"/>
    </w:pPr>
    <w:rPr>
      <w:rFonts w:ascii="Arial" w:hAnsi="Arial"/>
      <w:sz w:val="22"/>
      <w:lang w:val="nb-NO" w:eastAsia="de-DE"/>
    </w:rPr>
  </w:style>
  <w:style w:type="paragraph" w:styleId="berschrift1">
    <w:name w:val="heading 1"/>
    <w:basedOn w:val="Standard"/>
    <w:next w:val="Standard"/>
    <w:link w:val="berschrift1Zchn"/>
    <w:uiPriority w:val="99"/>
    <w:qFormat/>
    <w:rsid w:val="00D004D0"/>
    <w:pPr>
      <w:numPr>
        <w:numId w:val="3"/>
      </w:numPr>
      <w:tabs>
        <w:tab w:val="left" w:pos="851"/>
      </w:tabs>
      <w:spacing w:before="360"/>
      <w:ind w:left="851" w:hanging="851"/>
      <w:jc w:val="left"/>
      <w:outlineLvl w:val="0"/>
    </w:pPr>
    <w:rPr>
      <w:rFonts w:ascii="Cambria" w:hAnsi="Cambria"/>
      <w:b/>
      <w:kern w:val="32"/>
      <w:sz w:val="32"/>
      <w:lang w:eastAsia="ja-JP"/>
    </w:rPr>
  </w:style>
  <w:style w:type="paragraph" w:styleId="berschrift2">
    <w:name w:val="heading 2"/>
    <w:basedOn w:val="berschrift1"/>
    <w:next w:val="Standard"/>
    <w:link w:val="berschrift2Zchn"/>
    <w:uiPriority w:val="99"/>
    <w:qFormat/>
    <w:rsid w:val="00D004D0"/>
    <w:pPr>
      <w:numPr>
        <w:ilvl w:val="1"/>
      </w:numPr>
      <w:spacing w:before="120"/>
      <w:outlineLvl w:val="1"/>
    </w:pPr>
    <w:rPr>
      <w:bCs/>
      <w:i/>
      <w:kern w:val="0"/>
      <w:sz w:val="28"/>
    </w:rPr>
  </w:style>
  <w:style w:type="paragraph" w:styleId="berschrift3">
    <w:name w:val="heading 3"/>
    <w:basedOn w:val="berschrift2"/>
    <w:next w:val="Standard"/>
    <w:link w:val="berschrift3Zchn"/>
    <w:uiPriority w:val="99"/>
    <w:qFormat/>
    <w:rsid w:val="00D004D0"/>
    <w:pPr>
      <w:numPr>
        <w:ilvl w:val="2"/>
      </w:numPr>
      <w:outlineLvl w:val="2"/>
    </w:pPr>
    <w:rPr>
      <w:i w:val="0"/>
      <w:iCs/>
      <w:sz w:val="26"/>
    </w:rPr>
  </w:style>
  <w:style w:type="paragraph" w:styleId="berschrift4">
    <w:name w:val="heading 4"/>
    <w:basedOn w:val="Standard"/>
    <w:next w:val="Standard"/>
    <w:link w:val="berschrift4Zchn"/>
    <w:uiPriority w:val="99"/>
    <w:qFormat/>
    <w:rsid w:val="00D004D0"/>
    <w:pPr>
      <w:numPr>
        <w:ilvl w:val="3"/>
        <w:numId w:val="3"/>
      </w:numPr>
      <w:outlineLvl w:val="3"/>
    </w:pPr>
    <w:rPr>
      <w:rFonts w:ascii="Calibri" w:hAnsi="Calibri"/>
      <w:b/>
      <w:sz w:val="28"/>
      <w:lang w:eastAsia="ja-JP"/>
    </w:rPr>
  </w:style>
  <w:style w:type="paragraph" w:styleId="berschrift5">
    <w:name w:val="heading 5"/>
    <w:basedOn w:val="Standard"/>
    <w:next w:val="Standard"/>
    <w:link w:val="berschrift5Zchn"/>
    <w:uiPriority w:val="99"/>
    <w:qFormat/>
    <w:rsid w:val="00D004D0"/>
    <w:pPr>
      <w:numPr>
        <w:ilvl w:val="4"/>
        <w:numId w:val="3"/>
      </w:numPr>
      <w:outlineLvl w:val="4"/>
    </w:pPr>
    <w:rPr>
      <w:rFonts w:ascii="Calibri" w:hAnsi="Calibri"/>
      <w:b/>
      <w:i/>
      <w:sz w:val="26"/>
      <w:lang w:eastAsia="ja-JP"/>
    </w:rPr>
  </w:style>
  <w:style w:type="paragraph" w:styleId="berschrift6">
    <w:name w:val="heading 6"/>
    <w:basedOn w:val="Standard"/>
    <w:next w:val="Standard"/>
    <w:link w:val="berschrift6Zchn"/>
    <w:uiPriority w:val="99"/>
    <w:qFormat/>
    <w:rsid w:val="00D004D0"/>
    <w:pPr>
      <w:numPr>
        <w:ilvl w:val="5"/>
        <w:numId w:val="3"/>
      </w:numPr>
      <w:outlineLvl w:val="5"/>
    </w:pPr>
    <w:rPr>
      <w:rFonts w:ascii="Calibri" w:hAnsi="Calibri"/>
      <w:b/>
      <w:sz w:val="20"/>
      <w:lang w:eastAsia="ja-JP"/>
    </w:rPr>
  </w:style>
  <w:style w:type="paragraph" w:styleId="berschrift7">
    <w:name w:val="heading 7"/>
    <w:basedOn w:val="Standard"/>
    <w:next w:val="Standard"/>
    <w:link w:val="berschrift7Zchn"/>
    <w:uiPriority w:val="99"/>
    <w:qFormat/>
    <w:rsid w:val="00D004D0"/>
    <w:pPr>
      <w:numPr>
        <w:ilvl w:val="6"/>
        <w:numId w:val="3"/>
      </w:numPr>
      <w:outlineLvl w:val="6"/>
    </w:pPr>
    <w:rPr>
      <w:rFonts w:ascii="Calibri" w:hAnsi="Calibri"/>
      <w:sz w:val="24"/>
      <w:lang w:eastAsia="ja-JP"/>
    </w:rPr>
  </w:style>
  <w:style w:type="paragraph" w:styleId="berschrift8">
    <w:name w:val="heading 8"/>
    <w:basedOn w:val="Standard"/>
    <w:next w:val="Standard"/>
    <w:link w:val="berschrift8Zchn"/>
    <w:uiPriority w:val="99"/>
    <w:qFormat/>
    <w:rsid w:val="00D004D0"/>
    <w:pPr>
      <w:numPr>
        <w:ilvl w:val="7"/>
        <w:numId w:val="3"/>
      </w:numPr>
      <w:outlineLvl w:val="7"/>
    </w:pPr>
    <w:rPr>
      <w:rFonts w:ascii="Calibri" w:hAnsi="Calibri"/>
      <w:i/>
      <w:sz w:val="24"/>
      <w:lang w:eastAsia="ja-JP"/>
    </w:rPr>
  </w:style>
  <w:style w:type="paragraph" w:styleId="berschrift9">
    <w:name w:val="heading 9"/>
    <w:basedOn w:val="Standard"/>
    <w:next w:val="Standard"/>
    <w:link w:val="berschrift9Zchn"/>
    <w:uiPriority w:val="99"/>
    <w:qFormat/>
    <w:rsid w:val="00D004D0"/>
    <w:pPr>
      <w:numPr>
        <w:ilvl w:val="8"/>
        <w:numId w:val="3"/>
      </w:numPr>
      <w:outlineLvl w:val="8"/>
    </w:pPr>
    <w:rPr>
      <w:rFonts w:ascii="Cambria" w:hAnsi="Cambria"/>
      <w:sz w:val="20"/>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locked/>
    <w:rsid w:val="008F3D6B"/>
    <w:rPr>
      <w:rFonts w:ascii="Cambria" w:hAnsi="Cambria"/>
      <w:b/>
      <w:kern w:val="32"/>
      <w:sz w:val="32"/>
      <w:lang w:val="nb-NO"/>
    </w:rPr>
  </w:style>
  <w:style w:type="character" w:customStyle="1" w:styleId="berschrift2Zchn">
    <w:name w:val="Überschrift 2 Zchn"/>
    <w:link w:val="berschrift2"/>
    <w:uiPriority w:val="99"/>
    <w:semiHidden/>
    <w:locked/>
    <w:rsid w:val="008F3D6B"/>
    <w:rPr>
      <w:rFonts w:ascii="Cambria" w:hAnsi="Cambria"/>
      <w:b/>
      <w:i/>
      <w:sz w:val="28"/>
      <w:lang w:val="nb-NO"/>
    </w:rPr>
  </w:style>
  <w:style w:type="character" w:customStyle="1" w:styleId="berschrift3Zchn">
    <w:name w:val="Überschrift 3 Zchn"/>
    <w:link w:val="berschrift3"/>
    <w:uiPriority w:val="99"/>
    <w:semiHidden/>
    <w:locked/>
    <w:rsid w:val="008F3D6B"/>
    <w:rPr>
      <w:rFonts w:ascii="Cambria" w:hAnsi="Cambria"/>
      <w:b/>
      <w:sz w:val="26"/>
      <w:lang w:val="nb-NO"/>
    </w:rPr>
  </w:style>
  <w:style w:type="character" w:customStyle="1" w:styleId="berschrift4Zchn">
    <w:name w:val="Überschrift 4 Zchn"/>
    <w:link w:val="berschrift4"/>
    <w:uiPriority w:val="99"/>
    <w:semiHidden/>
    <w:locked/>
    <w:rsid w:val="008F3D6B"/>
    <w:rPr>
      <w:rFonts w:ascii="Calibri" w:hAnsi="Calibri"/>
      <w:b/>
      <w:sz w:val="28"/>
      <w:lang w:val="nb-NO"/>
    </w:rPr>
  </w:style>
  <w:style w:type="character" w:customStyle="1" w:styleId="berschrift5Zchn">
    <w:name w:val="Überschrift 5 Zchn"/>
    <w:link w:val="berschrift5"/>
    <w:uiPriority w:val="99"/>
    <w:semiHidden/>
    <w:locked/>
    <w:rsid w:val="008F3D6B"/>
    <w:rPr>
      <w:rFonts w:ascii="Calibri" w:hAnsi="Calibri"/>
      <w:b/>
      <w:i/>
      <w:sz w:val="26"/>
      <w:lang w:val="nb-NO"/>
    </w:rPr>
  </w:style>
  <w:style w:type="character" w:customStyle="1" w:styleId="berschrift6Zchn">
    <w:name w:val="Überschrift 6 Zchn"/>
    <w:link w:val="berschrift6"/>
    <w:uiPriority w:val="99"/>
    <w:semiHidden/>
    <w:locked/>
    <w:rsid w:val="008F3D6B"/>
    <w:rPr>
      <w:rFonts w:ascii="Calibri" w:hAnsi="Calibri"/>
      <w:b/>
      <w:lang w:val="nb-NO"/>
    </w:rPr>
  </w:style>
  <w:style w:type="character" w:customStyle="1" w:styleId="berschrift7Zchn">
    <w:name w:val="Überschrift 7 Zchn"/>
    <w:link w:val="berschrift7"/>
    <w:uiPriority w:val="99"/>
    <w:semiHidden/>
    <w:locked/>
    <w:rsid w:val="008F3D6B"/>
    <w:rPr>
      <w:rFonts w:ascii="Calibri" w:hAnsi="Calibri"/>
      <w:sz w:val="24"/>
      <w:lang w:val="nb-NO"/>
    </w:rPr>
  </w:style>
  <w:style w:type="character" w:customStyle="1" w:styleId="berschrift8Zchn">
    <w:name w:val="Überschrift 8 Zchn"/>
    <w:link w:val="berschrift8"/>
    <w:uiPriority w:val="99"/>
    <w:semiHidden/>
    <w:locked/>
    <w:rsid w:val="008F3D6B"/>
    <w:rPr>
      <w:rFonts w:ascii="Calibri" w:hAnsi="Calibri"/>
      <w:i/>
      <w:sz w:val="24"/>
      <w:lang w:val="nb-NO"/>
    </w:rPr>
  </w:style>
  <w:style w:type="character" w:customStyle="1" w:styleId="berschrift9Zchn">
    <w:name w:val="Überschrift 9 Zchn"/>
    <w:link w:val="berschrift9"/>
    <w:uiPriority w:val="99"/>
    <w:semiHidden/>
    <w:locked/>
    <w:rsid w:val="008F3D6B"/>
    <w:rPr>
      <w:rFonts w:ascii="Cambria" w:hAnsi="Cambria"/>
      <w:lang w:val="nb-NO"/>
    </w:rPr>
  </w:style>
  <w:style w:type="paragraph" w:styleId="Kopfzeile">
    <w:name w:val="header"/>
    <w:basedOn w:val="Standard"/>
    <w:link w:val="KopfzeileZchn"/>
    <w:uiPriority w:val="99"/>
    <w:rsid w:val="0098621D"/>
    <w:pPr>
      <w:tabs>
        <w:tab w:val="center" w:pos="4536"/>
        <w:tab w:val="right" w:pos="9072"/>
      </w:tabs>
      <w:spacing w:after="0"/>
      <w:jc w:val="left"/>
    </w:pPr>
    <w:rPr>
      <w:sz w:val="20"/>
      <w:lang w:eastAsia="ja-JP"/>
    </w:rPr>
  </w:style>
  <w:style w:type="character" w:customStyle="1" w:styleId="KopfzeileZchn">
    <w:name w:val="Kopfzeile Zchn"/>
    <w:link w:val="Kopfzeile"/>
    <w:uiPriority w:val="99"/>
    <w:semiHidden/>
    <w:locked/>
    <w:rsid w:val="008F3D6B"/>
    <w:rPr>
      <w:rFonts w:ascii="Arial" w:hAnsi="Arial"/>
      <w:sz w:val="20"/>
      <w:lang w:val="nb-NO"/>
    </w:rPr>
  </w:style>
  <w:style w:type="paragraph" w:styleId="Liste">
    <w:name w:val="List"/>
    <w:basedOn w:val="Standard"/>
    <w:uiPriority w:val="99"/>
    <w:rsid w:val="00135FE7"/>
    <w:pPr>
      <w:tabs>
        <w:tab w:val="left" w:pos="1418"/>
      </w:tabs>
      <w:ind w:left="1418" w:hanging="567"/>
    </w:pPr>
  </w:style>
  <w:style w:type="paragraph" w:customStyle="1" w:styleId="Kopfzeile1">
    <w:name w:val="Kopfzeile1"/>
    <w:basedOn w:val="Kopfzeile"/>
    <w:uiPriority w:val="99"/>
    <w:rsid w:val="00215746"/>
  </w:style>
  <w:style w:type="character" w:styleId="Funotenzeichen">
    <w:name w:val="footnote reference"/>
    <w:aliases w:val="Appel note de bas de p,Footnote"/>
    <w:uiPriority w:val="99"/>
    <w:semiHidden/>
    <w:rsid w:val="00F327A6"/>
    <w:rPr>
      <w:rFonts w:cs="Times New Roman"/>
      <w:position w:val="6"/>
      <w:sz w:val="16"/>
    </w:rPr>
  </w:style>
  <w:style w:type="paragraph" w:styleId="Funotentext">
    <w:name w:val="footnote text"/>
    <w:aliases w:val="ALTS FOOTNOTE,Footnote Text2,Footnote Text11,ALTS FOOTNOTE11,Footnote Text Char111,Footnote Text Char Char Char11,Footnote Text Char1 Char Char Char Char11,Footnote Text Char1 Char Char Char11,ALTS FOOTNOTE2,f"/>
    <w:basedOn w:val="Standard"/>
    <w:link w:val="FunotentextZchn"/>
    <w:uiPriority w:val="99"/>
    <w:semiHidden/>
    <w:rsid w:val="00F327A6"/>
    <w:rPr>
      <w:sz w:val="20"/>
      <w:lang w:eastAsia="ja-JP"/>
    </w:rPr>
  </w:style>
  <w:style w:type="character" w:customStyle="1" w:styleId="FunotentextZchn">
    <w:name w:val="Fußnotentext Zchn"/>
    <w:aliases w:val="ALTS FOOTNOTE Zchn1,Footnote Text2 Zchn1,Footnote Text11 Zchn1,ALTS FOOTNOTE11 Zchn1,Footnote Text Char111 Zchn1,Footnote Text Char Char Char11 Zchn1,Footnote Text Char1 Char Char Char Char11 Zchn1,ALTS FOOTNOTE2 Zchn,f Zchn"/>
    <w:link w:val="Funotentext"/>
    <w:uiPriority w:val="99"/>
    <w:semiHidden/>
    <w:locked/>
    <w:rsid w:val="008F3D6B"/>
    <w:rPr>
      <w:rFonts w:ascii="Arial" w:hAnsi="Arial"/>
      <w:sz w:val="20"/>
      <w:lang w:val="nb-NO"/>
    </w:rPr>
  </w:style>
  <w:style w:type="character" w:styleId="Seitenzahl">
    <w:name w:val="page number"/>
    <w:uiPriority w:val="99"/>
    <w:rsid w:val="00F327A6"/>
    <w:rPr>
      <w:rFonts w:cs="Times New Roman"/>
    </w:rPr>
  </w:style>
  <w:style w:type="paragraph" w:styleId="Dokumentstruktur">
    <w:name w:val="Document Map"/>
    <w:basedOn w:val="Standard"/>
    <w:link w:val="DokumentstrukturZchn"/>
    <w:uiPriority w:val="99"/>
    <w:semiHidden/>
    <w:rsid w:val="00F327A6"/>
    <w:pPr>
      <w:shd w:val="clear" w:color="auto" w:fill="000080"/>
    </w:pPr>
    <w:rPr>
      <w:rFonts w:ascii="Times New Roman" w:hAnsi="Times New Roman"/>
      <w:sz w:val="2"/>
      <w:lang w:eastAsia="ja-JP"/>
    </w:rPr>
  </w:style>
  <w:style w:type="character" w:customStyle="1" w:styleId="DokumentstrukturZchn">
    <w:name w:val="Dokumentstruktur Zchn"/>
    <w:link w:val="Dokumentstruktur"/>
    <w:uiPriority w:val="99"/>
    <w:semiHidden/>
    <w:locked/>
    <w:rsid w:val="008F3D6B"/>
    <w:rPr>
      <w:sz w:val="2"/>
      <w:lang w:val="nb-NO"/>
    </w:rPr>
  </w:style>
  <w:style w:type="paragraph" w:styleId="Abbildungsverzeichnis">
    <w:name w:val="table of figures"/>
    <w:basedOn w:val="Standard"/>
    <w:next w:val="Standard"/>
    <w:uiPriority w:val="99"/>
    <w:semiHidden/>
    <w:rsid w:val="00F327A6"/>
    <w:pPr>
      <w:ind w:left="400" w:hanging="400"/>
    </w:pPr>
    <w:rPr>
      <w:sz w:val="20"/>
      <w:lang w:val="de-DE"/>
    </w:rPr>
  </w:style>
  <w:style w:type="paragraph" w:styleId="Titel">
    <w:name w:val="Title"/>
    <w:basedOn w:val="Standard"/>
    <w:link w:val="TitelZchn"/>
    <w:uiPriority w:val="99"/>
    <w:qFormat/>
    <w:rsid w:val="00B70CD3"/>
    <w:pPr>
      <w:jc w:val="center"/>
    </w:pPr>
    <w:rPr>
      <w:rFonts w:ascii="Cambria" w:hAnsi="Cambria"/>
      <w:b/>
      <w:kern w:val="28"/>
      <w:sz w:val="32"/>
      <w:lang w:eastAsia="ja-JP"/>
    </w:rPr>
  </w:style>
  <w:style w:type="character" w:customStyle="1" w:styleId="TitelZchn">
    <w:name w:val="Titel Zchn"/>
    <w:link w:val="Titel"/>
    <w:uiPriority w:val="99"/>
    <w:locked/>
    <w:rsid w:val="008F3D6B"/>
    <w:rPr>
      <w:rFonts w:ascii="Cambria" w:hAnsi="Cambria"/>
      <w:b/>
      <w:kern w:val="28"/>
      <w:sz w:val="32"/>
      <w:lang w:val="nb-NO"/>
    </w:rPr>
  </w:style>
  <w:style w:type="paragraph" w:customStyle="1" w:styleId="Kasten">
    <w:name w:val="Kasten"/>
    <w:basedOn w:val="Standard"/>
    <w:uiPriority w:val="99"/>
    <w:rsid w:val="000641A7"/>
    <w:pPr>
      <w:pBdr>
        <w:top w:val="single" w:sz="12" w:space="1" w:color="auto"/>
        <w:left w:val="single" w:sz="12" w:space="4" w:color="auto"/>
        <w:bottom w:val="single" w:sz="12" w:space="1" w:color="auto"/>
        <w:right w:val="single" w:sz="12" w:space="4" w:color="auto"/>
      </w:pBdr>
    </w:pPr>
  </w:style>
  <w:style w:type="character" w:styleId="Hyperlink">
    <w:name w:val="Hyperlink"/>
    <w:uiPriority w:val="99"/>
    <w:rsid w:val="003C53D0"/>
    <w:rPr>
      <w:rFonts w:cs="Times New Roman"/>
      <w:color w:val="0000FF"/>
      <w:u w:val="single"/>
    </w:rPr>
  </w:style>
  <w:style w:type="paragraph" w:customStyle="1" w:styleId="Note">
    <w:name w:val="Note"/>
    <w:basedOn w:val="Standard"/>
    <w:next w:val="Standard"/>
    <w:uiPriority w:val="99"/>
    <w:rsid w:val="00DE5E01"/>
    <w:pPr>
      <w:tabs>
        <w:tab w:val="left" w:pos="851"/>
      </w:tabs>
      <w:ind w:left="851" w:hanging="851"/>
    </w:pPr>
    <w:rPr>
      <w:b/>
      <w:lang w:val="en-GB"/>
    </w:rPr>
  </w:style>
  <w:style w:type="paragraph" w:customStyle="1" w:styleId="Header1">
    <w:name w:val="Header1"/>
    <w:basedOn w:val="Kopfzeile"/>
    <w:link w:val="HeaderZchnZchn"/>
    <w:uiPriority w:val="99"/>
    <w:rsid w:val="00493F86"/>
    <w:pPr>
      <w:spacing w:before="60"/>
    </w:pPr>
    <w:rPr>
      <w:b/>
      <w:sz w:val="22"/>
    </w:rPr>
  </w:style>
  <w:style w:type="character" w:customStyle="1" w:styleId="HeaderZchnZchn">
    <w:name w:val="Header Zchn Zchn"/>
    <w:link w:val="Header1"/>
    <w:uiPriority w:val="99"/>
    <w:locked/>
    <w:rsid w:val="00493F86"/>
    <w:rPr>
      <w:rFonts w:ascii="Arial" w:hAnsi="Arial"/>
      <w:b/>
      <w:sz w:val="22"/>
      <w:lang w:val="nb-NO"/>
    </w:rPr>
  </w:style>
  <w:style w:type="paragraph" w:styleId="KeinLeerraum">
    <w:name w:val="No Spacing"/>
    <w:uiPriority w:val="99"/>
    <w:qFormat/>
    <w:rsid w:val="00317FB7"/>
    <w:pPr>
      <w:jc w:val="both"/>
    </w:pPr>
    <w:rPr>
      <w:rFonts w:ascii="Arial" w:hAnsi="Arial"/>
      <w:sz w:val="22"/>
      <w:lang w:val="nb-NO" w:eastAsia="de-DE"/>
    </w:rPr>
  </w:style>
  <w:style w:type="table" w:styleId="Tabellenraster">
    <w:name w:val="Table Grid"/>
    <w:basedOn w:val="NormaleTabelle"/>
    <w:uiPriority w:val="99"/>
    <w:rsid w:val="009F01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rsid w:val="00A17E27"/>
    <w:rPr>
      <w:rFonts w:ascii="Times New Roman" w:hAnsi="Times New Roman"/>
      <w:sz w:val="2"/>
      <w:lang w:eastAsia="ja-JP"/>
    </w:rPr>
  </w:style>
  <w:style w:type="character" w:customStyle="1" w:styleId="SprechblasentextZchn">
    <w:name w:val="Sprechblasentext Zchn"/>
    <w:link w:val="Sprechblasentext"/>
    <w:uiPriority w:val="99"/>
    <w:semiHidden/>
    <w:locked/>
    <w:rsid w:val="00FA5276"/>
    <w:rPr>
      <w:sz w:val="2"/>
      <w:lang w:val="nb-NO"/>
    </w:rPr>
  </w:style>
  <w:style w:type="character" w:styleId="Kommentarzeichen">
    <w:name w:val="annotation reference"/>
    <w:uiPriority w:val="99"/>
    <w:semiHidden/>
    <w:locked/>
    <w:rsid w:val="00774351"/>
    <w:rPr>
      <w:rFonts w:cs="Times New Roman"/>
      <w:sz w:val="16"/>
    </w:rPr>
  </w:style>
  <w:style w:type="paragraph" w:styleId="Kommentartext">
    <w:name w:val="annotation text"/>
    <w:basedOn w:val="Standard"/>
    <w:link w:val="KommentartextZchn"/>
    <w:uiPriority w:val="99"/>
    <w:semiHidden/>
    <w:locked/>
    <w:rsid w:val="00774351"/>
    <w:rPr>
      <w:sz w:val="20"/>
      <w:lang w:eastAsia="ja-JP"/>
    </w:rPr>
  </w:style>
  <w:style w:type="character" w:customStyle="1" w:styleId="KommentartextZchn">
    <w:name w:val="Kommentartext Zchn"/>
    <w:link w:val="Kommentartext"/>
    <w:uiPriority w:val="99"/>
    <w:semiHidden/>
    <w:locked/>
    <w:rsid w:val="00733354"/>
    <w:rPr>
      <w:rFonts w:ascii="Arial" w:hAnsi="Arial"/>
      <w:sz w:val="20"/>
      <w:lang w:val="nb-NO"/>
    </w:rPr>
  </w:style>
  <w:style w:type="paragraph" w:styleId="Kommentarthema">
    <w:name w:val="annotation subject"/>
    <w:basedOn w:val="Kommentartext"/>
    <w:next w:val="Kommentartext"/>
    <w:link w:val="KommentarthemaZchn"/>
    <w:uiPriority w:val="99"/>
    <w:semiHidden/>
    <w:locked/>
    <w:rsid w:val="00774351"/>
    <w:rPr>
      <w:b/>
    </w:rPr>
  </w:style>
  <w:style w:type="character" w:customStyle="1" w:styleId="KommentarthemaZchn">
    <w:name w:val="Kommentarthema Zchn"/>
    <w:link w:val="Kommentarthema"/>
    <w:uiPriority w:val="99"/>
    <w:semiHidden/>
    <w:locked/>
    <w:rsid w:val="00733354"/>
    <w:rPr>
      <w:rFonts w:ascii="Arial" w:hAnsi="Arial"/>
      <w:b/>
      <w:sz w:val="20"/>
      <w:lang w:val="nb-NO"/>
    </w:rPr>
  </w:style>
  <w:style w:type="paragraph" w:styleId="berarbeitung">
    <w:name w:val="Revision"/>
    <w:hidden/>
    <w:uiPriority w:val="99"/>
    <w:semiHidden/>
    <w:rsid w:val="004F730C"/>
    <w:rPr>
      <w:rFonts w:ascii="Arial" w:hAnsi="Arial"/>
      <w:sz w:val="22"/>
      <w:lang w:val="nb-NO" w:eastAsia="de-DE"/>
    </w:rPr>
  </w:style>
  <w:style w:type="character" w:customStyle="1" w:styleId="footnotetextZchn">
    <w:name w:val="footnote text Zchn"/>
    <w:aliases w:val="ALTS FOOTNOTE Zchn,Footnote Text2 Zchn,Footnote Text11 Zchn,ALTS FOOTNOTE11 Zchn,Footnote Text Char111 Zchn,Footnote Text Char Char Char11 Zchn,Footnote Text Char1 Char Char Char Char11 Zchn,Footnote Text Char1 Char Char Char11 Zchn"/>
    <w:uiPriority w:val="99"/>
    <w:locked/>
    <w:rsid w:val="00AD45F4"/>
    <w:rPr>
      <w:rFonts w:ascii="Times New Roman" w:hAnsi="Times New Roman"/>
      <w:sz w:val="20"/>
      <w:lang w:val="en-GB"/>
    </w:rPr>
  </w:style>
  <w:style w:type="paragraph" w:styleId="Beschriftung">
    <w:name w:val="caption"/>
    <w:basedOn w:val="Standard"/>
    <w:next w:val="Standard"/>
    <w:uiPriority w:val="99"/>
    <w:qFormat/>
    <w:rsid w:val="009221E4"/>
    <w:pPr>
      <w:spacing w:after="0"/>
    </w:pPr>
    <w:rPr>
      <w:rFonts w:ascii="Times New Roman" w:hAnsi="Times New Roman"/>
      <w:b/>
      <w:bCs/>
      <w:sz w:val="20"/>
      <w:lang w:val="en-GB"/>
    </w:rPr>
  </w:style>
  <w:style w:type="paragraph" w:customStyle="1" w:styleId="BN">
    <w:name w:val="BN"/>
    <w:basedOn w:val="Standard"/>
    <w:uiPriority w:val="99"/>
    <w:rsid w:val="00D80D69"/>
    <w:pPr>
      <w:numPr>
        <w:numId w:val="16"/>
      </w:numPr>
      <w:overflowPunct w:val="0"/>
      <w:autoSpaceDE w:val="0"/>
      <w:autoSpaceDN w:val="0"/>
      <w:adjustRightInd w:val="0"/>
      <w:spacing w:after="180"/>
      <w:jc w:val="left"/>
      <w:textAlignment w:val="baseline"/>
    </w:pPr>
    <w:rPr>
      <w:rFonts w:ascii="Times New Roman" w:hAnsi="Times New Roman"/>
      <w:sz w:val="20"/>
      <w:lang w:val="en-GB" w:eastAsia="en-US"/>
    </w:rPr>
  </w:style>
  <w:style w:type="paragraph" w:styleId="Listenabsatz">
    <w:name w:val="List Paragraph"/>
    <w:basedOn w:val="Standard"/>
    <w:uiPriority w:val="99"/>
    <w:qFormat/>
    <w:rsid w:val="000552CA"/>
    <w:pPr>
      <w:ind w:left="720"/>
    </w:pPr>
    <w:rPr>
      <w:rFonts w:cs="Arial"/>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em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221-9\Eigene%20Dateien\Gremien\FM48\templates\Cover%20page%20FM%20PT%204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Cover page FM PT 48.dotx</Template>
  <TotalTime>0</TotalTime>
  <Pages>20</Pages>
  <Words>3040</Words>
  <Characters>17329</Characters>
  <Application>Microsoft Office Word</Application>
  <DocSecurity>0</DocSecurity>
  <Lines>144</Lines>
  <Paragraphs>40</Paragraphs>
  <ScaleCrop>false</ScaleCrop>
  <HeadingPairs>
    <vt:vector size="2" baseType="variant">
      <vt:variant>
        <vt:lpstr>Titel</vt:lpstr>
      </vt:variant>
      <vt:variant>
        <vt:i4>1</vt:i4>
      </vt:variant>
    </vt:vector>
  </HeadingPairs>
  <TitlesOfParts>
    <vt:vector size="1" baseType="lpstr">
      <vt:lpstr>Outline for a new ECC Report</vt:lpstr>
    </vt:vector>
  </TitlesOfParts>
  <Company>DT AG</Company>
  <LinksUpToDate>false</LinksUpToDate>
  <CharactersWithSpaces>20329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ECC Report</dc:title>
  <dc:subject>4th meeting of FM PT 48, 24-25 November 2011</dc:subject>
  <dc:creator>Thomas Weilacher</dc:creator>
  <cp:keywords>Broadband DA2GC</cp:keywords>
  <dc:description/>
  <cp:lastModifiedBy>Thomas Weilacher</cp:lastModifiedBy>
  <cp:revision>3</cp:revision>
  <cp:lastPrinted>2011-11-17T15:01:00Z</cp:lastPrinted>
  <dcterms:created xsi:type="dcterms:W3CDTF">2011-11-23T12:31:00Z</dcterms:created>
  <dcterms:modified xsi:type="dcterms:W3CDTF">2011-11-23T15:34:00Z</dcterms:modified>
</cp:coreProperties>
</file>