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9640" w:type="dxa"/>
        <w:tblInd w:w="-72" w:type="dxa"/>
        <w:tblLayout w:type="fixed"/>
        <w:tblCellMar>
          <w:left w:w="70" w:type="dxa"/>
          <w:right w:w="70" w:type="dxa"/>
        </w:tblCellMar>
        <w:tblLook w:val="0000" w:firstRow="0" w:lastRow="0" w:firstColumn="0" w:lastColumn="0" w:noHBand="0" w:noVBand="0"/>
      </w:tblPr>
      <w:tblGrid>
        <w:gridCol w:w="1843"/>
        <w:gridCol w:w="2497"/>
        <w:gridCol w:w="1731"/>
        <w:gridCol w:w="3569"/>
      </w:tblGrid>
      <w:tr w:rsidR="00E33B6D" w:rsidRPr="002135E8">
        <w:trPr>
          <w:cantSplit/>
        </w:trPr>
        <w:tc>
          <w:tcPr>
            <w:tcW w:w="6071" w:type="dxa"/>
            <w:gridSpan w:val="3"/>
            <w:tcBorders>
              <w:top w:val="nil"/>
              <w:left w:val="nil"/>
              <w:bottom w:val="nil"/>
              <w:right w:val="nil"/>
            </w:tcBorders>
          </w:tcPr>
          <w:p w:rsidR="00E33B6D" w:rsidRPr="002135E8" w:rsidRDefault="00004C39" w:rsidP="00215746">
            <w:pPr>
              <w:pStyle w:val="Kopfzeile1"/>
              <w:rPr>
                <w:lang w:val="en-GB"/>
              </w:rPr>
            </w:pPr>
            <w:r>
              <w:rPr>
                <w:noProof/>
                <w:lang w:val="en-GB" w:eastAsia="en-GB"/>
              </w:rPr>
              <w:drawing>
                <wp:inline distT="0" distB="0" distL="0" distR="0">
                  <wp:extent cx="1591945" cy="8001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1945" cy="800100"/>
                          </a:xfrm>
                          <a:prstGeom prst="rect">
                            <a:avLst/>
                          </a:prstGeom>
                          <a:noFill/>
                          <a:ln>
                            <a:noFill/>
                          </a:ln>
                        </pic:spPr>
                      </pic:pic>
                    </a:graphicData>
                  </a:graphic>
                </wp:inline>
              </w:drawing>
            </w:r>
          </w:p>
          <w:p w:rsidR="00E33B6D" w:rsidRPr="002135E8" w:rsidRDefault="00E33B6D" w:rsidP="00215746">
            <w:pPr>
              <w:pStyle w:val="Kopfzeile1"/>
              <w:rPr>
                <w:rFonts w:cs="Arial"/>
                <w:color w:val="808080"/>
                <w:lang w:val="en-GB"/>
              </w:rPr>
            </w:pPr>
            <w:r w:rsidRPr="002135E8">
              <w:rPr>
                <w:rFonts w:cs="Arial"/>
                <w:color w:val="000000"/>
                <w:lang w:val="en-GB"/>
              </w:rPr>
              <w:t xml:space="preserve"> </w:t>
            </w:r>
            <w:r w:rsidRPr="002135E8">
              <w:rPr>
                <w:rFonts w:cs="Arial"/>
                <w:color w:val="808080"/>
                <w:lang w:val="en-GB"/>
              </w:rPr>
              <w:t>Project Team FM PT 48</w:t>
            </w:r>
            <w:r w:rsidRPr="002135E8">
              <w:rPr>
                <w:rFonts w:cs="Arial"/>
                <w:color w:val="808080"/>
                <w:lang w:val="en-GB"/>
              </w:rPr>
              <w:br/>
            </w:r>
          </w:p>
        </w:tc>
        <w:tc>
          <w:tcPr>
            <w:tcW w:w="3569" w:type="dxa"/>
            <w:tcBorders>
              <w:top w:val="nil"/>
              <w:left w:val="nil"/>
              <w:bottom w:val="nil"/>
              <w:right w:val="nil"/>
            </w:tcBorders>
          </w:tcPr>
          <w:p w:rsidR="00E33B6D" w:rsidRPr="002135E8" w:rsidRDefault="00E33B6D" w:rsidP="00440A96">
            <w:pPr>
              <w:pStyle w:val="Kopfzeile1"/>
              <w:tabs>
                <w:tab w:val="clear" w:pos="4536"/>
                <w:tab w:val="right" w:pos="3357"/>
              </w:tabs>
              <w:jc w:val="right"/>
              <w:rPr>
                <w:sz w:val="24"/>
                <w:szCs w:val="24"/>
                <w:lang w:val="en-GB"/>
              </w:rPr>
            </w:pPr>
            <w:r>
              <w:rPr>
                <w:sz w:val="24"/>
                <w:szCs w:val="24"/>
                <w:lang w:val="en-GB"/>
              </w:rPr>
              <w:t>FM48(12)007</w:t>
            </w:r>
          </w:p>
        </w:tc>
      </w:tr>
      <w:tr w:rsidR="00E33B6D" w:rsidRPr="002135E8">
        <w:tblPrEx>
          <w:tblCellMar>
            <w:left w:w="108" w:type="dxa"/>
            <w:right w:w="108" w:type="dxa"/>
          </w:tblCellMar>
        </w:tblPrEx>
        <w:trPr>
          <w:cantSplit/>
          <w:trHeight w:val="405"/>
        </w:trPr>
        <w:tc>
          <w:tcPr>
            <w:tcW w:w="4340" w:type="dxa"/>
            <w:gridSpan w:val="2"/>
            <w:tcBorders>
              <w:top w:val="nil"/>
              <w:left w:val="nil"/>
              <w:bottom w:val="nil"/>
              <w:right w:val="nil"/>
            </w:tcBorders>
            <w:vAlign w:val="center"/>
          </w:tcPr>
          <w:p w:rsidR="00E33B6D" w:rsidRPr="002135E8" w:rsidRDefault="00E33B6D" w:rsidP="002A3DB5">
            <w:pPr>
              <w:pStyle w:val="Kopfzeile1"/>
              <w:rPr>
                <w:lang w:val="en-GB"/>
              </w:rPr>
            </w:pPr>
            <w:r>
              <w:rPr>
                <w:lang w:val="en-GB"/>
              </w:rPr>
              <w:t>5</w:t>
            </w:r>
            <w:r w:rsidRPr="002135E8">
              <w:rPr>
                <w:vertAlign w:val="superscript"/>
                <w:lang w:val="en-GB"/>
              </w:rPr>
              <w:t>th</w:t>
            </w:r>
            <w:r w:rsidRPr="002135E8">
              <w:rPr>
                <w:lang w:val="en-GB"/>
              </w:rPr>
              <w:t xml:space="preserve"> Meeting, </w:t>
            </w:r>
            <w:r>
              <w:rPr>
                <w:lang w:val="en-GB"/>
              </w:rPr>
              <w:t>1</w:t>
            </w:r>
            <w:r w:rsidRPr="002135E8">
              <w:rPr>
                <w:lang w:val="en-GB"/>
              </w:rPr>
              <w:t xml:space="preserve">-2 </w:t>
            </w:r>
            <w:r>
              <w:rPr>
                <w:lang w:val="en-GB"/>
              </w:rPr>
              <w:t>March</w:t>
            </w:r>
            <w:r w:rsidRPr="002135E8">
              <w:rPr>
                <w:lang w:val="en-GB"/>
              </w:rPr>
              <w:t xml:space="preserve"> 201</w:t>
            </w:r>
            <w:r>
              <w:rPr>
                <w:lang w:val="en-GB"/>
              </w:rPr>
              <w:t>2</w:t>
            </w:r>
          </w:p>
        </w:tc>
        <w:tc>
          <w:tcPr>
            <w:tcW w:w="5300" w:type="dxa"/>
            <w:gridSpan w:val="2"/>
            <w:tcBorders>
              <w:top w:val="nil"/>
              <w:left w:val="nil"/>
              <w:bottom w:val="nil"/>
              <w:right w:val="nil"/>
            </w:tcBorders>
            <w:vAlign w:val="center"/>
          </w:tcPr>
          <w:p w:rsidR="00E33B6D" w:rsidRPr="002135E8" w:rsidRDefault="00E33B6D" w:rsidP="00215746">
            <w:pPr>
              <w:pStyle w:val="Kopfzeile1"/>
              <w:rPr>
                <w:lang w:val="en-GB"/>
              </w:rPr>
            </w:pPr>
          </w:p>
        </w:tc>
      </w:tr>
      <w:tr w:rsidR="00E33B6D" w:rsidRPr="002135E8">
        <w:tblPrEx>
          <w:tblCellMar>
            <w:left w:w="108" w:type="dxa"/>
            <w:right w:w="108" w:type="dxa"/>
          </w:tblCellMar>
        </w:tblPrEx>
        <w:trPr>
          <w:cantSplit/>
          <w:trHeight w:val="405"/>
        </w:trPr>
        <w:tc>
          <w:tcPr>
            <w:tcW w:w="4340" w:type="dxa"/>
            <w:gridSpan w:val="2"/>
            <w:tcBorders>
              <w:top w:val="nil"/>
              <w:left w:val="nil"/>
              <w:bottom w:val="nil"/>
              <w:right w:val="nil"/>
            </w:tcBorders>
            <w:vAlign w:val="center"/>
          </w:tcPr>
          <w:p w:rsidR="00E33B6D" w:rsidRPr="002135E8" w:rsidRDefault="00E33B6D" w:rsidP="002A3DB5">
            <w:pPr>
              <w:pStyle w:val="Kopfzeile1"/>
              <w:rPr>
                <w:lang w:val="en-GB"/>
              </w:rPr>
            </w:pPr>
            <w:smartTag w:uri="urn:schemas-microsoft-com:office:smarttags" w:element="City">
              <w:r>
                <w:rPr>
                  <w:lang w:val="en-GB"/>
                </w:rPr>
                <w:t>Copenhagen</w:t>
              </w:r>
            </w:smartTag>
            <w:r w:rsidRPr="002135E8">
              <w:rPr>
                <w:lang w:val="en-GB"/>
              </w:rPr>
              <w:t xml:space="preserve"> / </w:t>
            </w:r>
            <w:smartTag w:uri="urn:schemas-microsoft-com:office:smarttags" w:element="country-region">
              <w:smartTag w:uri="urn:schemas-microsoft-com:office:smarttags" w:element="place">
                <w:r>
                  <w:rPr>
                    <w:lang w:val="en-GB"/>
                  </w:rPr>
                  <w:t>Denmark</w:t>
                </w:r>
              </w:smartTag>
            </w:smartTag>
          </w:p>
        </w:tc>
        <w:tc>
          <w:tcPr>
            <w:tcW w:w="5300" w:type="dxa"/>
            <w:gridSpan w:val="2"/>
            <w:tcBorders>
              <w:top w:val="nil"/>
              <w:left w:val="nil"/>
              <w:bottom w:val="nil"/>
              <w:right w:val="nil"/>
            </w:tcBorders>
            <w:vAlign w:val="center"/>
          </w:tcPr>
          <w:p w:rsidR="00E33B6D" w:rsidRPr="002135E8" w:rsidRDefault="00E33B6D" w:rsidP="00215746">
            <w:pPr>
              <w:pStyle w:val="Kopfzeile1"/>
              <w:rPr>
                <w:lang w:val="en-GB"/>
              </w:rPr>
            </w:pPr>
          </w:p>
        </w:tc>
      </w:tr>
      <w:tr w:rsidR="00E33B6D" w:rsidRPr="002135E8">
        <w:tblPrEx>
          <w:tblCellMar>
            <w:left w:w="108" w:type="dxa"/>
            <w:right w:w="108" w:type="dxa"/>
          </w:tblCellMar>
        </w:tblPrEx>
        <w:trPr>
          <w:cantSplit/>
          <w:trHeight w:val="80"/>
        </w:trPr>
        <w:tc>
          <w:tcPr>
            <w:tcW w:w="4340" w:type="dxa"/>
            <w:gridSpan w:val="2"/>
            <w:tcBorders>
              <w:top w:val="nil"/>
              <w:left w:val="nil"/>
              <w:bottom w:val="nil"/>
              <w:right w:val="nil"/>
            </w:tcBorders>
            <w:vAlign w:val="center"/>
          </w:tcPr>
          <w:p w:rsidR="00E33B6D" w:rsidRPr="002135E8" w:rsidRDefault="00E33B6D" w:rsidP="00215746">
            <w:pPr>
              <w:pStyle w:val="Kopfzeile1"/>
              <w:rPr>
                <w:sz w:val="8"/>
                <w:lang w:val="en-GB"/>
              </w:rPr>
            </w:pPr>
          </w:p>
        </w:tc>
        <w:tc>
          <w:tcPr>
            <w:tcW w:w="5300" w:type="dxa"/>
            <w:gridSpan w:val="2"/>
            <w:tcBorders>
              <w:top w:val="nil"/>
              <w:left w:val="nil"/>
              <w:bottom w:val="nil"/>
              <w:right w:val="nil"/>
            </w:tcBorders>
            <w:vAlign w:val="center"/>
          </w:tcPr>
          <w:p w:rsidR="00E33B6D" w:rsidRPr="002135E8" w:rsidRDefault="00E33B6D" w:rsidP="00215746">
            <w:pPr>
              <w:pStyle w:val="Kopfzeile1"/>
              <w:rPr>
                <w:sz w:val="8"/>
                <w:lang w:val="en-GB"/>
              </w:rPr>
            </w:pPr>
          </w:p>
        </w:tc>
      </w:tr>
      <w:tr w:rsidR="00E33B6D" w:rsidRPr="002135E8">
        <w:tblPrEx>
          <w:tblCellMar>
            <w:left w:w="108" w:type="dxa"/>
            <w:right w:w="108" w:type="dxa"/>
          </w:tblCellMar>
        </w:tblPrEx>
        <w:trPr>
          <w:cantSplit/>
          <w:trHeight w:val="405"/>
        </w:trPr>
        <w:tc>
          <w:tcPr>
            <w:tcW w:w="1843" w:type="dxa"/>
            <w:tcBorders>
              <w:top w:val="nil"/>
              <w:left w:val="nil"/>
              <w:bottom w:val="nil"/>
              <w:right w:val="nil"/>
            </w:tcBorders>
            <w:vAlign w:val="center"/>
          </w:tcPr>
          <w:p w:rsidR="00E33B6D" w:rsidRPr="002135E8" w:rsidRDefault="00E33B6D" w:rsidP="00215746">
            <w:pPr>
              <w:pStyle w:val="Kopfzeile1"/>
              <w:rPr>
                <w:lang w:val="en-GB"/>
              </w:rPr>
            </w:pPr>
            <w:r w:rsidRPr="002135E8">
              <w:rPr>
                <w:lang w:val="en-GB"/>
              </w:rPr>
              <w:t>Date issued:</w:t>
            </w:r>
          </w:p>
        </w:tc>
        <w:tc>
          <w:tcPr>
            <w:tcW w:w="7797" w:type="dxa"/>
            <w:gridSpan w:val="3"/>
            <w:tcBorders>
              <w:top w:val="nil"/>
              <w:left w:val="nil"/>
              <w:bottom w:val="nil"/>
              <w:right w:val="nil"/>
            </w:tcBorders>
            <w:vAlign w:val="center"/>
          </w:tcPr>
          <w:p w:rsidR="00E33B6D" w:rsidRPr="002135E8" w:rsidRDefault="00E33B6D" w:rsidP="00215746">
            <w:pPr>
              <w:pStyle w:val="Kopfzeile1"/>
              <w:rPr>
                <w:lang w:val="en-GB"/>
              </w:rPr>
            </w:pPr>
            <w:r>
              <w:rPr>
                <w:lang w:val="en-GB"/>
              </w:rPr>
              <w:t>24</w:t>
            </w:r>
            <w:r w:rsidRPr="00885CFA">
              <w:rPr>
                <w:vertAlign w:val="superscript"/>
                <w:lang w:val="en-GB"/>
              </w:rPr>
              <w:t>th</w:t>
            </w:r>
            <w:r>
              <w:rPr>
                <w:lang w:val="en-GB"/>
              </w:rPr>
              <w:t xml:space="preserve"> February 2012</w:t>
            </w:r>
          </w:p>
        </w:tc>
      </w:tr>
      <w:tr w:rsidR="00E33B6D" w:rsidRPr="002135E8">
        <w:tblPrEx>
          <w:tblCellMar>
            <w:left w:w="108" w:type="dxa"/>
            <w:right w:w="108" w:type="dxa"/>
          </w:tblCellMar>
        </w:tblPrEx>
        <w:trPr>
          <w:cantSplit/>
          <w:trHeight w:val="405"/>
        </w:trPr>
        <w:tc>
          <w:tcPr>
            <w:tcW w:w="1843" w:type="dxa"/>
            <w:tcBorders>
              <w:top w:val="nil"/>
              <w:left w:val="nil"/>
              <w:bottom w:val="nil"/>
              <w:right w:val="nil"/>
            </w:tcBorders>
            <w:vAlign w:val="center"/>
          </w:tcPr>
          <w:p w:rsidR="00E33B6D" w:rsidRPr="002135E8" w:rsidRDefault="00E33B6D" w:rsidP="00215746">
            <w:pPr>
              <w:pStyle w:val="Kopfzeile1"/>
              <w:rPr>
                <w:lang w:val="en-GB"/>
              </w:rPr>
            </w:pPr>
            <w:r w:rsidRPr="002135E8">
              <w:rPr>
                <w:lang w:val="en-GB"/>
              </w:rPr>
              <w:t>Source:</w:t>
            </w:r>
          </w:p>
        </w:tc>
        <w:tc>
          <w:tcPr>
            <w:tcW w:w="7797" w:type="dxa"/>
            <w:gridSpan w:val="3"/>
            <w:tcBorders>
              <w:top w:val="nil"/>
              <w:left w:val="nil"/>
              <w:bottom w:val="nil"/>
              <w:right w:val="nil"/>
            </w:tcBorders>
            <w:vAlign w:val="center"/>
          </w:tcPr>
          <w:p w:rsidR="00E33B6D" w:rsidRPr="002135E8" w:rsidRDefault="00E33B6D" w:rsidP="00215746">
            <w:pPr>
              <w:pStyle w:val="Kopfzeile1"/>
              <w:rPr>
                <w:lang w:val="en-GB"/>
              </w:rPr>
            </w:pPr>
            <w:r>
              <w:rPr>
                <w:lang w:val="en-GB"/>
              </w:rPr>
              <w:t>Deutsche Telekom</w:t>
            </w:r>
          </w:p>
        </w:tc>
      </w:tr>
      <w:tr w:rsidR="00E33B6D" w:rsidRPr="002135E8">
        <w:tblPrEx>
          <w:tblCellMar>
            <w:left w:w="108" w:type="dxa"/>
            <w:right w:w="108" w:type="dxa"/>
          </w:tblCellMar>
        </w:tblPrEx>
        <w:trPr>
          <w:cantSplit/>
          <w:trHeight w:val="405"/>
        </w:trPr>
        <w:tc>
          <w:tcPr>
            <w:tcW w:w="1843" w:type="dxa"/>
            <w:tcBorders>
              <w:top w:val="nil"/>
              <w:left w:val="nil"/>
              <w:bottom w:val="nil"/>
              <w:right w:val="nil"/>
            </w:tcBorders>
            <w:vAlign w:val="center"/>
          </w:tcPr>
          <w:p w:rsidR="00E33B6D" w:rsidRPr="002135E8" w:rsidRDefault="00E33B6D" w:rsidP="00215746">
            <w:pPr>
              <w:pStyle w:val="Kopfzeile1"/>
              <w:rPr>
                <w:lang w:val="en-GB"/>
              </w:rPr>
            </w:pPr>
            <w:r w:rsidRPr="002135E8">
              <w:rPr>
                <w:lang w:val="en-GB"/>
              </w:rPr>
              <w:t>Subject:</w:t>
            </w:r>
          </w:p>
        </w:tc>
        <w:tc>
          <w:tcPr>
            <w:tcW w:w="7797" w:type="dxa"/>
            <w:gridSpan w:val="3"/>
            <w:tcBorders>
              <w:top w:val="nil"/>
              <w:left w:val="nil"/>
              <w:bottom w:val="nil"/>
              <w:right w:val="nil"/>
            </w:tcBorders>
            <w:vAlign w:val="center"/>
          </w:tcPr>
          <w:p w:rsidR="00E33B6D" w:rsidRPr="002135E8" w:rsidRDefault="00E33B6D" w:rsidP="001E0E49">
            <w:pPr>
              <w:pStyle w:val="Kopfzeile1"/>
              <w:rPr>
                <w:lang w:val="en-GB"/>
              </w:rPr>
            </w:pPr>
            <w:r>
              <w:rPr>
                <w:lang w:val="en-GB"/>
              </w:rPr>
              <w:t>Additional Text for sections 6.1.4, 6.1.5 and 6.1.6 of the Draft ECC Report</w:t>
            </w:r>
          </w:p>
        </w:tc>
      </w:tr>
      <w:tr w:rsidR="00E33B6D" w:rsidRPr="002135E8" w:rsidTr="00FF320E">
        <w:tblPrEx>
          <w:tblCellMar>
            <w:left w:w="108" w:type="dxa"/>
            <w:right w:w="108" w:type="dxa"/>
          </w:tblCellMar>
        </w:tblPrEx>
        <w:trPr>
          <w:cantSplit/>
          <w:trHeight w:val="1040"/>
        </w:trPr>
        <w:tc>
          <w:tcPr>
            <w:tcW w:w="9640" w:type="dxa"/>
            <w:gridSpan w:val="4"/>
            <w:tcBorders>
              <w:top w:val="nil"/>
              <w:left w:val="nil"/>
              <w:bottom w:val="nil"/>
              <w:right w:val="nil"/>
            </w:tcBorders>
            <w:vAlign w:val="center"/>
          </w:tcPr>
          <w:p w:rsidR="00E33B6D" w:rsidRPr="002135E8" w:rsidRDefault="00E33B6D" w:rsidP="00FF320E">
            <w:pPr>
              <w:rPr>
                <w:rFonts w:cs="Arial"/>
                <w:szCs w:val="24"/>
                <w:lang w:val="en-GB"/>
              </w:rPr>
            </w:pPr>
          </w:p>
          <w:p w:rsidR="00E33B6D" w:rsidRPr="002135E8" w:rsidRDefault="00E33B6D" w:rsidP="00FF320E">
            <w:pPr>
              <w:rPr>
                <w:lang w:val="en-GB"/>
              </w:rPr>
            </w:pPr>
            <w:r w:rsidRPr="002135E8">
              <w:rPr>
                <w:lang w:val="en-GB"/>
              </w:rPr>
              <w:t xml:space="preserve">Group membership required to read? (Y/N): </w:t>
            </w:r>
            <w:r w:rsidRPr="002135E8">
              <w:rPr>
                <w:bdr w:val="single" w:sz="4" w:space="0" w:color="auto"/>
                <w:lang w:val="en-GB"/>
              </w:rPr>
              <w:t>N</w:t>
            </w:r>
          </w:p>
          <w:p w:rsidR="00E33B6D" w:rsidRPr="002135E8" w:rsidRDefault="00E33B6D" w:rsidP="00FF320E">
            <w:pPr>
              <w:pStyle w:val="Header1"/>
              <w:rPr>
                <w:lang w:val="en-GB" w:eastAsia="de-DE"/>
              </w:rPr>
            </w:pPr>
          </w:p>
        </w:tc>
      </w:tr>
      <w:tr w:rsidR="00E33B6D" w:rsidRPr="002135E8" w:rsidTr="00FF320E">
        <w:tblPrEx>
          <w:tblCellMar>
            <w:left w:w="108" w:type="dxa"/>
            <w:right w:w="108" w:type="dxa"/>
          </w:tblCellMar>
        </w:tblPrEx>
        <w:trPr>
          <w:cantSplit/>
          <w:trHeight w:hRule="exact" w:val="74"/>
        </w:trPr>
        <w:tc>
          <w:tcPr>
            <w:tcW w:w="9640" w:type="dxa"/>
            <w:gridSpan w:val="4"/>
            <w:tcBorders>
              <w:top w:val="nil"/>
              <w:left w:val="nil"/>
              <w:bottom w:val="nil"/>
              <w:right w:val="nil"/>
            </w:tcBorders>
            <w:vAlign w:val="center"/>
          </w:tcPr>
          <w:p w:rsidR="00E33B6D" w:rsidRPr="002135E8" w:rsidRDefault="00E33B6D" w:rsidP="00FF320E">
            <w:pPr>
              <w:pStyle w:val="Header1"/>
              <w:rPr>
                <w:lang w:val="en-GB" w:eastAsia="de-DE"/>
              </w:rPr>
            </w:pPr>
          </w:p>
          <w:p w:rsidR="00E33B6D" w:rsidRPr="002135E8" w:rsidRDefault="00E33B6D" w:rsidP="00FF320E">
            <w:pPr>
              <w:pStyle w:val="Header1"/>
              <w:rPr>
                <w:sz w:val="8"/>
                <w:lang w:val="en-GB" w:eastAsia="de-DE"/>
              </w:rPr>
            </w:pPr>
          </w:p>
        </w:tc>
      </w:tr>
      <w:tr w:rsidR="00E33B6D" w:rsidRPr="002135E8"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6"/>
        </w:trPr>
        <w:tc>
          <w:tcPr>
            <w:tcW w:w="9640" w:type="dxa"/>
            <w:gridSpan w:val="4"/>
            <w:tcBorders>
              <w:bottom w:val="nil"/>
            </w:tcBorders>
          </w:tcPr>
          <w:p w:rsidR="00E33B6D" w:rsidRPr="002135E8" w:rsidRDefault="00E33B6D" w:rsidP="001E0E49">
            <w:pPr>
              <w:pStyle w:val="Kopfzeile1"/>
              <w:rPr>
                <w:lang w:val="en-GB"/>
              </w:rPr>
            </w:pPr>
            <w:r w:rsidRPr="002135E8">
              <w:rPr>
                <w:lang w:val="en-GB"/>
              </w:rPr>
              <w:t>Summary:</w:t>
            </w:r>
          </w:p>
        </w:tc>
      </w:tr>
      <w:tr w:rsidR="00E33B6D" w:rsidRPr="002135E8"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12"/>
        </w:trPr>
        <w:tc>
          <w:tcPr>
            <w:tcW w:w="9640" w:type="dxa"/>
            <w:gridSpan w:val="4"/>
            <w:tcBorders>
              <w:top w:val="nil"/>
            </w:tcBorders>
          </w:tcPr>
          <w:p w:rsidR="00E33B6D" w:rsidRPr="002135E8" w:rsidRDefault="00E33B6D" w:rsidP="002135E8">
            <w:pPr>
              <w:jc w:val="left"/>
              <w:rPr>
                <w:lang w:val="en-GB"/>
              </w:rPr>
            </w:pPr>
            <w:r>
              <w:rPr>
                <w:lang w:val="en-GB"/>
              </w:rPr>
              <w:t>This document contains additional Text for sections 6.1.4</w:t>
            </w:r>
            <w:r w:rsidR="00004C39">
              <w:rPr>
                <w:lang w:val="en-GB"/>
              </w:rPr>
              <w:t>, 6.1.5</w:t>
            </w:r>
            <w:r>
              <w:rPr>
                <w:lang w:val="en-GB"/>
              </w:rPr>
              <w:t xml:space="preserve"> and 6.1.</w:t>
            </w:r>
            <w:r w:rsidR="00004C39">
              <w:rPr>
                <w:lang w:val="en-GB"/>
              </w:rPr>
              <w:t>6</w:t>
            </w:r>
            <w:bookmarkStart w:id="0" w:name="_GoBack"/>
            <w:bookmarkEnd w:id="0"/>
            <w:r>
              <w:rPr>
                <w:lang w:val="en-GB"/>
              </w:rPr>
              <w:t xml:space="preserve"> of the Draft ECC Report. The additional text is marked in </w:t>
            </w:r>
            <w:r w:rsidRPr="00885CFA">
              <w:rPr>
                <w:highlight w:val="cyan"/>
                <w:lang w:val="en-GB"/>
              </w:rPr>
              <w:t>light blue</w:t>
            </w:r>
            <w:r>
              <w:rPr>
                <w:lang w:val="en-GB"/>
              </w:rPr>
              <w:t>.</w:t>
            </w:r>
          </w:p>
          <w:p w:rsidR="00E33B6D" w:rsidRPr="002135E8" w:rsidRDefault="00E33B6D" w:rsidP="001E0E49">
            <w:pPr>
              <w:rPr>
                <w:lang w:val="en-GB"/>
              </w:rPr>
            </w:pPr>
          </w:p>
        </w:tc>
      </w:tr>
    </w:tbl>
    <w:p w:rsidR="00E33B6D" w:rsidRDefault="00E33B6D" w:rsidP="002135E8">
      <w:pPr>
        <w:pStyle w:val="KeinLeerraum"/>
        <w:rPr>
          <w:lang w:val="en-GB"/>
        </w:rPr>
      </w:pPr>
    </w:p>
    <w:p w:rsidR="00E33B6D" w:rsidRPr="002135E8" w:rsidRDefault="00E33B6D" w:rsidP="002135E8">
      <w:pPr>
        <w:pStyle w:val="KeinLeerraum"/>
        <w:rPr>
          <w:lang w:val="en-GB"/>
        </w:rPr>
      </w:pPr>
    </w:p>
    <w:p w:rsidR="00E33B6D" w:rsidRDefault="00E33B6D" w:rsidP="00885CFA">
      <w:pPr>
        <w:pStyle w:val="Kopfzeile1"/>
        <w:rPr>
          <w:lang w:val="en-GB"/>
        </w:rPr>
      </w:pPr>
      <w:r w:rsidRPr="002135E8">
        <w:rPr>
          <w:lang w:val="en-GB"/>
        </w:rPr>
        <w:t>Proposal:</w:t>
      </w:r>
    </w:p>
    <w:p w:rsidR="00E33B6D" w:rsidRDefault="00E33B6D" w:rsidP="002135E8">
      <w:pPr>
        <w:pStyle w:val="KeinLeerraum"/>
        <w:rPr>
          <w:lang w:val="en-GB"/>
        </w:rPr>
      </w:pPr>
    </w:p>
    <w:p w:rsidR="00E33B6D" w:rsidRDefault="00E33B6D" w:rsidP="00885CFA">
      <w:pPr>
        <w:pStyle w:val="berschrift3"/>
        <w:keepNext/>
        <w:numPr>
          <w:ilvl w:val="2"/>
          <w:numId w:val="15"/>
        </w:numPr>
        <w:tabs>
          <w:tab w:val="clear" w:pos="851"/>
        </w:tabs>
        <w:spacing w:before="360"/>
      </w:pPr>
      <w:bookmarkStart w:id="1" w:name="_Toc316555767"/>
      <w:r w:rsidRPr="00CE3DF9">
        <w:t>Candidate bands</w:t>
      </w:r>
      <w:bookmarkEnd w:id="1"/>
    </w:p>
    <w:p w:rsidR="00E33B6D" w:rsidRDefault="00E33B6D" w:rsidP="00885CFA">
      <w:pPr>
        <w:pStyle w:val="ECCParagraph"/>
        <w:rPr>
          <w:sz w:val="22"/>
          <w:szCs w:val="22"/>
        </w:rPr>
      </w:pPr>
      <w:r w:rsidRPr="00750E28">
        <w:rPr>
          <w:sz w:val="22"/>
          <w:szCs w:val="22"/>
          <w:highlight w:val="yellow"/>
        </w:rPr>
        <w:t>{</w:t>
      </w:r>
      <w:r w:rsidRPr="00750E28">
        <w:rPr>
          <w:sz w:val="22"/>
          <w:szCs w:val="22"/>
          <w:highlight w:val="yellow"/>
        </w:rPr>
        <w:sym w:font="Symbol" w:char="F0AE"/>
      </w:r>
      <w:r>
        <w:rPr>
          <w:sz w:val="22"/>
          <w:szCs w:val="22"/>
          <w:highlight w:val="yellow"/>
        </w:rPr>
        <w:t xml:space="preserve"> see also </w:t>
      </w:r>
      <w:r w:rsidRPr="00750E28">
        <w:rPr>
          <w:sz w:val="22"/>
          <w:szCs w:val="22"/>
          <w:highlight w:val="yellow"/>
        </w:rPr>
        <w:t>section 4.3}</w:t>
      </w:r>
    </w:p>
    <w:p w:rsidR="00E33B6D" w:rsidRDefault="00E33B6D" w:rsidP="00885CFA">
      <w:pPr>
        <w:pStyle w:val="ECCParagraph"/>
        <w:rPr>
          <w:sz w:val="22"/>
          <w:szCs w:val="22"/>
        </w:rPr>
      </w:pPr>
      <w:r w:rsidRPr="00683E8B">
        <w:rPr>
          <w:sz w:val="22"/>
          <w:szCs w:val="22"/>
          <w:highlight w:val="cyan"/>
        </w:rPr>
        <w:t xml:space="preserve">Basically, all candidate frequency bands discussed in section </w:t>
      </w:r>
      <w:r>
        <w:rPr>
          <w:sz w:val="22"/>
          <w:szCs w:val="22"/>
          <w:highlight w:val="cyan"/>
        </w:rPr>
        <w:t>4.3</w:t>
      </w:r>
      <w:r w:rsidRPr="00683E8B">
        <w:rPr>
          <w:sz w:val="22"/>
          <w:szCs w:val="22"/>
          <w:highlight w:val="cyan"/>
        </w:rPr>
        <w:t xml:space="preserve"> could be considered for the implementation of this broadband DA2GC system. However, frequency bands currently not used or used only sparsely would be </w:t>
      </w:r>
      <w:r>
        <w:rPr>
          <w:sz w:val="22"/>
          <w:szCs w:val="22"/>
          <w:highlight w:val="cyan"/>
        </w:rPr>
        <w:t>the</w:t>
      </w:r>
      <w:r w:rsidRPr="00683E8B">
        <w:rPr>
          <w:sz w:val="22"/>
          <w:szCs w:val="22"/>
          <w:highlight w:val="cyan"/>
        </w:rPr>
        <w:t xml:space="preserve"> much more favoured solution, both concerning compatibility with other radio applications as well as harmonised availability within an appropriate timeframe.</w:t>
      </w:r>
      <w:r>
        <w:rPr>
          <w:sz w:val="22"/>
          <w:szCs w:val="22"/>
        </w:rPr>
        <w:t xml:space="preserve"> </w:t>
      </w:r>
    </w:p>
    <w:p w:rsidR="00E33B6D" w:rsidRDefault="00E33B6D" w:rsidP="00885CFA">
      <w:pPr>
        <w:pStyle w:val="ECCParagraph"/>
        <w:rPr>
          <w:sz w:val="22"/>
          <w:szCs w:val="22"/>
        </w:rPr>
      </w:pPr>
      <w:r w:rsidRPr="00683E8B">
        <w:rPr>
          <w:sz w:val="22"/>
          <w:szCs w:val="22"/>
          <w:highlight w:val="cyan"/>
        </w:rPr>
        <w:t xml:space="preserve">Regarding the candidate bands considered in section </w:t>
      </w:r>
      <w:r>
        <w:rPr>
          <w:sz w:val="22"/>
          <w:szCs w:val="22"/>
          <w:highlight w:val="cyan"/>
        </w:rPr>
        <w:t xml:space="preserve">4.3 </w:t>
      </w:r>
      <w:r w:rsidRPr="00683E8B">
        <w:rPr>
          <w:sz w:val="22"/>
          <w:szCs w:val="22"/>
          <w:highlight w:val="cyan"/>
        </w:rPr>
        <w:t xml:space="preserve">this is in particular the case for the bands (in numeric order) 1452-1492 MHz, 1900-1920 MHz, and 2010-2025 MHz, and partly also for the band 3400-3500 MHz, but also for </w:t>
      </w:r>
      <w:r>
        <w:rPr>
          <w:sz w:val="22"/>
          <w:szCs w:val="22"/>
          <w:highlight w:val="cyan"/>
        </w:rPr>
        <w:t>further</w:t>
      </w:r>
      <w:r w:rsidRPr="00683E8B">
        <w:rPr>
          <w:sz w:val="22"/>
          <w:szCs w:val="22"/>
          <w:highlight w:val="cyan"/>
        </w:rPr>
        <w:t xml:space="preserve"> bands not taken into account </w:t>
      </w:r>
      <w:r>
        <w:rPr>
          <w:sz w:val="22"/>
          <w:szCs w:val="22"/>
          <w:highlight w:val="cyan"/>
        </w:rPr>
        <w:t>in section 4.3</w:t>
      </w:r>
      <w:r w:rsidRPr="00683E8B">
        <w:rPr>
          <w:sz w:val="22"/>
          <w:szCs w:val="22"/>
          <w:highlight w:val="cyan"/>
        </w:rPr>
        <w:t>.</w:t>
      </w:r>
      <w:r>
        <w:rPr>
          <w:sz w:val="22"/>
          <w:szCs w:val="22"/>
        </w:rPr>
        <w:t xml:space="preserve"> </w:t>
      </w:r>
    </w:p>
    <w:p w:rsidR="00E33B6D" w:rsidRPr="00750E28" w:rsidRDefault="00E33B6D" w:rsidP="00885CFA">
      <w:pPr>
        <w:pStyle w:val="ECCParagraph"/>
        <w:rPr>
          <w:sz w:val="22"/>
          <w:szCs w:val="22"/>
        </w:rPr>
      </w:pPr>
      <w:r>
        <w:rPr>
          <w:sz w:val="22"/>
          <w:szCs w:val="22"/>
        </w:rPr>
        <w:br w:type="page"/>
      </w:r>
    </w:p>
    <w:p w:rsidR="00E33B6D" w:rsidRPr="00CE3DF9" w:rsidRDefault="00E33B6D" w:rsidP="00885CFA">
      <w:pPr>
        <w:pStyle w:val="berschrift3"/>
        <w:keepNext/>
        <w:numPr>
          <w:ilvl w:val="2"/>
          <w:numId w:val="15"/>
        </w:numPr>
        <w:tabs>
          <w:tab w:val="clear" w:pos="851"/>
        </w:tabs>
        <w:spacing w:before="360"/>
      </w:pPr>
      <w:bookmarkStart w:id="2" w:name="_Toc316555768"/>
      <w:r w:rsidRPr="00CE3DF9">
        <w:t>Timeframe for equipment availability</w:t>
      </w:r>
      <w:bookmarkEnd w:id="2"/>
    </w:p>
    <w:p w:rsidR="00E33B6D" w:rsidRPr="00CE3DF9" w:rsidRDefault="00E33B6D" w:rsidP="00885CFA">
      <w:pPr>
        <w:spacing w:before="120"/>
        <w:rPr>
          <w:szCs w:val="22"/>
          <w:lang w:val="en-GB"/>
        </w:rPr>
      </w:pPr>
      <w:r w:rsidRPr="00CE3DF9">
        <w:rPr>
          <w:szCs w:val="22"/>
          <w:lang w:val="en-GB"/>
        </w:rPr>
        <w:t xml:space="preserve">The baseline access technology of this broadband DA2GC </w:t>
      </w:r>
      <w:r w:rsidRPr="00DC7122">
        <w:rPr>
          <w:szCs w:val="22"/>
          <w:highlight w:val="cyan"/>
          <w:lang w:val="en-GB"/>
        </w:rPr>
        <w:t>system</w:t>
      </w:r>
      <w:r>
        <w:rPr>
          <w:szCs w:val="22"/>
          <w:lang w:val="en-GB"/>
        </w:rPr>
        <w:t xml:space="preserve"> </w:t>
      </w:r>
      <w:r w:rsidRPr="00CE3DF9">
        <w:rPr>
          <w:szCs w:val="22"/>
          <w:lang w:val="en-GB"/>
        </w:rPr>
        <w:t>is the 3GPP evolved packet system (E-UTRAN+EPC) that is already commercially available,</w:t>
      </w:r>
      <w:r w:rsidRPr="00756278">
        <w:rPr>
          <w:szCs w:val="22"/>
          <w:lang w:val="en-GB"/>
        </w:rPr>
        <w:t xml:space="preserve"> </w:t>
      </w:r>
      <w:r w:rsidRPr="00756278">
        <w:rPr>
          <w:szCs w:val="22"/>
          <w:highlight w:val="cyan"/>
          <w:lang w:val="en-GB"/>
        </w:rPr>
        <w:t>(Release 8)</w:t>
      </w:r>
      <w:r w:rsidRPr="00CE3DF9">
        <w:rPr>
          <w:szCs w:val="22"/>
          <w:lang w:val="en-GB"/>
        </w:rPr>
        <w:t xml:space="preserve"> known as LTE</w:t>
      </w:r>
      <w:r w:rsidRPr="00756278">
        <w:rPr>
          <w:szCs w:val="22"/>
          <w:highlight w:val="cyan"/>
          <w:lang w:val="en-GB"/>
        </w:rPr>
        <w:t>, and higher releases, i.e. the ground station equipment is in conformity with 3GPP specifications. The RF unit would need to be adapted to the operational frequency</w:t>
      </w:r>
      <w:r w:rsidRPr="00CE3DF9">
        <w:rPr>
          <w:szCs w:val="22"/>
          <w:lang w:val="en-GB"/>
        </w:rPr>
        <w:t xml:space="preserve">. DA2GC specific enhancements required correspond mainly to operational aspects, e.g. antenna up-tilt at the Ground Station (Base Station), and network management issues. </w:t>
      </w:r>
      <w:r w:rsidRPr="00756278">
        <w:rPr>
          <w:szCs w:val="22"/>
          <w:highlight w:val="cyan"/>
          <w:lang w:val="en-GB"/>
        </w:rPr>
        <w:t>These modifications do not require standardisation efforts.</w:t>
      </w:r>
      <w:r w:rsidRPr="00756278">
        <w:rPr>
          <w:szCs w:val="22"/>
          <w:lang w:val="en-GB"/>
        </w:rPr>
        <w:t xml:space="preserve"> </w:t>
      </w:r>
      <w:r w:rsidRPr="00CE3DF9">
        <w:rPr>
          <w:szCs w:val="22"/>
          <w:lang w:val="en-GB"/>
        </w:rPr>
        <w:t>Adaptations of the ground components are expected to be completed ten months after spectrum designation / authorisation. The build-up of the ground network which is assumed to last about one year could be started in parallel</w:t>
      </w:r>
      <w:r w:rsidRPr="00756278">
        <w:rPr>
          <w:szCs w:val="22"/>
          <w:lang w:val="en-GB"/>
        </w:rPr>
        <w:t xml:space="preserve"> </w:t>
      </w:r>
      <w:r w:rsidRPr="00756278">
        <w:rPr>
          <w:szCs w:val="22"/>
          <w:highlight w:val="cyan"/>
          <w:lang w:val="en-GB"/>
        </w:rPr>
        <w:t>with the backhaul and site preparations</w:t>
      </w:r>
      <w:r w:rsidRPr="00CE3DF9">
        <w:rPr>
          <w:szCs w:val="22"/>
          <w:lang w:val="en-GB"/>
        </w:rPr>
        <w:t xml:space="preserve">. </w:t>
      </w:r>
    </w:p>
    <w:p w:rsidR="00E33B6D" w:rsidRPr="00CE3DF9" w:rsidRDefault="00E33B6D" w:rsidP="00885CFA">
      <w:pPr>
        <w:spacing w:before="120"/>
        <w:rPr>
          <w:szCs w:val="22"/>
          <w:lang w:val="en-GB"/>
        </w:rPr>
      </w:pPr>
      <w:r w:rsidRPr="00CE3DF9">
        <w:rPr>
          <w:szCs w:val="22"/>
          <w:lang w:val="en-GB"/>
        </w:rPr>
        <w:t xml:space="preserve">The Aircraft Station (AS) acts as a mobile station (MS) in this broadband DA2GC system. Compared to a MS used in a usual mobile network, increased output power is required due to the higher path loss (larger cell sizes) in the broadband DA2GC network. Also improved synchronization features, e.g. to compensate the high Doppler shift, will be implemented. Time necessary for manufacturing the specific aircraft installation kits and for the corresponding type approval </w:t>
      </w:r>
      <w:r w:rsidRPr="00756278">
        <w:rPr>
          <w:szCs w:val="22"/>
          <w:highlight w:val="cyan"/>
          <w:lang w:val="en-GB"/>
        </w:rPr>
        <w:t>at aviation authorities</w:t>
      </w:r>
      <w:r w:rsidRPr="00756278">
        <w:rPr>
          <w:szCs w:val="22"/>
          <w:lang w:val="en-GB"/>
        </w:rPr>
        <w:t xml:space="preserve"> </w:t>
      </w:r>
      <w:r w:rsidRPr="00CE3DF9">
        <w:rPr>
          <w:szCs w:val="22"/>
          <w:lang w:val="en-GB"/>
        </w:rPr>
        <w:t>is estimated to be about one and a half year.</w:t>
      </w:r>
    </w:p>
    <w:p w:rsidR="00E33B6D" w:rsidRPr="00CE3DF9" w:rsidRDefault="00E33B6D" w:rsidP="00885CFA">
      <w:pPr>
        <w:spacing w:before="120"/>
        <w:rPr>
          <w:szCs w:val="22"/>
          <w:lang w:val="en-GB"/>
        </w:rPr>
      </w:pPr>
      <w:r w:rsidRPr="00CE3DF9">
        <w:rPr>
          <w:szCs w:val="22"/>
          <w:lang w:val="en-GB"/>
        </w:rPr>
        <w:t>Thus the service rollout with first aircraft can be expected about 18 months after the spectrum designation/authorisation. The estimated timeline for equipment availability for this broadband DA2GC system is illustrated in</w:t>
      </w:r>
      <w:r>
        <w:rPr>
          <w:szCs w:val="22"/>
          <w:lang w:val="en-GB"/>
        </w:rPr>
        <w:t xml:space="preserve"> </w:t>
      </w:r>
      <w:r>
        <w:rPr>
          <w:szCs w:val="22"/>
          <w:lang w:val="en-GB"/>
        </w:rPr>
        <w:fldChar w:fldCharType="begin"/>
      </w:r>
      <w:r>
        <w:rPr>
          <w:szCs w:val="22"/>
          <w:lang w:val="en-GB"/>
        </w:rPr>
        <w:instrText xml:space="preserve"> REF _Ref315443142 \h </w:instrText>
      </w:r>
      <w:r>
        <w:rPr>
          <w:szCs w:val="22"/>
          <w:lang w:val="en-GB"/>
        </w:rPr>
      </w:r>
      <w:r>
        <w:rPr>
          <w:szCs w:val="22"/>
          <w:lang w:val="en-GB"/>
        </w:rPr>
        <w:fldChar w:fldCharType="separate"/>
      </w:r>
      <w:r w:rsidR="00004C39" w:rsidRPr="00C700B3">
        <w:rPr>
          <w:b/>
          <w:color w:val="D2232A"/>
          <w:szCs w:val="22"/>
        </w:rPr>
        <w:t xml:space="preserve">Figure </w:t>
      </w:r>
      <w:r w:rsidR="00004C39">
        <w:rPr>
          <w:b/>
          <w:noProof/>
          <w:color w:val="D2232A"/>
          <w:szCs w:val="22"/>
        </w:rPr>
        <w:t>1</w:t>
      </w:r>
      <w:r>
        <w:rPr>
          <w:szCs w:val="22"/>
          <w:lang w:val="en-GB"/>
        </w:rPr>
        <w:fldChar w:fldCharType="end"/>
      </w:r>
      <w:r w:rsidRPr="00CE3DF9">
        <w:rPr>
          <w:szCs w:val="22"/>
          <w:lang w:val="en-GB"/>
        </w:rPr>
        <w:t>.</w:t>
      </w:r>
    </w:p>
    <w:p w:rsidR="00E33B6D" w:rsidRPr="00CE3DF9" w:rsidRDefault="00E33B6D" w:rsidP="00885CFA">
      <w:pPr>
        <w:spacing w:before="120"/>
        <w:rPr>
          <w:szCs w:val="22"/>
          <w:lang w:val="en-GB"/>
        </w:rPr>
      </w:pPr>
    </w:p>
    <w:p w:rsidR="00E33B6D" w:rsidRPr="00CE3DF9" w:rsidRDefault="00004C39" w:rsidP="00885CFA">
      <w:pPr>
        <w:jc w:val="center"/>
        <w:rPr>
          <w:color w:val="0000FF"/>
          <w:lang w:val="en-GB"/>
        </w:rPr>
      </w:pPr>
      <w:r>
        <w:rPr>
          <w:noProof/>
          <w:color w:val="0000FF"/>
          <w:lang w:val="en-GB" w:eastAsia="en-GB"/>
        </w:rPr>
        <w:drawing>
          <wp:inline distT="0" distB="0" distL="0" distR="0">
            <wp:extent cx="4876800" cy="23368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6800" cy="2336800"/>
                    </a:xfrm>
                    <a:prstGeom prst="rect">
                      <a:avLst/>
                    </a:prstGeom>
                    <a:noFill/>
                    <a:ln>
                      <a:noFill/>
                    </a:ln>
                  </pic:spPr>
                </pic:pic>
              </a:graphicData>
            </a:graphic>
          </wp:inline>
        </w:drawing>
      </w:r>
    </w:p>
    <w:p w:rsidR="00E33B6D" w:rsidRPr="00CE3DF9" w:rsidRDefault="00E33B6D" w:rsidP="00885CFA">
      <w:pPr>
        <w:pStyle w:val="Beschriftung"/>
        <w:rPr>
          <w:sz w:val="22"/>
          <w:szCs w:val="22"/>
        </w:rPr>
      </w:pPr>
      <w:bookmarkStart w:id="3" w:name="_Ref315443142"/>
      <w:r w:rsidRPr="00C700B3">
        <w:rPr>
          <w:b/>
          <w:color w:val="D2232A"/>
          <w:sz w:val="22"/>
          <w:szCs w:val="22"/>
        </w:rPr>
        <w:t xml:space="preserve">Figure </w:t>
      </w:r>
      <w:r w:rsidRPr="00C700B3">
        <w:rPr>
          <w:b/>
          <w:color w:val="D2232A"/>
          <w:sz w:val="22"/>
          <w:szCs w:val="22"/>
        </w:rPr>
        <w:fldChar w:fldCharType="begin"/>
      </w:r>
      <w:r w:rsidRPr="00C700B3">
        <w:rPr>
          <w:b/>
          <w:color w:val="D2232A"/>
          <w:sz w:val="22"/>
          <w:szCs w:val="22"/>
        </w:rPr>
        <w:instrText xml:space="preserve"> SEQ Figure \* ARABIC </w:instrText>
      </w:r>
      <w:r w:rsidRPr="00C700B3">
        <w:rPr>
          <w:b/>
          <w:color w:val="D2232A"/>
          <w:sz w:val="22"/>
          <w:szCs w:val="22"/>
        </w:rPr>
        <w:fldChar w:fldCharType="separate"/>
      </w:r>
      <w:r w:rsidR="00004C39">
        <w:rPr>
          <w:b/>
          <w:noProof/>
          <w:color w:val="D2232A"/>
          <w:sz w:val="22"/>
          <w:szCs w:val="22"/>
        </w:rPr>
        <w:t>1</w:t>
      </w:r>
      <w:r w:rsidRPr="00C700B3">
        <w:rPr>
          <w:b/>
          <w:color w:val="D2232A"/>
          <w:sz w:val="22"/>
          <w:szCs w:val="22"/>
        </w:rPr>
        <w:fldChar w:fldCharType="end"/>
      </w:r>
      <w:bookmarkEnd w:id="3"/>
      <w:r w:rsidRPr="00CE3DF9">
        <w:rPr>
          <w:b/>
          <w:color w:val="D2232A"/>
          <w:sz w:val="22"/>
          <w:szCs w:val="22"/>
        </w:rPr>
        <w:t xml:space="preserve">: </w:t>
      </w:r>
      <w:r w:rsidRPr="00C700B3">
        <w:rPr>
          <w:b/>
          <w:color w:val="D2232A"/>
          <w:sz w:val="22"/>
          <w:szCs w:val="22"/>
        </w:rPr>
        <w:t>Timeline</w:t>
      </w:r>
      <w:r w:rsidRPr="00CE3DF9">
        <w:rPr>
          <w:b/>
          <w:bCs/>
          <w:color w:val="D2232A"/>
          <w:sz w:val="22"/>
          <w:szCs w:val="22"/>
        </w:rPr>
        <w:t xml:space="preserve"> for equipment availability </w:t>
      </w:r>
      <w:r>
        <w:rPr>
          <w:b/>
          <w:bCs/>
          <w:color w:val="D2232A"/>
          <w:sz w:val="22"/>
          <w:szCs w:val="22"/>
        </w:rPr>
        <w:t>for an LTE/SAE based broadband DA2GC system</w:t>
      </w:r>
    </w:p>
    <w:p w:rsidR="00E33B6D" w:rsidRDefault="00E33B6D" w:rsidP="00885CFA">
      <w:pPr>
        <w:spacing w:before="120"/>
        <w:rPr>
          <w:szCs w:val="22"/>
          <w:lang w:val="en-GB"/>
        </w:rPr>
      </w:pPr>
    </w:p>
    <w:p w:rsidR="00E33B6D" w:rsidRPr="00CE3DF9" w:rsidRDefault="00E33B6D" w:rsidP="00885CFA">
      <w:pPr>
        <w:spacing w:before="120"/>
        <w:rPr>
          <w:szCs w:val="22"/>
          <w:lang w:val="en-GB"/>
        </w:rPr>
      </w:pPr>
      <w:r w:rsidRPr="00CE3DF9">
        <w:rPr>
          <w:szCs w:val="22"/>
          <w:lang w:val="en-GB"/>
        </w:rPr>
        <w:t>Suitable connectivity systems (WiFi / GSMOB) onboard aircraft are already available on the market</w:t>
      </w:r>
      <w:r w:rsidRPr="00756278">
        <w:rPr>
          <w:szCs w:val="22"/>
          <w:highlight w:val="cyan"/>
          <w:lang w:val="en-GB"/>
        </w:rPr>
        <w:t xml:space="preserve">, used today for connectivity solutions via satellite or DA2G in the </w:t>
      </w:r>
      <w:smartTag w:uri="urn:schemas-microsoft-com:office:smarttags" w:element="place">
        <w:r w:rsidRPr="00756278">
          <w:rPr>
            <w:szCs w:val="22"/>
            <w:highlight w:val="cyan"/>
            <w:lang w:val="en-GB"/>
          </w:rPr>
          <w:t>US</w:t>
        </w:r>
      </w:smartTag>
      <w:r w:rsidRPr="00756278">
        <w:rPr>
          <w:szCs w:val="22"/>
          <w:highlight w:val="cyan"/>
          <w:lang w:val="en-GB"/>
        </w:rPr>
        <w:t>. The data interface to the BDA2GC onboard unit – which acts as a modem - is usually Ethernet-based, using special cables and connectors</w:t>
      </w:r>
      <w:r w:rsidRPr="00CE3DF9">
        <w:rPr>
          <w:szCs w:val="22"/>
          <w:lang w:val="en-GB"/>
        </w:rPr>
        <w:t>.</w:t>
      </w:r>
    </w:p>
    <w:p w:rsidR="00E33B6D" w:rsidRPr="001222AB" w:rsidRDefault="00E33B6D" w:rsidP="00885CFA">
      <w:pPr>
        <w:spacing w:before="120"/>
        <w:rPr>
          <w:lang w:val="en-GB"/>
        </w:rPr>
      </w:pPr>
    </w:p>
    <w:p w:rsidR="00E33B6D" w:rsidRPr="00CE3DF9" w:rsidRDefault="00E33B6D" w:rsidP="005577AF">
      <w:pPr>
        <w:pStyle w:val="berschrift3"/>
        <w:numPr>
          <w:ilvl w:val="2"/>
          <w:numId w:val="15"/>
        </w:numPr>
      </w:pPr>
      <w:r>
        <w:br w:type="page"/>
      </w:r>
      <w:bookmarkStart w:id="4" w:name="_Toc316555769"/>
      <w:r w:rsidRPr="00CE3DF9">
        <w:lastRenderedPageBreak/>
        <w:t>System Implementation</w:t>
      </w:r>
      <w:bookmarkEnd w:id="4"/>
    </w:p>
    <w:p w:rsidR="00E33B6D" w:rsidRPr="00135BB0" w:rsidRDefault="00E33B6D" w:rsidP="005577AF">
      <w:pPr>
        <w:spacing w:before="120"/>
        <w:rPr>
          <w:szCs w:val="22"/>
          <w:lang w:val="en-GB"/>
        </w:rPr>
      </w:pPr>
      <w:r>
        <w:rPr>
          <w:szCs w:val="22"/>
          <w:lang w:val="en-GB"/>
        </w:rPr>
        <w:t>The</w:t>
      </w:r>
      <w:r w:rsidRPr="00697601">
        <w:rPr>
          <w:szCs w:val="22"/>
          <w:lang w:val="en-GB"/>
        </w:rPr>
        <w:t xml:space="preserve"> roll-out of </w:t>
      </w:r>
      <w:r>
        <w:rPr>
          <w:szCs w:val="22"/>
          <w:lang w:val="en-GB"/>
        </w:rPr>
        <w:t>this</w:t>
      </w:r>
      <w:r w:rsidRPr="00697601">
        <w:rPr>
          <w:szCs w:val="22"/>
          <w:lang w:val="en-GB"/>
        </w:rPr>
        <w:t xml:space="preserve"> DA2GC </w:t>
      </w:r>
      <w:r>
        <w:rPr>
          <w:szCs w:val="22"/>
          <w:lang w:val="en-GB"/>
        </w:rPr>
        <w:t>network</w:t>
      </w:r>
      <w:r w:rsidRPr="00697601">
        <w:rPr>
          <w:szCs w:val="22"/>
          <w:lang w:val="en-GB"/>
        </w:rPr>
        <w:t xml:space="preserve"> </w:t>
      </w:r>
      <w:r>
        <w:rPr>
          <w:szCs w:val="22"/>
          <w:lang w:val="en-GB"/>
        </w:rPr>
        <w:t>would be</w:t>
      </w:r>
      <w:r w:rsidRPr="00697601">
        <w:rPr>
          <w:szCs w:val="22"/>
          <w:lang w:val="en-GB"/>
        </w:rPr>
        <w:t xml:space="preserve"> based on a hexagonal cell structure</w:t>
      </w:r>
      <w:r>
        <w:rPr>
          <w:szCs w:val="22"/>
          <w:lang w:val="en-GB"/>
        </w:rPr>
        <w:t>,</w:t>
      </w:r>
      <w:r w:rsidRPr="00697601">
        <w:rPr>
          <w:szCs w:val="22"/>
          <w:lang w:val="en-GB"/>
        </w:rPr>
        <w:t xml:space="preserve"> </w:t>
      </w:r>
      <w:r>
        <w:rPr>
          <w:szCs w:val="22"/>
          <w:lang w:val="en-GB"/>
        </w:rPr>
        <w:t>taking into account</w:t>
      </w:r>
      <w:r w:rsidRPr="00697601">
        <w:rPr>
          <w:szCs w:val="22"/>
          <w:lang w:val="en-GB"/>
        </w:rPr>
        <w:t xml:space="preserve"> real air traffic (position, height and direction of aircraft dependent on day time).</w:t>
      </w:r>
      <w:r>
        <w:rPr>
          <w:szCs w:val="22"/>
          <w:lang w:val="en-GB"/>
        </w:rPr>
        <w:t xml:space="preserve"> </w:t>
      </w:r>
      <w:r w:rsidRPr="00697601">
        <w:rPr>
          <w:szCs w:val="22"/>
          <w:lang w:val="en-GB"/>
        </w:rPr>
        <w:t xml:space="preserve">As the number of aircraft equipped </w:t>
      </w:r>
      <w:r>
        <w:rPr>
          <w:szCs w:val="22"/>
          <w:lang w:val="en-GB"/>
        </w:rPr>
        <w:t xml:space="preserve">with </w:t>
      </w:r>
      <w:r w:rsidRPr="00697601">
        <w:rPr>
          <w:szCs w:val="22"/>
          <w:lang w:val="en-GB"/>
        </w:rPr>
        <w:t>DA2GC will be low</w:t>
      </w:r>
      <w:r>
        <w:rPr>
          <w:szCs w:val="22"/>
          <w:lang w:val="en-GB"/>
        </w:rPr>
        <w:t>er</w:t>
      </w:r>
      <w:r w:rsidRPr="00697601">
        <w:rPr>
          <w:szCs w:val="22"/>
          <w:lang w:val="en-GB"/>
        </w:rPr>
        <w:t xml:space="preserve"> in the beginning </w:t>
      </w:r>
      <w:r>
        <w:rPr>
          <w:szCs w:val="22"/>
          <w:lang w:val="en-GB"/>
        </w:rPr>
        <w:t>the roll-out would start with a reduced</w:t>
      </w:r>
      <w:r w:rsidRPr="00697601">
        <w:rPr>
          <w:szCs w:val="22"/>
          <w:lang w:val="en-GB"/>
        </w:rPr>
        <w:t xml:space="preserve"> number of </w:t>
      </w:r>
      <w:r>
        <w:rPr>
          <w:szCs w:val="22"/>
          <w:lang w:val="en-GB"/>
        </w:rPr>
        <w:t>ground</w:t>
      </w:r>
      <w:r w:rsidRPr="00697601">
        <w:rPr>
          <w:szCs w:val="22"/>
          <w:lang w:val="en-GB"/>
        </w:rPr>
        <w:t xml:space="preserve"> stations covering large areas (up to 100 km cell radius) </w:t>
      </w:r>
      <w:r>
        <w:rPr>
          <w:szCs w:val="22"/>
          <w:lang w:val="en-GB"/>
        </w:rPr>
        <w:t>in order to</w:t>
      </w:r>
      <w:r w:rsidRPr="00697601">
        <w:rPr>
          <w:szCs w:val="22"/>
          <w:lang w:val="en-GB"/>
        </w:rPr>
        <w:t xml:space="preserve"> provide a basic coverage. In areas with high aircraft density additional </w:t>
      </w:r>
      <w:r>
        <w:rPr>
          <w:szCs w:val="22"/>
          <w:lang w:val="en-GB"/>
        </w:rPr>
        <w:t>ground</w:t>
      </w:r>
      <w:r w:rsidRPr="00697601">
        <w:rPr>
          <w:szCs w:val="22"/>
          <w:lang w:val="en-GB"/>
        </w:rPr>
        <w:t xml:space="preserve"> stations </w:t>
      </w:r>
      <w:r>
        <w:rPr>
          <w:szCs w:val="22"/>
          <w:lang w:val="en-GB"/>
        </w:rPr>
        <w:t>would</w:t>
      </w:r>
      <w:r w:rsidRPr="00697601">
        <w:rPr>
          <w:szCs w:val="22"/>
          <w:lang w:val="en-GB"/>
        </w:rPr>
        <w:t xml:space="preserve"> be installed.</w:t>
      </w:r>
      <w:r>
        <w:rPr>
          <w:szCs w:val="22"/>
          <w:lang w:val="en-GB"/>
        </w:rPr>
        <w:t xml:space="preserve"> </w:t>
      </w:r>
      <w:r w:rsidRPr="00135BB0">
        <w:rPr>
          <w:szCs w:val="22"/>
          <w:lang w:val="en-GB"/>
        </w:rPr>
        <w:t>Highly frequented routes over sea could be served by usage of directional high gain antennas.</w:t>
      </w:r>
    </w:p>
    <w:p w:rsidR="00E33B6D" w:rsidRPr="00CE3DF9" w:rsidRDefault="00E33B6D" w:rsidP="005577AF">
      <w:pPr>
        <w:spacing w:before="120"/>
        <w:rPr>
          <w:szCs w:val="22"/>
          <w:lang w:val="en-GB"/>
        </w:rPr>
      </w:pPr>
      <w:r w:rsidRPr="00CE3DF9">
        <w:rPr>
          <w:szCs w:val="22"/>
          <w:lang w:val="en-GB"/>
        </w:rPr>
        <w:t>The flight density across European area for 2006 is presented on the left side of</w:t>
      </w:r>
      <w:r>
        <w:rPr>
          <w:szCs w:val="22"/>
          <w:lang w:val="en-GB"/>
        </w:rPr>
        <w:t xml:space="preserve"> </w:t>
      </w:r>
      <w:r>
        <w:rPr>
          <w:szCs w:val="22"/>
          <w:lang w:val="en-GB"/>
        </w:rPr>
        <w:fldChar w:fldCharType="begin"/>
      </w:r>
      <w:r>
        <w:rPr>
          <w:szCs w:val="22"/>
          <w:lang w:val="en-GB"/>
        </w:rPr>
        <w:instrText xml:space="preserve"> REF _Ref315443210 \h </w:instrText>
      </w:r>
      <w:r>
        <w:rPr>
          <w:szCs w:val="22"/>
          <w:lang w:val="en-GB"/>
        </w:rPr>
      </w:r>
      <w:r>
        <w:rPr>
          <w:szCs w:val="22"/>
          <w:lang w:val="en-GB"/>
        </w:rPr>
        <w:fldChar w:fldCharType="separate"/>
      </w:r>
      <w:r w:rsidR="00004C39" w:rsidRPr="00C700B3">
        <w:rPr>
          <w:b/>
          <w:color w:val="D2232A"/>
          <w:szCs w:val="22"/>
        </w:rPr>
        <w:t xml:space="preserve">Figure </w:t>
      </w:r>
      <w:r w:rsidR="00004C39">
        <w:rPr>
          <w:b/>
          <w:noProof/>
          <w:color w:val="D2232A"/>
          <w:szCs w:val="22"/>
        </w:rPr>
        <w:t>2</w:t>
      </w:r>
      <w:r>
        <w:rPr>
          <w:szCs w:val="22"/>
          <w:lang w:val="en-GB"/>
        </w:rPr>
        <w:fldChar w:fldCharType="end"/>
      </w:r>
      <w:r w:rsidRPr="00CE3DF9">
        <w:rPr>
          <w:szCs w:val="22"/>
          <w:lang w:val="en-GB"/>
        </w:rPr>
        <w:t>. This figure also includes a long-term forecast for the year 2025.</w:t>
      </w:r>
    </w:p>
    <w:p w:rsidR="00E33B6D" w:rsidRPr="00CE3DF9" w:rsidRDefault="00E33B6D" w:rsidP="005577AF">
      <w:pPr>
        <w:spacing w:before="120"/>
        <w:rPr>
          <w:szCs w:val="22"/>
          <w:lang w:val="en-GB"/>
        </w:rPr>
      </w:pPr>
    </w:p>
    <w:p w:rsidR="00E33B6D" w:rsidRPr="00CE3DF9" w:rsidRDefault="00004C39" w:rsidP="005577AF">
      <w:pPr>
        <w:spacing w:before="120"/>
        <w:rPr>
          <w:b/>
          <w:szCs w:val="22"/>
          <w:lang w:val="en-GB"/>
        </w:rPr>
      </w:pPr>
      <w:r>
        <w:rPr>
          <w:b/>
          <w:noProof/>
          <w:szCs w:val="22"/>
          <w:lang w:val="en-GB" w:eastAsia="en-GB"/>
        </w:rPr>
        <w:drawing>
          <wp:inline distT="0" distB="0" distL="0" distR="0">
            <wp:extent cx="5765800" cy="1841500"/>
            <wp:effectExtent l="0" t="0" r="6350" b="635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5800" cy="1841500"/>
                    </a:xfrm>
                    <a:prstGeom prst="rect">
                      <a:avLst/>
                    </a:prstGeom>
                    <a:noFill/>
                    <a:ln>
                      <a:noFill/>
                    </a:ln>
                  </pic:spPr>
                </pic:pic>
              </a:graphicData>
            </a:graphic>
          </wp:inline>
        </w:drawing>
      </w:r>
    </w:p>
    <w:p w:rsidR="00E33B6D" w:rsidRPr="00CE3DF9" w:rsidRDefault="00E33B6D" w:rsidP="005577AF">
      <w:pPr>
        <w:spacing w:before="120"/>
        <w:rPr>
          <w:b/>
          <w:bCs/>
          <w:szCs w:val="22"/>
          <w:lang w:val="en-GB"/>
        </w:rPr>
      </w:pPr>
      <w:bookmarkStart w:id="5" w:name="_Ref309655575"/>
    </w:p>
    <w:p w:rsidR="00E33B6D" w:rsidRPr="00CE3DF9" w:rsidRDefault="00E33B6D" w:rsidP="005577AF">
      <w:pPr>
        <w:pStyle w:val="Beschriftung"/>
        <w:rPr>
          <w:sz w:val="22"/>
          <w:szCs w:val="22"/>
        </w:rPr>
      </w:pPr>
      <w:bookmarkStart w:id="6" w:name="_Ref315443210"/>
      <w:r w:rsidRPr="00C700B3">
        <w:rPr>
          <w:b/>
          <w:color w:val="D2232A"/>
          <w:sz w:val="22"/>
          <w:szCs w:val="22"/>
        </w:rPr>
        <w:t xml:space="preserve">Figure </w:t>
      </w:r>
      <w:r w:rsidRPr="00C700B3">
        <w:rPr>
          <w:b/>
          <w:color w:val="D2232A"/>
          <w:sz w:val="22"/>
          <w:szCs w:val="22"/>
        </w:rPr>
        <w:fldChar w:fldCharType="begin"/>
      </w:r>
      <w:r w:rsidRPr="00C700B3">
        <w:rPr>
          <w:b/>
          <w:color w:val="D2232A"/>
          <w:sz w:val="22"/>
          <w:szCs w:val="22"/>
        </w:rPr>
        <w:instrText xml:space="preserve"> SEQ Figure \* ARABIC </w:instrText>
      </w:r>
      <w:r w:rsidRPr="00C700B3">
        <w:rPr>
          <w:b/>
          <w:color w:val="D2232A"/>
          <w:sz w:val="22"/>
          <w:szCs w:val="22"/>
        </w:rPr>
        <w:fldChar w:fldCharType="separate"/>
      </w:r>
      <w:r w:rsidR="00004C39">
        <w:rPr>
          <w:b/>
          <w:noProof/>
          <w:color w:val="D2232A"/>
          <w:sz w:val="22"/>
          <w:szCs w:val="22"/>
        </w:rPr>
        <w:t>2</w:t>
      </w:r>
      <w:r w:rsidRPr="00C700B3">
        <w:rPr>
          <w:b/>
          <w:color w:val="D2232A"/>
          <w:sz w:val="22"/>
          <w:szCs w:val="22"/>
        </w:rPr>
        <w:fldChar w:fldCharType="end"/>
      </w:r>
      <w:bookmarkEnd w:id="6"/>
      <w:r w:rsidRPr="00CE3DF9">
        <w:rPr>
          <w:b/>
          <w:color w:val="D2232A"/>
          <w:sz w:val="22"/>
          <w:szCs w:val="22"/>
        </w:rPr>
        <w:t xml:space="preserve">: </w:t>
      </w:r>
      <w:r w:rsidRPr="00C700B3">
        <w:rPr>
          <w:b/>
          <w:color w:val="D2232A"/>
          <w:sz w:val="22"/>
          <w:szCs w:val="22"/>
        </w:rPr>
        <w:t>Growth</w:t>
      </w:r>
      <w:r w:rsidRPr="00CE3DF9">
        <w:rPr>
          <w:b/>
          <w:bCs/>
          <w:color w:val="D2232A"/>
          <w:sz w:val="22"/>
          <w:szCs w:val="22"/>
        </w:rPr>
        <w:t xml:space="preserve"> of European flight density (source: Eurocontrol / 2007)</w:t>
      </w:r>
    </w:p>
    <w:p w:rsidR="00E33B6D" w:rsidRPr="00CE3DF9" w:rsidRDefault="00E33B6D" w:rsidP="005577AF">
      <w:pPr>
        <w:spacing w:before="120"/>
        <w:rPr>
          <w:b/>
          <w:bCs/>
          <w:szCs w:val="22"/>
          <w:lang w:val="en-GB"/>
        </w:rPr>
      </w:pPr>
    </w:p>
    <w:bookmarkEnd w:id="5"/>
    <w:p w:rsidR="00E33B6D" w:rsidRPr="00CE3DF9" w:rsidRDefault="00E33B6D" w:rsidP="005577AF">
      <w:pPr>
        <w:spacing w:before="120"/>
        <w:rPr>
          <w:szCs w:val="22"/>
          <w:lang w:val="en-GB"/>
        </w:rPr>
      </w:pPr>
      <w:r w:rsidRPr="00CE3DF9">
        <w:rPr>
          <w:szCs w:val="22"/>
          <w:lang w:val="en-GB"/>
        </w:rPr>
        <w:t xml:space="preserve">The density patterns in </w:t>
      </w:r>
      <w:r>
        <w:rPr>
          <w:szCs w:val="22"/>
          <w:lang w:val="en-GB"/>
        </w:rPr>
        <w:fldChar w:fldCharType="begin"/>
      </w:r>
      <w:r>
        <w:rPr>
          <w:szCs w:val="22"/>
          <w:lang w:val="en-GB"/>
        </w:rPr>
        <w:instrText xml:space="preserve"> REF _Ref315443210 \h </w:instrText>
      </w:r>
      <w:r>
        <w:rPr>
          <w:szCs w:val="22"/>
          <w:lang w:val="en-GB"/>
        </w:rPr>
      </w:r>
      <w:r>
        <w:rPr>
          <w:szCs w:val="22"/>
          <w:lang w:val="en-GB"/>
        </w:rPr>
        <w:fldChar w:fldCharType="separate"/>
      </w:r>
      <w:r w:rsidR="00004C39" w:rsidRPr="00C700B3">
        <w:rPr>
          <w:b/>
          <w:color w:val="D2232A"/>
          <w:szCs w:val="22"/>
        </w:rPr>
        <w:t xml:space="preserve">Figure </w:t>
      </w:r>
      <w:r w:rsidR="00004C39">
        <w:rPr>
          <w:b/>
          <w:noProof/>
          <w:color w:val="D2232A"/>
          <w:szCs w:val="22"/>
        </w:rPr>
        <w:t>2</w:t>
      </w:r>
      <w:r>
        <w:rPr>
          <w:szCs w:val="22"/>
          <w:lang w:val="en-GB"/>
        </w:rPr>
        <w:fldChar w:fldCharType="end"/>
      </w:r>
      <w:r>
        <w:rPr>
          <w:szCs w:val="22"/>
          <w:lang w:val="en-GB"/>
        </w:rPr>
        <w:t xml:space="preserve"> </w:t>
      </w:r>
      <w:r w:rsidRPr="00CE3DF9">
        <w:rPr>
          <w:szCs w:val="22"/>
          <w:lang w:val="en-GB"/>
        </w:rPr>
        <w:t xml:space="preserve">might be used to define basic rollout coverage scenarios for the terrestrial broadband DA2G communication network, which could be extended during the following years to cover main flight routes and areas in </w:t>
      </w:r>
      <w:smartTag w:uri="urn:schemas-microsoft-com:office:smarttags" w:element="place">
        <w:r w:rsidRPr="00CE3DF9">
          <w:rPr>
            <w:szCs w:val="22"/>
            <w:lang w:val="en-GB"/>
          </w:rPr>
          <w:t>Europe</w:t>
        </w:r>
      </w:smartTag>
      <w:r w:rsidRPr="00CE3DF9">
        <w:rPr>
          <w:szCs w:val="22"/>
          <w:lang w:val="en-GB"/>
        </w:rPr>
        <w:t xml:space="preserve"> and neighbouring countries according to increasing air traffic demand. Based on this flight density forecast, a coverage extension to North Africa and </w:t>
      </w:r>
      <w:smartTag w:uri="urn:schemas-microsoft-com:office:smarttags" w:element="place">
        <w:r w:rsidRPr="00CE3DF9">
          <w:rPr>
            <w:szCs w:val="22"/>
            <w:lang w:val="en-GB"/>
          </w:rPr>
          <w:t>Middle East</w:t>
        </w:r>
      </w:smartTag>
      <w:r w:rsidRPr="00CE3DF9">
        <w:rPr>
          <w:szCs w:val="22"/>
          <w:lang w:val="en-GB"/>
        </w:rPr>
        <w:t xml:space="preserve"> could also be considered, provided the same spectrum as harmonised in CEPT could be made available there.</w:t>
      </w:r>
    </w:p>
    <w:p w:rsidR="00E33B6D" w:rsidRDefault="00E33B6D" w:rsidP="005577AF">
      <w:pPr>
        <w:spacing w:before="120"/>
        <w:rPr>
          <w:szCs w:val="22"/>
          <w:lang w:val="en-GB"/>
        </w:rPr>
      </w:pPr>
      <w:r w:rsidRPr="008C2D0E">
        <w:rPr>
          <w:szCs w:val="22"/>
          <w:highlight w:val="cyan"/>
          <w:lang w:val="en-GB"/>
        </w:rPr>
        <w:t xml:space="preserve">The rollout of BDA2GC will start with about 200 to 250 ground stations, covering of the European area with higher density air traffic, followed by a successively development to enlarge coverage and density in very high traffic areas. In the final state, the ground network covering </w:t>
      </w:r>
      <w:smartTag w:uri="urn:schemas-microsoft-com:office:smarttags" w:element="place">
        <w:r w:rsidRPr="008C2D0E">
          <w:rPr>
            <w:szCs w:val="22"/>
            <w:highlight w:val="cyan"/>
            <w:lang w:val="en-GB"/>
          </w:rPr>
          <w:t>Europe</w:t>
        </w:r>
      </w:smartTag>
      <w:r w:rsidRPr="008C2D0E">
        <w:rPr>
          <w:szCs w:val="22"/>
          <w:highlight w:val="cyan"/>
          <w:lang w:val="en-GB"/>
        </w:rPr>
        <w:t xml:space="preserve"> will encompass 400 to 500 ground stations.</w:t>
      </w:r>
    </w:p>
    <w:p w:rsidR="00E33B6D" w:rsidRPr="00CE3DF9" w:rsidRDefault="00E33B6D" w:rsidP="005577AF">
      <w:pPr>
        <w:spacing w:before="120"/>
        <w:rPr>
          <w:szCs w:val="22"/>
          <w:lang w:val="en-GB"/>
        </w:rPr>
      </w:pPr>
      <w:r>
        <w:rPr>
          <w:szCs w:val="22"/>
          <w:lang w:val="en-GB"/>
        </w:rPr>
        <w:t>From an operational point of view it is reasonable to select a single operator / operator consortium for installing and running the DA2GC network. Cooperation with network operators in [almost] all CEPT countries will be necessary anyway to reach full pan-European coverage.</w:t>
      </w:r>
    </w:p>
    <w:p w:rsidR="00E33B6D" w:rsidRPr="002135E8" w:rsidRDefault="00E33B6D" w:rsidP="002135E8">
      <w:pPr>
        <w:pStyle w:val="KeinLeerraum"/>
        <w:rPr>
          <w:lang w:val="en-GB"/>
        </w:rPr>
      </w:pPr>
    </w:p>
    <w:sectPr w:rsidR="00E33B6D" w:rsidRPr="002135E8" w:rsidSect="008F677F">
      <w:footerReference w:type="even" r:id="rId11"/>
      <w:footerReference w:type="default" r:id="rId12"/>
      <w:pgSz w:w="11907" w:h="16840" w:code="9"/>
      <w:pgMar w:top="1134" w:right="1275" w:bottom="1134" w:left="1276" w:header="720" w:footer="720" w:gutter="0"/>
      <w:paperSrc w:first="1" w:other="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2734" w:rsidRDefault="00A52734">
      <w:r>
        <w:separator/>
      </w:r>
    </w:p>
  </w:endnote>
  <w:endnote w:type="continuationSeparator" w:id="0">
    <w:p w:rsidR="00A52734" w:rsidRDefault="00A52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Tahom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B6D" w:rsidRDefault="00E33B6D">
    <w:pPr>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004C39">
      <w:rPr>
        <w:rStyle w:val="Seitenzahl"/>
        <w:noProof/>
      </w:rPr>
      <w:t>3</w:t>
    </w:r>
    <w:r>
      <w:rPr>
        <w:rStyle w:val="Seitenzahl"/>
      </w:rPr>
      <w:fldChar w:fldCharType="end"/>
    </w:r>
  </w:p>
  <w:p w:rsidR="00E33B6D" w:rsidRDefault="00E33B6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B6D" w:rsidRDefault="00E33B6D">
    <w:pPr>
      <w:framePr w:wrap="around" w:vAnchor="text" w:hAnchor="margin" w:xAlign="center" w:y="1"/>
      <w:rPr>
        <w:rStyle w:val="Seitenzahl"/>
        <w:sz w:val="20"/>
      </w:rPr>
    </w:pPr>
    <w:r>
      <w:rPr>
        <w:rStyle w:val="Seitenzahl"/>
        <w:sz w:val="20"/>
      </w:rPr>
      <w:fldChar w:fldCharType="begin"/>
    </w:r>
    <w:r>
      <w:rPr>
        <w:rStyle w:val="Seitenzahl"/>
        <w:sz w:val="20"/>
      </w:rPr>
      <w:instrText xml:space="preserve">PAGE  </w:instrText>
    </w:r>
    <w:r>
      <w:rPr>
        <w:rStyle w:val="Seitenzahl"/>
        <w:sz w:val="20"/>
      </w:rPr>
      <w:fldChar w:fldCharType="separate"/>
    </w:r>
    <w:r w:rsidR="00004C39">
      <w:rPr>
        <w:rStyle w:val="Seitenzahl"/>
        <w:noProof/>
        <w:sz w:val="20"/>
      </w:rPr>
      <w:t>2</w:t>
    </w:r>
    <w:r>
      <w:rPr>
        <w:rStyle w:val="Seitenzahl"/>
        <w:sz w:val="20"/>
      </w:rPr>
      <w:fldChar w:fldCharType="end"/>
    </w:r>
  </w:p>
  <w:p w:rsidR="00E33B6D" w:rsidRDefault="00E33B6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2734" w:rsidRDefault="00A52734">
      <w:r>
        <w:separator/>
      </w:r>
    </w:p>
  </w:footnote>
  <w:footnote w:type="continuationSeparator" w:id="0">
    <w:p w:rsidR="00A52734" w:rsidRDefault="00A527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6062D"/>
    <w:multiLevelType w:val="hybridMultilevel"/>
    <w:tmpl w:val="D33ADC22"/>
    <w:lvl w:ilvl="0" w:tplc="09AAFE48">
      <w:start w:val="23"/>
      <w:numFmt w:val="decimal"/>
      <w:lvlText w:val="%1"/>
      <w:lvlJc w:val="left"/>
      <w:pPr>
        <w:tabs>
          <w:tab w:val="num" w:pos="930"/>
        </w:tabs>
        <w:ind w:left="930" w:hanging="57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
    <w:nsid w:val="2183576A"/>
    <w:multiLevelType w:val="multilevel"/>
    <w:tmpl w:val="AC2C7E82"/>
    <w:lvl w:ilvl="0">
      <w:start w:val="6"/>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495"/>
        </w:tabs>
        <w:ind w:left="495" w:hanging="495"/>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nsid w:val="2D0D17E7"/>
    <w:multiLevelType w:val="multilevel"/>
    <w:tmpl w:val="14F2EEB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
    <w:nsid w:val="30392B7A"/>
    <w:multiLevelType w:val="hybridMultilevel"/>
    <w:tmpl w:val="50F8C5A8"/>
    <w:lvl w:ilvl="0" w:tplc="04070001">
      <w:start w:val="1"/>
      <w:numFmt w:val="bullet"/>
      <w:lvlText w:val=""/>
      <w:lvlJc w:val="left"/>
      <w:pPr>
        <w:tabs>
          <w:tab w:val="num" w:pos="2134"/>
        </w:tabs>
        <w:ind w:left="2134" w:hanging="360"/>
      </w:pPr>
      <w:rPr>
        <w:rFonts w:ascii="Symbol" w:hAnsi="Symbol" w:hint="default"/>
      </w:rPr>
    </w:lvl>
    <w:lvl w:ilvl="1" w:tplc="04070003" w:tentative="1">
      <w:start w:val="1"/>
      <w:numFmt w:val="bullet"/>
      <w:lvlText w:val="o"/>
      <w:lvlJc w:val="left"/>
      <w:pPr>
        <w:tabs>
          <w:tab w:val="num" w:pos="2854"/>
        </w:tabs>
        <w:ind w:left="2854" w:hanging="360"/>
      </w:pPr>
      <w:rPr>
        <w:rFonts w:ascii="Courier New" w:hAnsi="Courier New" w:hint="default"/>
      </w:rPr>
    </w:lvl>
    <w:lvl w:ilvl="2" w:tplc="04070005" w:tentative="1">
      <w:start w:val="1"/>
      <w:numFmt w:val="bullet"/>
      <w:lvlText w:val=""/>
      <w:lvlJc w:val="left"/>
      <w:pPr>
        <w:tabs>
          <w:tab w:val="num" w:pos="3574"/>
        </w:tabs>
        <w:ind w:left="3574" w:hanging="360"/>
      </w:pPr>
      <w:rPr>
        <w:rFonts w:ascii="Wingdings" w:hAnsi="Wingdings" w:hint="default"/>
      </w:rPr>
    </w:lvl>
    <w:lvl w:ilvl="3" w:tplc="04070001" w:tentative="1">
      <w:start w:val="1"/>
      <w:numFmt w:val="bullet"/>
      <w:lvlText w:val=""/>
      <w:lvlJc w:val="left"/>
      <w:pPr>
        <w:tabs>
          <w:tab w:val="num" w:pos="4294"/>
        </w:tabs>
        <w:ind w:left="4294" w:hanging="360"/>
      </w:pPr>
      <w:rPr>
        <w:rFonts w:ascii="Symbol" w:hAnsi="Symbol" w:hint="default"/>
      </w:rPr>
    </w:lvl>
    <w:lvl w:ilvl="4" w:tplc="04070003" w:tentative="1">
      <w:start w:val="1"/>
      <w:numFmt w:val="bullet"/>
      <w:lvlText w:val="o"/>
      <w:lvlJc w:val="left"/>
      <w:pPr>
        <w:tabs>
          <w:tab w:val="num" w:pos="5014"/>
        </w:tabs>
        <w:ind w:left="5014" w:hanging="360"/>
      </w:pPr>
      <w:rPr>
        <w:rFonts w:ascii="Courier New" w:hAnsi="Courier New" w:hint="default"/>
      </w:rPr>
    </w:lvl>
    <w:lvl w:ilvl="5" w:tplc="04070005" w:tentative="1">
      <w:start w:val="1"/>
      <w:numFmt w:val="bullet"/>
      <w:lvlText w:val=""/>
      <w:lvlJc w:val="left"/>
      <w:pPr>
        <w:tabs>
          <w:tab w:val="num" w:pos="5734"/>
        </w:tabs>
        <w:ind w:left="5734" w:hanging="360"/>
      </w:pPr>
      <w:rPr>
        <w:rFonts w:ascii="Wingdings" w:hAnsi="Wingdings" w:hint="default"/>
      </w:rPr>
    </w:lvl>
    <w:lvl w:ilvl="6" w:tplc="04070001" w:tentative="1">
      <w:start w:val="1"/>
      <w:numFmt w:val="bullet"/>
      <w:lvlText w:val=""/>
      <w:lvlJc w:val="left"/>
      <w:pPr>
        <w:tabs>
          <w:tab w:val="num" w:pos="6454"/>
        </w:tabs>
        <w:ind w:left="6454" w:hanging="360"/>
      </w:pPr>
      <w:rPr>
        <w:rFonts w:ascii="Symbol" w:hAnsi="Symbol" w:hint="default"/>
      </w:rPr>
    </w:lvl>
    <w:lvl w:ilvl="7" w:tplc="04070003" w:tentative="1">
      <w:start w:val="1"/>
      <w:numFmt w:val="bullet"/>
      <w:lvlText w:val="o"/>
      <w:lvlJc w:val="left"/>
      <w:pPr>
        <w:tabs>
          <w:tab w:val="num" w:pos="7174"/>
        </w:tabs>
        <w:ind w:left="7174" w:hanging="360"/>
      </w:pPr>
      <w:rPr>
        <w:rFonts w:ascii="Courier New" w:hAnsi="Courier New" w:hint="default"/>
      </w:rPr>
    </w:lvl>
    <w:lvl w:ilvl="8" w:tplc="04070005" w:tentative="1">
      <w:start w:val="1"/>
      <w:numFmt w:val="bullet"/>
      <w:lvlText w:val=""/>
      <w:lvlJc w:val="left"/>
      <w:pPr>
        <w:tabs>
          <w:tab w:val="num" w:pos="7894"/>
        </w:tabs>
        <w:ind w:left="7894" w:hanging="360"/>
      </w:pPr>
      <w:rPr>
        <w:rFonts w:ascii="Wingdings" w:hAnsi="Wingdings" w:hint="default"/>
      </w:rPr>
    </w:lvl>
  </w:abstractNum>
  <w:abstractNum w:abstractNumId="4">
    <w:nsid w:val="35CC17F7"/>
    <w:multiLevelType w:val="multilevel"/>
    <w:tmpl w:val="0440665E"/>
    <w:lvl w:ilvl="0">
      <w:start w:val="1"/>
      <w:numFmt w:val="decimal"/>
      <w:lvlText w:val="%1."/>
      <w:lvlJc w:val="left"/>
      <w:pPr>
        <w:tabs>
          <w:tab w:val="num" w:pos="720"/>
        </w:tabs>
        <w:ind w:left="720" w:hanging="360"/>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numFmt w:val="none"/>
      <w:lvlText w:val=""/>
      <w:lvlJc w:val="left"/>
      <w:pPr>
        <w:tabs>
          <w:tab w:val="num" w:pos="360"/>
        </w:tabs>
      </w:pPr>
      <w:rPr>
        <w:rFonts w:cs="Times New Roman"/>
      </w:rPr>
    </w:lvl>
  </w:abstractNum>
  <w:abstractNum w:abstractNumId="5">
    <w:nsid w:val="36046D04"/>
    <w:multiLevelType w:val="multilevel"/>
    <w:tmpl w:val="EC66CCCA"/>
    <w:lvl w:ilvl="0">
      <w:start w:val="1"/>
      <w:numFmt w:val="bullet"/>
      <w:lvlText w:val=""/>
      <w:lvlJc w:val="left"/>
      <w:pPr>
        <w:tabs>
          <w:tab w:val="num" w:pos="1571"/>
        </w:tabs>
        <w:ind w:left="1571" w:hanging="360"/>
      </w:pPr>
      <w:rPr>
        <w:rFonts w:ascii="Symbol" w:hAnsi="Symbol"/>
        <w:sz w:val="22"/>
      </w:rPr>
    </w:lvl>
    <w:lvl w:ilvl="1">
      <w:start w:val="1"/>
      <w:numFmt w:val="bullet"/>
      <w:lvlText w:val="o"/>
      <w:lvlJc w:val="left"/>
      <w:pPr>
        <w:tabs>
          <w:tab w:val="num" w:pos="2291"/>
        </w:tabs>
        <w:ind w:left="2291" w:hanging="360"/>
      </w:pPr>
      <w:rPr>
        <w:rFonts w:ascii="Courier New" w:hAnsi="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6">
    <w:nsid w:val="4B361554"/>
    <w:multiLevelType w:val="hybridMultilevel"/>
    <w:tmpl w:val="EC66CCCA"/>
    <w:lvl w:ilvl="0" w:tplc="04070001">
      <w:start w:val="1"/>
      <w:numFmt w:val="bullet"/>
      <w:lvlText w:val=""/>
      <w:lvlJc w:val="left"/>
      <w:pPr>
        <w:tabs>
          <w:tab w:val="num" w:pos="1571"/>
        </w:tabs>
        <w:ind w:left="1571" w:hanging="360"/>
      </w:pPr>
      <w:rPr>
        <w:rFonts w:ascii="Symbol" w:hAnsi="Symbol" w:hint="default"/>
      </w:rPr>
    </w:lvl>
    <w:lvl w:ilvl="1" w:tplc="04070003" w:tentative="1">
      <w:start w:val="1"/>
      <w:numFmt w:val="bullet"/>
      <w:lvlText w:val="o"/>
      <w:lvlJc w:val="left"/>
      <w:pPr>
        <w:tabs>
          <w:tab w:val="num" w:pos="2291"/>
        </w:tabs>
        <w:ind w:left="2291" w:hanging="360"/>
      </w:pPr>
      <w:rPr>
        <w:rFonts w:ascii="Courier New" w:hAnsi="Courier New"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7">
    <w:nsid w:val="54A576F7"/>
    <w:multiLevelType w:val="hybridMultilevel"/>
    <w:tmpl w:val="E74273FC"/>
    <w:lvl w:ilvl="0" w:tplc="0407000F">
      <w:start w:val="1"/>
      <w:numFmt w:val="decimal"/>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
    <w:nsid w:val="5D29287F"/>
    <w:multiLevelType w:val="hybridMultilevel"/>
    <w:tmpl w:val="73C00256"/>
    <w:lvl w:ilvl="0" w:tplc="2382B4D2">
      <w:start w:val="4"/>
      <w:numFmt w:val="decimal"/>
      <w:lvlText w:val="%1"/>
      <w:lvlJc w:val="left"/>
      <w:pPr>
        <w:tabs>
          <w:tab w:val="num" w:pos="930"/>
        </w:tabs>
        <w:ind w:left="930" w:hanging="57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
    <w:nsid w:val="61567838"/>
    <w:multiLevelType w:val="hybridMultilevel"/>
    <w:tmpl w:val="BC4E8EE8"/>
    <w:lvl w:ilvl="0" w:tplc="0407000F">
      <w:start w:val="1"/>
      <w:numFmt w:val="decimal"/>
      <w:lvlText w:val="%1."/>
      <w:lvlJc w:val="left"/>
      <w:pPr>
        <w:tabs>
          <w:tab w:val="num" w:pos="720"/>
        </w:tabs>
        <w:ind w:left="72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
    <w:nsid w:val="63FA3463"/>
    <w:multiLevelType w:val="multilevel"/>
    <w:tmpl w:val="7060B39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1">
    <w:nsid w:val="707767BF"/>
    <w:multiLevelType w:val="multilevel"/>
    <w:tmpl w:val="7060B39E"/>
    <w:lvl w:ilvl="0">
      <w:start w:val="1"/>
      <w:numFmt w:val="decimal"/>
      <w:pStyle w:val="berschrift1"/>
      <w:lvlText w:val="%1"/>
      <w:lvlJc w:val="left"/>
      <w:pPr>
        <w:tabs>
          <w:tab w:val="num" w:pos="432"/>
        </w:tabs>
        <w:ind w:left="432" w:hanging="432"/>
      </w:pPr>
      <w:rPr>
        <w:rFonts w:cs="Times New Roman"/>
      </w:rPr>
    </w:lvl>
    <w:lvl w:ilvl="1">
      <w:start w:val="1"/>
      <w:numFmt w:val="decimal"/>
      <w:pStyle w:val="berschrift2"/>
      <w:lvlText w:val="%1.%2"/>
      <w:lvlJc w:val="left"/>
      <w:pPr>
        <w:tabs>
          <w:tab w:val="num" w:pos="576"/>
        </w:tabs>
        <w:ind w:left="576" w:hanging="576"/>
      </w:pPr>
      <w:rPr>
        <w:rFonts w:cs="Times New Roman"/>
      </w:rPr>
    </w:lvl>
    <w:lvl w:ilvl="2">
      <w:start w:val="1"/>
      <w:numFmt w:val="decimal"/>
      <w:pStyle w:val="berschrift3"/>
      <w:lvlText w:val="%1.%2.%3"/>
      <w:lvlJc w:val="left"/>
      <w:pPr>
        <w:tabs>
          <w:tab w:val="num" w:pos="720"/>
        </w:tabs>
        <w:ind w:left="720" w:hanging="720"/>
      </w:pPr>
      <w:rPr>
        <w:rFonts w:cs="Times New Roman"/>
      </w:rPr>
    </w:lvl>
    <w:lvl w:ilvl="3">
      <w:start w:val="1"/>
      <w:numFmt w:val="decimal"/>
      <w:pStyle w:val="berschrift4"/>
      <w:lvlText w:val="%1.%2.%3.%4"/>
      <w:lvlJc w:val="left"/>
      <w:pPr>
        <w:tabs>
          <w:tab w:val="num" w:pos="864"/>
        </w:tabs>
        <w:ind w:left="864" w:hanging="864"/>
      </w:pPr>
      <w:rPr>
        <w:rFonts w:cs="Times New Roman"/>
      </w:rPr>
    </w:lvl>
    <w:lvl w:ilvl="4">
      <w:start w:val="1"/>
      <w:numFmt w:val="decimal"/>
      <w:pStyle w:val="berschrift5"/>
      <w:lvlText w:val="%1.%2.%3.%4.%5"/>
      <w:lvlJc w:val="left"/>
      <w:pPr>
        <w:tabs>
          <w:tab w:val="num" w:pos="1008"/>
        </w:tabs>
        <w:ind w:left="1008" w:hanging="1008"/>
      </w:pPr>
      <w:rPr>
        <w:rFonts w:cs="Times New Roman"/>
      </w:rPr>
    </w:lvl>
    <w:lvl w:ilvl="5">
      <w:start w:val="1"/>
      <w:numFmt w:val="decimal"/>
      <w:pStyle w:val="berschrift6"/>
      <w:lvlText w:val="%1.%2.%3.%4.%5.%6"/>
      <w:lvlJc w:val="left"/>
      <w:pPr>
        <w:tabs>
          <w:tab w:val="num" w:pos="1152"/>
        </w:tabs>
        <w:ind w:left="1152" w:hanging="1152"/>
      </w:pPr>
      <w:rPr>
        <w:rFonts w:cs="Times New Roman"/>
      </w:rPr>
    </w:lvl>
    <w:lvl w:ilvl="6">
      <w:start w:val="1"/>
      <w:numFmt w:val="decimal"/>
      <w:pStyle w:val="berschrift7"/>
      <w:lvlText w:val="%1.%2.%3.%4.%5.%6.%7"/>
      <w:lvlJc w:val="left"/>
      <w:pPr>
        <w:tabs>
          <w:tab w:val="num" w:pos="1296"/>
        </w:tabs>
        <w:ind w:left="1296" w:hanging="1296"/>
      </w:pPr>
      <w:rPr>
        <w:rFonts w:cs="Times New Roman"/>
      </w:rPr>
    </w:lvl>
    <w:lvl w:ilvl="7">
      <w:start w:val="1"/>
      <w:numFmt w:val="decimal"/>
      <w:pStyle w:val="berschrift8"/>
      <w:lvlText w:val="%1.%2.%3.%4.%5.%6.%7.%8"/>
      <w:lvlJc w:val="left"/>
      <w:pPr>
        <w:tabs>
          <w:tab w:val="num" w:pos="1440"/>
        </w:tabs>
        <w:ind w:left="1440" w:hanging="1440"/>
      </w:pPr>
      <w:rPr>
        <w:rFonts w:cs="Times New Roman"/>
      </w:rPr>
    </w:lvl>
    <w:lvl w:ilvl="8">
      <w:start w:val="1"/>
      <w:numFmt w:val="decimal"/>
      <w:pStyle w:val="berschrift9"/>
      <w:lvlText w:val="%1.%2.%3.%4.%5.%6.%7.%8.%9"/>
      <w:lvlJc w:val="left"/>
      <w:pPr>
        <w:tabs>
          <w:tab w:val="num" w:pos="1584"/>
        </w:tabs>
        <w:ind w:left="1584" w:hanging="1584"/>
      </w:pPr>
      <w:rPr>
        <w:rFonts w:cs="Times New Roman"/>
      </w:rPr>
    </w:lvl>
  </w:abstractNum>
  <w:num w:numId="1">
    <w:abstractNumId w:val="8"/>
  </w:num>
  <w:num w:numId="2">
    <w:abstractNumId w:val="0"/>
  </w:num>
  <w:num w:numId="3">
    <w:abstractNumId w:val="11"/>
  </w:num>
  <w:num w:numId="4">
    <w:abstractNumId w:val="11"/>
  </w:num>
  <w:num w:numId="5">
    <w:abstractNumId w:val="11"/>
  </w:num>
  <w:num w:numId="6">
    <w:abstractNumId w:val="9"/>
  </w:num>
  <w:num w:numId="7">
    <w:abstractNumId w:val="11"/>
  </w:num>
  <w:num w:numId="8">
    <w:abstractNumId w:val="11"/>
  </w:num>
  <w:num w:numId="9">
    <w:abstractNumId w:val="3"/>
  </w:num>
  <w:num w:numId="10">
    <w:abstractNumId w:val="6"/>
  </w:num>
  <w:num w:numId="11">
    <w:abstractNumId w:val="5"/>
  </w:num>
  <w:num w:numId="12">
    <w:abstractNumId w:val="7"/>
  </w:num>
  <w:num w:numId="13">
    <w:abstractNumId w:val="4"/>
  </w:num>
  <w:num w:numId="14">
    <w:abstractNumId w:val="2"/>
  </w:num>
  <w:num w:numId="15">
    <w:abstractNumId w:val="1"/>
  </w:num>
  <w:num w:numId="16">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818"/>
    <w:rsid w:val="00004C39"/>
    <w:rsid w:val="000233C6"/>
    <w:rsid w:val="00033112"/>
    <w:rsid w:val="000364E2"/>
    <w:rsid w:val="00042E6D"/>
    <w:rsid w:val="000641A7"/>
    <w:rsid w:val="00086867"/>
    <w:rsid w:val="00095D52"/>
    <w:rsid w:val="00097E34"/>
    <w:rsid w:val="000B0905"/>
    <w:rsid w:val="000D0F3C"/>
    <w:rsid w:val="000E346F"/>
    <w:rsid w:val="000F1373"/>
    <w:rsid w:val="00106047"/>
    <w:rsid w:val="00113B49"/>
    <w:rsid w:val="001222AB"/>
    <w:rsid w:val="00135BB0"/>
    <w:rsid w:val="00135FE7"/>
    <w:rsid w:val="00161D26"/>
    <w:rsid w:val="00162CBB"/>
    <w:rsid w:val="0016435A"/>
    <w:rsid w:val="001E0E49"/>
    <w:rsid w:val="001F2614"/>
    <w:rsid w:val="002135E8"/>
    <w:rsid w:val="00215746"/>
    <w:rsid w:val="00222F7B"/>
    <w:rsid w:val="00260D98"/>
    <w:rsid w:val="00265F78"/>
    <w:rsid w:val="0026766F"/>
    <w:rsid w:val="00277BC1"/>
    <w:rsid w:val="0028051D"/>
    <w:rsid w:val="00294331"/>
    <w:rsid w:val="002A02A3"/>
    <w:rsid w:val="002A3DB5"/>
    <w:rsid w:val="002B169D"/>
    <w:rsid w:val="002B47FC"/>
    <w:rsid w:val="002B683F"/>
    <w:rsid w:val="002C4722"/>
    <w:rsid w:val="00314E5E"/>
    <w:rsid w:val="00346C62"/>
    <w:rsid w:val="00357A5F"/>
    <w:rsid w:val="0039030E"/>
    <w:rsid w:val="003A57CC"/>
    <w:rsid w:val="003B1654"/>
    <w:rsid w:val="003C2268"/>
    <w:rsid w:val="003C4848"/>
    <w:rsid w:val="003C53D0"/>
    <w:rsid w:val="003E76E9"/>
    <w:rsid w:val="003F73E2"/>
    <w:rsid w:val="004002F7"/>
    <w:rsid w:val="00430369"/>
    <w:rsid w:val="00431D12"/>
    <w:rsid w:val="004369DC"/>
    <w:rsid w:val="00440A96"/>
    <w:rsid w:val="00443C40"/>
    <w:rsid w:val="004648A4"/>
    <w:rsid w:val="004662F9"/>
    <w:rsid w:val="00486369"/>
    <w:rsid w:val="00493F86"/>
    <w:rsid w:val="004A099D"/>
    <w:rsid w:val="004A47FF"/>
    <w:rsid w:val="004B23D3"/>
    <w:rsid w:val="004F061E"/>
    <w:rsid w:val="004F2824"/>
    <w:rsid w:val="004F2E89"/>
    <w:rsid w:val="00516132"/>
    <w:rsid w:val="005269EA"/>
    <w:rsid w:val="0053015C"/>
    <w:rsid w:val="00533846"/>
    <w:rsid w:val="005348B2"/>
    <w:rsid w:val="005434C4"/>
    <w:rsid w:val="00554550"/>
    <w:rsid w:val="005549FF"/>
    <w:rsid w:val="005577AF"/>
    <w:rsid w:val="00562E1E"/>
    <w:rsid w:val="00563F36"/>
    <w:rsid w:val="005761BB"/>
    <w:rsid w:val="005B5818"/>
    <w:rsid w:val="005F1C1F"/>
    <w:rsid w:val="0060416D"/>
    <w:rsid w:val="00616265"/>
    <w:rsid w:val="0063524D"/>
    <w:rsid w:val="00642332"/>
    <w:rsid w:val="006542C3"/>
    <w:rsid w:val="0065588F"/>
    <w:rsid w:val="00664805"/>
    <w:rsid w:val="00683E8B"/>
    <w:rsid w:val="00684589"/>
    <w:rsid w:val="006845C9"/>
    <w:rsid w:val="006902F9"/>
    <w:rsid w:val="00690B4B"/>
    <w:rsid w:val="0069180A"/>
    <w:rsid w:val="00697601"/>
    <w:rsid w:val="006C4BCC"/>
    <w:rsid w:val="006D1EAC"/>
    <w:rsid w:val="006E1FA9"/>
    <w:rsid w:val="0070740D"/>
    <w:rsid w:val="00750E28"/>
    <w:rsid w:val="007538DB"/>
    <w:rsid w:val="0075560F"/>
    <w:rsid w:val="00756278"/>
    <w:rsid w:val="00782F34"/>
    <w:rsid w:val="007925CA"/>
    <w:rsid w:val="00793843"/>
    <w:rsid w:val="007A1831"/>
    <w:rsid w:val="007A49AD"/>
    <w:rsid w:val="00802521"/>
    <w:rsid w:val="00807AA2"/>
    <w:rsid w:val="00807F54"/>
    <w:rsid w:val="00820168"/>
    <w:rsid w:val="0082667D"/>
    <w:rsid w:val="00884205"/>
    <w:rsid w:val="00885CFA"/>
    <w:rsid w:val="008A0E5F"/>
    <w:rsid w:val="008A37BA"/>
    <w:rsid w:val="008C2D0E"/>
    <w:rsid w:val="008D2718"/>
    <w:rsid w:val="008D763E"/>
    <w:rsid w:val="008F33D5"/>
    <w:rsid w:val="008F5596"/>
    <w:rsid w:val="008F5ECB"/>
    <w:rsid w:val="008F677F"/>
    <w:rsid w:val="009255E6"/>
    <w:rsid w:val="009852E6"/>
    <w:rsid w:val="0098621D"/>
    <w:rsid w:val="0099132E"/>
    <w:rsid w:val="00997A4D"/>
    <w:rsid w:val="009B3CB6"/>
    <w:rsid w:val="009C2F3B"/>
    <w:rsid w:val="009D242F"/>
    <w:rsid w:val="00A024A8"/>
    <w:rsid w:val="00A477F3"/>
    <w:rsid w:val="00A52734"/>
    <w:rsid w:val="00A77E89"/>
    <w:rsid w:val="00A87C8C"/>
    <w:rsid w:val="00A95309"/>
    <w:rsid w:val="00A95A63"/>
    <w:rsid w:val="00A96BF2"/>
    <w:rsid w:val="00AA26E7"/>
    <w:rsid w:val="00AA3CFD"/>
    <w:rsid w:val="00AA59E8"/>
    <w:rsid w:val="00AC0304"/>
    <w:rsid w:val="00AC345D"/>
    <w:rsid w:val="00AD241F"/>
    <w:rsid w:val="00AE7906"/>
    <w:rsid w:val="00AF03CC"/>
    <w:rsid w:val="00B0161E"/>
    <w:rsid w:val="00B1073A"/>
    <w:rsid w:val="00B1660B"/>
    <w:rsid w:val="00B16EE8"/>
    <w:rsid w:val="00B6512A"/>
    <w:rsid w:val="00B70CD3"/>
    <w:rsid w:val="00B90507"/>
    <w:rsid w:val="00BC2918"/>
    <w:rsid w:val="00BD5160"/>
    <w:rsid w:val="00BE4CC9"/>
    <w:rsid w:val="00BF09CB"/>
    <w:rsid w:val="00BF2999"/>
    <w:rsid w:val="00C154C2"/>
    <w:rsid w:val="00C15EA9"/>
    <w:rsid w:val="00C309B1"/>
    <w:rsid w:val="00C43796"/>
    <w:rsid w:val="00C47BE9"/>
    <w:rsid w:val="00C5418E"/>
    <w:rsid w:val="00C60D46"/>
    <w:rsid w:val="00C62218"/>
    <w:rsid w:val="00C700B3"/>
    <w:rsid w:val="00C75E0E"/>
    <w:rsid w:val="00C82BC5"/>
    <w:rsid w:val="00CB0BBB"/>
    <w:rsid w:val="00CD4FA2"/>
    <w:rsid w:val="00CD51FD"/>
    <w:rsid w:val="00CE3DF9"/>
    <w:rsid w:val="00CE40EE"/>
    <w:rsid w:val="00CE6591"/>
    <w:rsid w:val="00D004D0"/>
    <w:rsid w:val="00D00B4F"/>
    <w:rsid w:val="00D14191"/>
    <w:rsid w:val="00D34708"/>
    <w:rsid w:val="00D53B5D"/>
    <w:rsid w:val="00D671A5"/>
    <w:rsid w:val="00DC7122"/>
    <w:rsid w:val="00DD08BA"/>
    <w:rsid w:val="00DE5E01"/>
    <w:rsid w:val="00DF2A80"/>
    <w:rsid w:val="00E232D3"/>
    <w:rsid w:val="00E2796D"/>
    <w:rsid w:val="00E27C6A"/>
    <w:rsid w:val="00E33B6D"/>
    <w:rsid w:val="00E40873"/>
    <w:rsid w:val="00E561B8"/>
    <w:rsid w:val="00E577A4"/>
    <w:rsid w:val="00E66568"/>
    <w:rsid w:val="00E87AEF"/>
    <w:rsid w:val="00E93323"/>
    <w:rsid w:val="00E94AAC"/>
    <w:rsid w:val="00E95CFE"/>
    <w:rsid w:val="00EE07DC"/>
    <w:rsid w:val="00EE6D93"/>
    <w:rsid w:val="00EF1568"/>
    <w:rsid w:val="00F05B26"/>
    <w:rsid w:val="00F22950"/>
    <w:rsid w:val="00F311FB"/>
    <w:rsid w:val="00F32D41"/>
    <w:rsid w:val="00F37A73"/>
    <w:rsid w:val="00F43BE8"/>
    <w:rsid w:val="00F53012"/>
    <w:rsid w:val="00FA15BA"/>
    <w:rsid w:val="00FA6EBF"/>
    <w:rsid w:val="00FA7FC5"/>
    <w:rsid w:val="00FD0B6D"/>
    <w:rsid w:val="00FD7E46"/>
    <w:rsid w:val="00FE1DCB"/>
    <w:rsid w:val="00FE61C8"/>
    <w:rsid w:val="00FF320E"/>
    <w:rsid w:val="00FF37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sid w:val="008F33D5"/>
    <w:pPr>
      <w:spacing w:after="120"/>
      <w:jc w:val="both"/>
    </w:pPr>
    <w:rPr>
      <w:rFonts w:ascii="Arial" w:hAnsi="Arial"/>
      <w:szCs w:val="20"/>
      <w:lang w:val="nb-NO"/>
    </w:rPr>
  </w:style>
  <w:style w:type="paragraph" w:styleId="berschrift1">
    <w:name w:val="heading 1"/>
    <w:basedOn w:val="Standard"/>
    <w:next w:val="Standard"/>
    <w:link w:val="berschrift1Zchn"/>
    <w:uiPriority w:val="99"/>
    <w:qFormat/>
    <w:rsid w:val="00D004D0"/>
    <w:pPr>
      <w:numPr>
        <w:numId w:val="3"/>
      </w:numPr>
      <w:tabs>
        <w:tab w:val="left" w:pos="851"/>
      </w:tabs>
      <w:spacing w:before="360"/>
      <w:ind w:left="851" w:hanging="851"/>
      <w:jc w:val="left"/>
      <w:outlineLvl w:val="0"/>
    </w:pPr>
    <w:rPr>
      <w:rFonts w:cs="Arial"/>
      <w:b/>
      <w:sz w:val="28"/>
      <w:szCs w:val="28"/>
      <w:lang w:val="en-GB"/>
    </w:rPr>
  </w:style>
  <w:style w:type="paragraph" w:styleId="berschrift2">
    <w:name w:val="heading 2"/>
    <w:basedOn w:val="berschrift1"/>
    <w:next w:val="Standard"/>
    <w:link w:val="berschrift2Zchn"/>
    <w:uiPriority w:val="99"/>
    <w:qFormat/>
    <w:rsid w:val="00D004D0"/>
    <w:pPr>
      <w:numPr>
        <w:ilvl w:val="1"/>
      </w:numPr>
      <w:spacing w:before="120"/>
      <w:outlineLvl w:val="1"/>
    </w:pPr>
    <w:rPr>
      <w:sz w:val="24"/>
    </w:rPr>
  </w:style>
  <w:style w:type="paragraph" w:styleId="berschrift3">
    <w:name w:val="heading 3"/>
    <w:basedOn w:val="berschrift2"/>
    <w:next w:val="Standard"/>
    <w:link w:val="berschrift3Zchn"/>
    <w:uiPriority w:val="99"/>
    <w:qFormat/>
    <w:rsid w:val="00D004D0"/>
    <w:pPr>
      <w:numPr>
        <w:ilvl w:val="2"/>
      </w:numPr>
      <w:outlineLvl w:val="2"/>
    </w:pPr>
    <w:rPr>
      <w:i/>
      <w:sz w:val="22"/>
    </w:rPr>
  </w:style>
  <w:style w:type="paragraph" w:styleId="berschrift4">
    <w:name w:val="heading 4"/>
    <w:basedOn w:val="Standard"/>
    <w:next w:val="Standard"/>
    <w:link w:val="berschrift4Zchn"/>
    <w:uiPriority w:val="99"/>
    <w:qFormat/>
    <w:rsid w:val="00D004D0"/>
    <w:pPr>
      <w:numPr>
        <w:ilvl w:val="3"/>
        <w:numId w:val="3"/>
      </w:numPr>
      <w:outlineLvl w:val="3"/>
    </w:pPr>
    <w:rPr>
      <w:u w:val="single"/>
    </w:rPr>
  </w:style>
  <w:style w:type="paragraph" w:styleId="berschrift5">
    <w:name w:val="heading 5"/>
    <w:basedOn w:val="Standard"/>
    <w:next w:val="Standard"/>
    <w:link w:val="berschrift5Zchn"/>
    <w:uiPriority w:val="99"/>
    <w:qFormat/>
    <w:rsid w:val="00D004D0"/>
    <w:pPr>
      <w:numPr>
        <w:ilvl w:val="4"/>
        <w:numId w:val="3"/>
      </w:numPr>
      <w:outlineLvl w:val="4"/>
    </w:pPr>
    <w:rPr>
      <w:b/>
      <w:sz w:val="20"/>
    </w:rPr>
  </w:style>
  <w:style w:type="paragraph" w:styleId="berschrift6">
    <w:name w:val="heading 6"/>
    <w:basedOn w:val="Standard"/>
    <w:next w:val="Standard"/>
    <w:link w:val="berschrift6Zchn"/>
    <w:uiPriority w:val="99"/>
    <w:qFormat/>
    <w:rsid w:val="00D004D0"/>
    <w:pPr>
      <w:numPr>
        <w:ilvl w:val="5"/>
        <w:numId w:val="3"/>
      </w:numPr>
      <w:outlineLvl w:val="5"/>
    </w:pPr>
    <w:rPr>
      <w:sz w:val="20"/>
      <w:u w:val="single"/>
    </w:rPr>
  </w:style>
  <w:style w:type="paragraph" w:styleId="berschrift7">
    <w:name w:val="heading 7"/>
    <w:basedOn w:val="Standard"/>
    <w:next w:val="Standard"/>
    <w:link w:val="berschrift7Zchn"/>
    <w:uiPriority w:val="99"/>
    <w:qFormat/>
    <w:rsid w:val="00D004D0"/>
    <w:pPr>
      <w:numPr>
        <w:ilvl w:val="6"/>
        <w:numId w:val="3"/>
      </w:numPr>
      <w:outlineLvl w:val="6"/>
    </w:pPr>
    <w:rPr>
      <w:i/>
      <w:sz w:val="20"/>
    </w:rPr>
  </w:style>
  <w:style w:type="paragraph" w:styleId="berschrift8">
    <w:name w:val="heading 8"/>
    <w:basedOn w:val="Standard"/>
    <w:next w:val="Standard"/>
    <w:link w:val="berschrift8Zchn"/>
    <w:uiPriority w:val="99"/>
    <w:qFormat/>
    <w:rsid w:val="00D004D0"/>
    <w:pPr>
      <w:numPr>
        <w:ilvl w:val="7"/>
        <w:numId w:val="3"/>
      </w:numPr>
      <w:outlineLvl w:val="7"/>
    </w:pPr>
    <w:rPr>
      <w:i/>
      <w:sz w:val="20"/>
    </w:rPr>
  </w:style>
  <w:style w:type="paragraph" w:styleId="berschrift9">
    <w:name w:val="heading 9"/>
    <w:basedOn w:val="Standard"/>
    <w:next w:val="Standard"/>
    <w:link w:val="berschrift9Zchn"/>
    <w:uiPriority w:val="99"/>
    <w:qFormat/>
    <w:rsid w:val="00D004D0"/>
    <w:pPr>
      <w:numPr>
        <w:ilvl w:val="8"/>
        <w:numId w:val="3"/>
      </w:numPr>
      <w:outlineLvl w:val="8"/>
    </w:pPr>
    <w:rPr>
      <w:i/>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Pr>
      <w:rFonts w:ascii="Cambria" w:hAnsi="Cambria" w:cs="Times New Roman"/>
      <w:b/>
      <w:bCs/>
      <w:kern w:val="32"/>
      <w:sz w:val="32"/>
      <w:szCs w:val="32"/>
      <w:lang w:val="nb-NO"/>
    </w:rPr>
  </w:style>
  <w:style w:type="character" w:customStyle="1" w:styleId="berschrift2Zchn">
    <w:name w:val="Überschrift 2 Zchn"/>
    <w:basedOn w:val="Absatz-Standardschriftart"/>
    <w:link w:val="berschrift2"/>
    <w:uiPriority w:val="99"/>
    <w:semiHidden/>
    <w:locked/>
    <w:rPr>
      <w:rFonts w:ascii="Cambria" w:hAnsi="Cambria" w:cs="Times New Roman"/>
      <w:b/>
      <w:bCs/>
      <w:i/>
      <w:iCs/>
      <w:sz w:val="28"/>
      <w:szCs w:val="28"/>
      <w:lang w:val="nb-NO"/>
    </w:rPr>
  </w:style>
  <w:style w:type="character" w:customStyle="1" w:styleId="berschrift3Zchn">
    <w:name w:val="Überschrift 3 Zchn"/>
    <w:basedOn w:val="Absatz-Standardschriftart"/>
    <w:link w:val="berschrift3"/>
    <w:uiPriority w:val="99"/>
    <w:semiHidden/>
    <w:locked/>
    <w:rPr>
      <w:rFonts w:ascii="Cambria" w:hAnsi="Cambria" w:cs="Times New Roman"/>
      <w:b/>
      <w:bCs/>
      <w:sz w:val="26"/>
      <w:szCs w:val="26"/>
      <w:lang w:val="nb-NO"/>
    </w:rPr>
  </w:style>
  <w:style w:type="character" w:customStyle="1" w:styleId="berschrift4Zchn">
    <w:name w:val="Überschrift 4 Zchn"/>
    <w:basedOn w:val="Absatz-Standardschriftart"/>
    <w:link w:val="berschrift4"/>
    <w:uiPriority w:val="99"/>
    <w:semiHidden/>
    <w:locked/>
    <w:rPr>
      <w:rFonts w:ascii="Calibri" w:hAnsi="Calibri" w:cs="Times New Roman"/>
      <w:b/>
      <w:bCs/>
      <w:sz w:val="28"/>
      <w:szCs w:val="28"/>
      <w:lang w:val="nb-NO"/>
    </w:rPr>
  </w:style>
  <w:style w:type="character" w:customStyle="1" w:styleId="berschrift5Zchn">
    <w:name w:val="Überschrift 5 Zchn"/>
    <w:basedOn w:val="Absatz-Standardschriftart"/>
    <w:link w:val="berschrift5"/>
    <w:uiPriority w:val="99"/>
    <w:semiHidden/>
    <w:locked/>
    <w:rPr>
      <w:rFonts w:ascii="Calibri" w:hAnsi="Calibri" w:cs="Times New Roman"/>
      <w:b/>
      <w:bCs/>
      <w:i/>
      <w:iCs/>
      <w:sz w:val="26"/>
      <w:szCs w:val="26"/>
      <w:lang w:val="nb-NO"/>
    </w:rPr>
  </w:style>
  <w:style w:type="character" w:customStyle="1" w:styleId="berschrift6Zchn">
    <w:name w:val="Überschrift 6 Zchn"/>
    <w:basedOn w:val="Absatz-Standardschriftart"/>
    <w:link w:val="berschrift6"/>
    <w:uiPriority w:val="99"/>
    <w:semiHidden/>
    <w:locked/>
    <w:rPr>
      <w:rFonts w:ascii="Calibri" w:hAnsi="Calibri" w:cs="Times New Roman"/>
      <w:b/>
      <w:bCs/>
      <w:lang w:val="nb-NO"/>
    </w:rPr>
  </w:style>
  <w:style w:type="character" w:customStyle="1" w:styleId="berschrift7Zchn">
    <w:name w:val="Überschrift 7 Zchn"/>
    <w:basedOn w:val="Absatz-Standardschriftart"/>
    <w:link w:val="berschrift7"/>
    <w:uiPriority w:val="99"/>
    <w:semiHidden/>
    <w:locked/>
    <w:rPr>
      <w:rFonts w:ascii="Calibri" w:hAnsi="Calibri" w:cs="Times New Roman"/>
      <w:sz w:val="24"/>
      <w:szCs w:val="24"/>
      <w:lang w:val="nb-NO"/>
    </w:rPr>
  </w:style>
  <w:style w:type="character" w:customStyle="1" w:styleId="berschrift8Zchn">
    <w:name w:val="Überschrift 8 Zchn"/>
    <w:basedOn w:val="Absatz-Standardschriftart"/>
    <w:link w:val="berschrift8"/>
    <w:uiPriority w:val="99"/>
    <w:semiHidden/>
    <w:locked/>
    <w:rPr>
      <w:rFonts w:ascii="Calibri" w:hAnsi="Calibri" w:cs="Times New Roman"/>
      <w:i/>
      <w:iCs/>
      <w:sz w:val="24"/>
      <w:szCs w:val="24"/>
      <w:lang w:val="nb-NO"/>
    </w:rPr>
  </w:style>
  <w:style w:type="character" w:customStyle="1" w:styleId="berschrift9Zchn">
    <w:name w:val="Überschrift 9 Zchn"/>
    <w:basedOn w:val="Absatz-Standardschriftart"/>
    <w:link w:val="berschrift9"/>
    <w:uiPriority w:val="99"/>
    <w:semiHidden/>
    <w:locked/>
    <w:rPr>
      <w:rFonts w:ascii="Cambria" w:hAnsi="Cambria" w:cs="Times New Roman"/>
      <w:lang w:val="nb-NO"/>
    </w:rPr>
  </w:style>
  <w:style w:type="paragraph" w:styleId="Sprechblasentext">
    <w:name w:val="Balloon Text"/>
    <w:basedOn w:val="Standard"/>
    <w:link w:val="SprechblasentextZchn"/>
    <w:uiPriority w:val="99"/>
    <w:semiHidden/>
    <w:rsid w:val="00E66568"/>
    <w:pPr>
      <w:spacing w:after="0"/>
      <w:jc w:val="left"/>
    </w:pPr>
    <w:rPr>
      <w:rFonts w:ascii="Tahoma" w:eastAsia="MS Mincho" w:hAnsi="Tahoma" w:cs="Tahoma"/>
      <w:sz w:val="16"/>
      <w:szCs w:val="16"/>
      <w:lang w:val="de-DE" w:eastAsia="ja-JP"/>
    </w:rPr>
  </w:style>
  <w:style w:type="character" w:customStyle="1" w:styleId="SprechblasentextZchn">
    <w:name w:val="Sprechblasentext Zchn"/>
    <w:basedOn w:val="Absatz-Standardschriftart"/>
    <w:link w:val="Sprechblasentext"/>
    <w:uiPriority w:val="99"/>
    <w:semiHidden/>
    <w:locked/>
    <w:rPr>
      <w:rFonts w:cs="Times New Roman"/>
      <w:sz w:val="2"/>
      <w:lang w:val="nb-NO"/>
    </w:rPr>
  </w:style>
  <w:style w:type="paragraph" w:styleId="Kopfzeile">
    <w:name w:val="header"/>
    <w:basedOn w:val="Standard"/>
    <w:link w:val="KopfzeileZchn"/>
    <w:uiPriority w:val="99"/>
    <w:rsid w:val="0098621D"/>
    <w:pPr>
      <w:tabs>
        <w:tab w:val="center" w:pos="4536"/>
        <w:tab w:val="right" w:pos="9072"/>
      </w:tabs>
      <w:spacing w:after="0"/>
      <w:jc w:val="left"/>
    </w:pPr>
    <w:rPr>
      <w:b/>
    </w:rPr>
  </w:style>
  <w:style w:type="character" w:customStyle="1" w:styleId="KopfzeileZchn">
    <w:name w:val="Kopfzeile Zchn"/>
    <w:basedOn w:val="Absatz-Standardschriftart"/>
    <w:link w:val="Kopfzeile"/>
    <w:uiPriority w:val="99"/>
    <w:semiHidden/>
    <w:locked/>
    <w:rPr>
      <w:rFonts w:ascii="Arial" w:hAnsi="Arial" w:cs="Times New Roman"/>
      <w:sz w:val="20"/>
      <w:szCs w:val="20"/>
      <w:lang w:val="nb-NO"/>
    </w:rPr>
  </w:style>
  <w:style w:type="paragraph" w:styleId="Liste">
    <w:name w:val="List"/>
    <w:basedOn w:val="Standard"/>
    <w:uiPriority w:val="99"/>
    <w:rsid w:val="00135FE7"/>
    <w:pPr>
      <w:tabs>
        <w:tab w:val="left" w:pos="1418"/>
      </w:tabs>
      <w:ind w:left="1418" w:hanging="567"/>
    </w:pPr>
  </w:style>
  <w:style w:type="paragraph" w:customStyle="1" w:styleId="Kopfzeile1">
    <w:name w:val="Kopfzeile1"/>
    <w:basedOn w:val="Kopfzeile"/>
    <w:uiPriority w:val="99"/>
    <w:rsid w:val="00215746"/>
  </w:style>
  <w:style w:type="character" w:styleId="Funotenzeichen">
    <w:name w:val="footnote reference"/>
    <w:basedOn w:val="Absatz-Standardschriftart"/>
    <w:uiPriority w:val="99"/>
    <w:semiHidden/>
    <w:rsid w:val="00E94AAC"/>
    <w:rPr>
      <w:rFonts w:cs="Times New Roman"/>
      <w:position w:val="6"/>
      <w:sz w:val="16"/>
    </w:rPr>
  </w:style>
  <w:style w:type="paragraph" w:styleId="Funotentext">
    <w:name w:val="footnote text"/>
    <w:basedOn w:val="Standard"/>
    <w:link w:val="FunotentextZchn"/>
    <w:uiPriority w:val="99"/>
    <w:semiHidden/>
    <w:rsid w:val="00E94AAC"/>
    <w:rPr>
      <w:sz w:val="20"/>
    </w:rPr>
  </w:style>
  <w:style w:type="character" w:customStyle="1" w:styleId="FunotentextZchn">
    <w:name w:val="Fußnotentext Zchn"/>
    <w:basedOn w:val="Absatz-Standardschriftart"/>
    <w:link w:val="Funotentext"/>
    <w:uiPriority w:val="99"/>
    <w:semiHidden/>
    <w:locked/>
    <w:rPr>
      <w:rFonts w:ascii="Arial" w:hAnsi="Arial" w:cs="Times New Roman"/>
      <w:sz w:val="20"/>
      <w:szCs w:val="20"/>
      <w:lang w:val="nb-NO"/>
    </w:rPr>
  </w:style>
  <w:style w:type="character" w:styleId="Seitenzahl">
    <w:name w:val="page number"/>
    <w:basedOn w:val="Absatz-Standardschriftart"/>
    <w:uiPriority w:val="99"/>
    <w:rsid w:val="00E94AAC"/>
    <w:rPr>
      <w:rFonts w:cs="Times New Roman"/>
    </w:rPr>
  </w:style>
  <w:style w:type="paragraph" w:styleId="Dokumentstruktur">
    <w:name w:val="Document Map"/>
    <w:basedOn w:val="Standard"/>
    <w:link w:val="DokumentstrukturZchn"/>
    <w:uiPriority w:val="99"/>
    <w:semiHidden/>
    <w:rsid w:val="00E94AAC"/>
    <w:pPr>
      <w:shd w:val="clear" w:color="auto" w:fill="000080"/>
    </w:pPr>
    <w:rPr>
      <w:rFonts w:ascii="Tahoma" w:hAnsi="Tahoma"/>
    </w:rPr>
  </w:style>
  <w:style w:type="character" w:customStyle="1" w:styleId="DokumentstrukturZchn">
    <w:name w:val="Dokumentstruktur Zchn"/>
    <w:basedOn w:val="Absatz-Standardschriftart"/>
    <w:link w:val="Dokumentstruktur"/>
    <w:uiPriority w:val="99"/>
    <w:semiHidden/>
    <w:locked/>
    <w:rPr>
      <w:rFonts w:cs="Times New Roman"/>
      <w:sz w:val="2"/>
      <w:lang w:val="nb-NO"/>
    </w:rPr>
  </w:style>
  <w:style w:type="paragraph" w:styleId="Abbildungsverzeichnis">
    <w:name w:val="table of figures"/>
    <w:basedOn w:val="Standard"/>
    <w:next w:val="Standard"/>
    <w:uiPriority w:val="99"/>
    <w:semiHidden/>
    <w:rsid w:val="00E94AAC"/>
    <w:pPr>
      <w:ind w:left="400" w:hanging="400"/>
    </w:pPr>
    <w:rPr>
      <w:sz w:val="20"/>
      <w:lang w:val="de-DE"/>
    </w:rPr>
  </w:style>
  <w:style w:type="paragraph" w:styleId="Titel">
    <w:name w:val="Title"/>
    <w:basedOn w:val="Standard"/>
    <w:link w:val="TitelZchn"/>
    <w:uiPriority w:val="99"/>
    <w:qFormat/>
    <w:rsid w:val="00B70CD3"/>
    <w:pPr>
      <w:jc w:val="center"/>
    </w:pPr>
    <w:rPr>
      <w:b/>
      <w:sz w:val="28"/>
      <w:lang w:val="de-DE"/>
    </w:rPr>
  </w:style>
  <w:style w:type="character" w:customStyle="1" w:styleId="TitelZchn">
    <w:name w:val="Titel Zchn"/>
    <w:basedOn w:val="Absatz-Standardschriftart"/>
    <w:link w:val="Titel"/>
    <w:uiPriority w:val="99"/>
    <w:locked/>
    <w:rPr>
      <w:rFonts w:ascii="Cambria" w:hAnsi="Cambria" w:cs="Times New Roman"/>
      <w:b/>
      <w:bCs/>
      <w:kern w:val="28"/>
      <w:sz w:val="32"/>
      <w:szCs w:val="32"/>
      <w:lang w:val="nb-NO"/>
    </w:rPr>
  </w:style>
  <w:style w:type="paragraph" w:customStyle="1" w:styleId="Kasten">
    <w:name w:val="Kasten"/>
    <w:basedOn w:val="Standard"/>
    <w:uiPriority w:val="99"/>
    <w:rsid w:val="000641A7"/>
    <w:pPr>
      <w:pBdr>
        <w:top w:val="single" w:sz="12" w:space="1" w:color="auto"/>
        <w:left w:val="single" w:sz="12" w:space="4" w:color="auto"/>
        <w:bottom w:val="single" w:sz="12" w:space="1" w:color="auto"/>
        <w:right w:val="single" w:sz="12" w:space="4" w:color="auto"/>
      </w:pBdr>
    </w:pPr>
  </w:style>
  <w:style w:type="character" w:styleId="Hyperlink">
    <w:name w:val="Hyperlink"/>
    <w:basedOn w:val="Absatz-Standardschriftart"/>
    <w:uiPriority w:val="99"/>
    <w:rsid w:val="003C53D0"/>
    <w:rPr>
      <w:rFonts w:cs="Times New Roman"/>
      <w:color w:val="0000FF"/>
      <w:u w:val="single"/>
    </w:rPr>
  </w:style>
  <w:style w:type="paragraph" w:customStyle="1" w:styleId="Note">
    <w:name w:val="Note"/>
    <w:basedOn w:val="Standard"/>
    <w:next w:val="Standard"/>
    <w:uiPriority w:val="99"/>
    <w:rsid w:val="00DE5E01"/>
    <w:pPr>
      <w:tabs>
        <w:tab w:val="left" w:pos="851"/>
      </w:tabs>
      <w:ind w:left="851" w:hanging="851"/>
    </w:pPr>
    <w:rPr>
      <w:b/>
      <w:lang w:val="en-GB"/>
    </w:rPr>
  </w:style>
  <w:style w:type="paragraph" w:customStyle="1" w:styleId="Header1">
    <w:name w:val="Header1"/>
    <w:basedOn w:val="Kopfzeile"/>
    <w:link w:val="HeaderZchnZchn"/>
    <w:uiPriority w:val="99"/>
    <w:rsid w:val="00493F86"/>
    <w:pPr>
      <w:spacing w:before="60"/>
    </w:pPr>
    <w:rPr>
      <w:lang w:eastAsia="ja-JP"/>
    </w:rPr>
  </w:style>
  <w:style w:type="character" w:customStyle="1" w:styleId="HeaderZchnZchn">
    <w:name w:val="Header Zchn Zchn"/>
    <w:link w:val="Header1"/>
    <w:uiPriority w:val="99"/>
    <w:locked/>
    <w:rsid w:val="00493F86"/>
    <w:rPr>
      <w:rFonts w:ascii="Arial" w:hAnsi="Arial"/>
      <w:b/>
      <w:sz w:val="22"/>
      <w:lang w:val="nb-NO"/>
    </w:rPr>
  </w:style>
  <w:style w:type="paragraph" w:styleId="KeinLeerraum">
    <w:name w:val="No Spacing"/>
    <w:uiPriority w:val="99"/>
    <w:qFormat/>
    <w:rsid w:val="002135E8"/>
    <w:pPr>
      <w:jc w:val="both"/>
    </w:pPr>
    <w:rPr>
      <w:rFonts w:ascii="Arial" w:hAnsi="Arial"/>
      <w:szCs w:val="20"/>
      <w:lang w:val="nb-NO"/>
    </w:rPr>
  </w:style>
  <w:style w:type="paragraph" w:customStyle="1" w:styleId="ECCParagraph">
    <w:name w:val="ECC Paragraph"/>
    <w:basedOn w:val="Standard"/>
    <w:uiPriority w:val="99"/>
    <w:rsid w:val="00885CFA"/>
    <w:pPr>
      <w:spacing w:after="240"/>
    </w:pPr>
    <w:rPr>
      <w:sz w:val="20"/>
      <w:szCs w:val="24"/>
      <w:lang w:val="en-GB" w:eastAsia="en-US"/>
    </w:rPr>
  </w:style>
  <w:style w:type="paragraph" w:styleId="Beschriftung">
    <w:name w:val="caption"/>
    <w:aliases w:val="Ca,Figure-caption,CAPTION,Figure Caption,Figure-caption1,CAPTION1,Figure Caption1,Figure-caption2,CAPTION2,Figure Caption2,Figure-caption3,CAPTION3,Figure Caption3,Figure-caption4,CAPTION4,Figure Caption4,Figure-caption5,CAPTION5"/>
    <w:basedOn w:val="Standard"/>
    <w:next w:val="Standard"/>
    <w:link w:val="BeschriftungZchn"/>
    <w:autoRedefine/>
    <w:uiPriority w:val="99"/>
    <w:qFormat/>
    <w:locked/>
    <w:rsid w:val="00885CFA"/>
    <w:pPr>
      <w:tabs>
        <w:tab w:val="left" w:pos="794"/>
        <w:tab w:val="left" w:pos="1191"/>
        <w:tab w:val="left" w:pos="1588"/>
        <w:tab w:val="left" w:pos="1985"/>
      </w:tabs>
      <w:suppressAutoHyphens/>
      <w:overflowPunct w:val="0"/>
      <w:autoSpaceDE w:val="0"/>
      <w:autoSpaceDN w:val="0"/>
      <w:adjustRightInd w:val="0"/>
      <w:spacing w:before="120" w:after="40"/>
      <w:jc w:val="center"/>
      <w:textAlignment w:val="baseline"/>
    </w:pPr>
    <w:rPr>
      <w:rFonts w:ascii="Times New Roman" w:hAnsi="Times New Roman"/>
      <w:sz w:val="20"/>
      <w:lang w:val="en-GB" w:eastAsia="ar-SA"/>
    </w:rPr>
  </w:style>
  <w:style w:type="character" w:customStyle="1" w:styleId="BeschriftungZchn">
    <w:name w:val="Beschriftung Zchn"/>
    <w:aliases w:val="Ca Zchn,Figure-caption Zchn,CAPTION Zchn,Figure Caption Zchn,Figure-caption1 Zchn,CAPTION1 Zchn,Figure Caption1 Zchn,Figure-caption2 Zchn,CAPTION2 Zchn,Figure Caption2 Zchn,Figure-caption3 Zchn,CAPTION3 Zchn,Figure Caption3 Zchn"/>
    <w:link w:val="Beschriftung"/>
    <w:uiPriority w:val="99"/>
    <w:locked/>
    <w:rsid w:val="00885CFA"/>
    <w:rPr>
      <w:lang w:val="en-GB" w:eastAsia="ar-SA"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sid w:val="008F33D5"/>
    <w:pPr>
      <w:spacing w:after="120"/>
      <w:jc w:val="both"/>
    </w:pPr>
    <w:rPr>
      <w:rFonts w:ascii="Arial" w:hAnsi="Arial"/>
      <w:szCs w:val="20"/>
      <w:lang w:val="nb-NO"/>
    </w:rPr>
  </w:style>
  <w:style w:type="paragraph" w:styleId="berschrift1">
    <w:name w:val="heading 1"/>
    <w:basedOn w:val="Standard"/>
    <w:next w:val="Standard"/>
    <w:link w:val="berschrift1Zchn"/>
    <w:uiPriority w:val="99"/>
    <w:qFormat/>
    <w:rsid w:val="00D004D0"/>
    <w:pPr>
      <w:numPr>
        <w:numId w:val="3"/>
      </w:numPr>
      <w:tabs>
        <w:tab w:val="left" w:pos="851"/>
      </w:tabs>
      <w:spacing w:before="360"/>
      <w:ind w:left="851" w:hanging="851"/>
      <w:jc w:val="left"/>
      <w:outlineLvl w:val="0"/>
    </w:pPr>
    <w:rPr>
      <w:rFonts w:cs="Arial"/>
      <w:b/>
      <w:sz w:val="28"/>
      <w:szCs w:val="28"/>
      <w:lang w:val="en-GB"/>
    </w:rPr>
  </w:style>
  <w:style w:type="paragraph" w:styleId="berschrift2">
    <w:name w:val="heading 2"/>
    <w:basedOn w:val="berschrift1"/>
    <w:next w:val="Standard"/>
    <w:link w:val="berschrift2Zchn"/>
    <w:uiPriority w:val="99"/>
    <w:qFormat/>
    <w:rsid w:val="00D004D0"/>
    <w:pPr>
      <w:numPr>
        <w:ilvl w:val="1"/>
      </w:numPr>
      <w:spacing w:before="120"/>
      <w:outlineLvl w:val="1"/>
    </w:pPr>
    <w:rPr>
      <w:sz w:val="24"/>
    </w:rPr>
  </w:style>
  <w:style w:type="paragraph" w:styleId="berschrift3">
    <w:name w:val="heading 3"/>
    <w:basedOn w:val="berschrift2"/>
    <w:next w:val="Standard"/>
    <w:link w:val="berschrift3Zchn"/>
    <w:uiPriority w:val="99"/>
    <w:qFormat/>
    <w:rsid w:val="00D004D0"/>
    <w:pPr>
      <w:numPr>
        <w:ilvl w:val="2"/>
      </w:numPr>
      <w:outlineLvl w:val="2"/>
    </w:pPr>
    <w:rPr>
      <w:i/>
      <w:sz w:val="22"/>
    </w:rPr>
  </w:style>
  <w:style w:type="paragraph" w:styleId="berschrift4">
    <w:name w:val="heading 4"/>
    <w:basedOn w:val="Standard"/>
    <w:next w:val="Standard"/>
    <w:link w:val="berschrift4Zchn"/>
    <w:uiPriority w:val="99"/>
    <w:qFormat/>
    <w:rsid w:val="00D004D0"/>
    <w:pPr>
      <w:numPr>
        <w:ilvl w:val="3"/>
        <w:numId w:val="3"/>
      </w:numPr>
      <w:outlineLvl w:val="3"/>
    </w:pPr>
    <w:rPr>
      <w:u w:val="single"/>
    </w:rPr>
  </w:style>
  <w:style w:type="paragraph" w:styleId="berschrift5">
    <w:name w:val="heading 5"/>
    <w:basedOn w:val="Standard"/>
    <w:next w:val="Standard"/>
    <w:link w:val="berschrift5Zchn"/>
    <w:uiPriority w:val="99"/>
    <w:qFormat/>
    <w:rsid w:val="00D004D0"/>
    <w:pPr>
      <w:numPr>
        <w:ilvl w:val="4"/>
        <w:numId w:val="3"/>
      </w:numPr>
      <w:outlineLvl w:val="4"/>
    </w:pPr>
    <w:rPr>
      <w:b/>
      <w:sz w:val="20"/>
    </w:rPr>
  </w:style>
  <w:style w:type="paragraph" w:styleId="berschrift6">
    <w:name w:val="heading 6"/>
    <w:basedOn w:val="Standard"/>
    <w:next w:val="Standard"/>
    <w:link w:val="berschrift6Zchn"/>
    <w:uiPriority w:val="99"/>
    <w:qFormat/>
    <w:rsid w:val="00D004D0"/>
    <w:pPr>
      <w:numPr>
        <w:ilvl w:val="5"/>
        <w:numId w:val="3"/>
      </w:numPr>
      <w:outlineLvl w:val="5"/>
    </w:pPr>
    <w:rPr>
      <w:sz w:val="20"/>
      <w:u w:val="single"/>
    </w:rPr>
  </w:style>
  <w:style w:type="paragraph" w:styleId="berschrift7">
    <w:name w:val="heading 7"/>
    <w:basedOn w:val="Standard"/>
    <w:next w:val="Standard"/>
    <w:link w:val="berschrift7Zchn"/>
    <w:uiPriority w:val="99"/>
    <w:qFormat/>
    <w:rsid w:val="00D004D0"/>
    <w:pPr>
      <w:numPr>
        <w:ilvl w:val="6"/>
        <w:numId w:val="3"/>
      </w:numPr>
      <w:outlineLvl w:val="6"/>
    </w:pPr>
    <w:rPr>
      <w:i/>
      <w:sz w:val="20"/>
    </w:rPr>
  </w:style>
  <w:style w:type="paragraph" w:styleId="berschrift8">
    <w:name w:val="heading 8"/>
    <w:basedOn w:val="Standard"/>
    <w:next w:val="Standard"/>
    <w:link w:val="berschrift8Zchn"/>
    <w:uiPriority w:val="99"/>
    <w:qFormat/>
    <w:rsid w:val="00D004D0"/>
    <w:pPr>
      <w:numPr>
        <w:ilvl w:val="7"/>
        <w:numId w:val="3"/>
      </w:numPr>
      <w:outlineLvl w:val="7"/>
    </w:pPr>
    <w:rPr>
      <w:i/>
      <w:sz w:val="20"/>
    </w:rPr>
  </w:style>
  <w:style w:type="paragraph" w:styleId="berschrift9">
    <w:name w:val="heading 9"/>
    <w:basedOn w:val="Standard"/>
    <w:next w:val="Standard"/>
    <w:link w:val="berschrift9Zchn"/>
    <w:uiPriority w:val="99"/>
    <w:qFormat/>
    <w:rsid w:val="00D004D0"/>
    <w:pPr>
      <w:numPr>
        <w:ilvl w:val="8"/>
        <w:numId w:val="3"/>
      </w:numPr>
      <w:outlineLvl w:val="8"/>
    </w:pPr>
    <w:rPr>
      <w:i/>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Pr>
      <w:rFonts w:ascii="Cambria" w:hAnsi="Cambria" w:cs="Times New Roman"/>
      <w:b/>
      <w:bCs/>
      <w:kern w:val="32"/>
      <w:sz w:val="32"/>
      <w:szCs w:val="32"/>
      <w:lang w:val="nb-NO"/>
    </w:rPr>
  </w:style>
  <w:style w:type="character" w:customStyle="1" w:styleId="berschrift2Zchn">
    <w:name w:val="Überschrift 2 Zchn"/>
    <w:basedOn w:val="Absatz-Standardschriftart"/>
    <w:link w:val="berschrift2"/>
    <w:uiPriority w:val="99"/>
    <w:semiHidden/>
    <w:locked/>
    <w:rPr>
      <w:rFonts w:ascii="Cambria" w:hAnsi="Cambria" w:cs="Times New Roman"/>
      <w:b/>
      <w:bCs/>
      <w:i/>
      <w:iCs/>
      <w:sz w:val="28"/>
      <w:szCs w:val="28"/>
      <w:lang w:val="nb-NO"/>
    </w:rPr>
  </w:style>
  <w:style w:type="character" w:customStyle="1" w:styleId="berschrift3Zchn">
    <w:name w:val="Überschrift 3 Zchn"/>
    <w:basedOn w:val="Absatz-Standardschriftart"/>
    <w:link w:val="berschrift3"/>
    <w:uiPriority w:val="99"/>
    <w:semiHidden/>
    <w:locked/>
    <w:rPr>
      <w:rFonts w:ascii="Cambria" w:hAnsi="Cambria" w:cs="Times New Roman"/>
      <w:b/>
      <w:bCs/>
      <w:sz w:val="26"/>
      <w:szCs w:val="26"/>
      <w:lang w:val="nb-NO"/>
    </w:rPr>
  </w:style>
  <w:style w:type="character" w:customStyle="1" w:styleId="berschrift4Zchn">
    <w:name w:val="Überschrift 4 Zchn"/>
    <w:basedOn w:val="Absatz-Standardschriftart"/>
    <w:link w:val="berschrift4"/>
    <w:uiPriority w:val="99"/>
    <w:semiHidden/>
    <w:locked/>
    <w:rPr>
      <w:rFonts w:ascii="Calibri" w:hAnsi="Calibri" w:cs="Times New Roman"/>
      <w:b/>
      <w:bCs/>
      <w:sz w:val="28"/>
      <w:szCs w:val="28"/>
      <w:lang w:val="nb-NO"/>
    </w:rPr>
  </w:style>
  <w:style w:type="character" w:customStyle="1" w:styleId="berschrift5Zchn">
    <w:name w:val="Überschrift 5 Zchn"/>
    <w:basedOn w:val="Absatz-Standardschriftart"/>
    <w:link w:val="berschrift5"/>
    <w:uiPriority w:val="99"/>
    <w:semiHidden/>
    <w:locked/>
    <w:rPr>
      <w:rFonts w:ascii="Calibri" w:hAnsi="Calibri" w:cs="Times New Roman"/>
      <w:b/>
      <w:bCs/>
      <w:i/>
      <w:iCs/>
      <w:sz w:val="26"/>
      <w:szCs w:val="26"/>
      <w:lang w:val="nb-NO"/>
    </w:rPr>
  </w:style>
  <w:style w:type="character" w:customStyle="1" w:styleId="berschrift6Zchn">
    <w:name w:val="Überschrift 6 Zchn"/>
    <w:basedOn w:val="Absatz-Standardschriftart"/>
    <w:link w:val="berschrift6"/>
    <w:uiPriority w:val="99"/>
    <w:semiHidden/>
    <w:locked/>
    <w:rPr>
      <w:rFonts w:ascii="Calibri" w:hAnsi="Calibri" w:cs="Times New Roman"/>
      <w:b/>
      <w:bCs/>
      <w:lang w:val="nb-NO"/>
    </w:rPr>
  </w:style>
  <w:style w:type="character" w:customStyle="1" w:styleId="berschrift7Zchn">
    <w:name w:val="Überschrift 7 Zchn"/>
    <w:basedOn w:val="Absatz-Standardschriftart"/>
    <w:link w:val="berschrift7"/>
    <w:uiPriority w:val="99"/>
    <w:semiHidden/>
    <w:locked/>
    <w:rPr>
      <w:rFonts w:ascii="Calibri" w:hAnsi="Calibri" w:cs="Times New Roman"/>
      <w:sz w:val="24"/>
      <w:szCs w:val="24"/>
      <w:lang w:val="nb-NO"/>
    </w:rPr>
  </w:style>
  <w:style w:type="character" w:customStyle="1" w:styleId="berschrift8Zchn">
    <w:name w:val="Überschrift 8 Zchn"/>
    <w:basedOn w:val="Absatz-Standardschriftart"/>
    <w:link w:val="berschrift8"/>
    <w:uiPriority w:val="99"/>
    <w:semiHidden/>
    <w:locked/>
    <w:rPr>
      <w:rFonts w:ascii="Calibri" w:hAnsi="Calibri" w:cs="Times New Roman"/>
      <w:i/>
      <w:iCs/>
      <w:sz w:val="24"/>
      <w:szCs w:val="24"/>
      <w:lang w:val="nb-NO"/>
    </w:rPr>
  </w:style>
  <w:style w:type="character" w:customStyle="1" w:styleId="berschrift9Zchn">
    <w:name w:val="Überschrift 9 Zchn"/>
    <w:basedOn w:val="Absatz-Standardschriftart"/>
    <w:link w:val="berschrift9"/>
    <w:uiPriority w:val="99"/>
    <w:semiHidden/>
    <w:locked/>
    <w:rPr>
      <w:rFonts w:ascii="Cambria" w:hAnsi="Cambria" w:cs="Times New Roman"/>
      <w:lang w:val="nb-NO"/>
    </w:rPr>
  </w:style>
  <w:style w:type="paragraph" w:styleId="Sprechblasentext">
    <w:name w:val="Balloon Text"/>
    <w:basedOn w:val="Standard"/>
    <w:link w:val="SprechblasentextZchn"/>
    <w:uiPriority w:val="99"/>
    <w:semiHidden/>
    <w:rsid w:val="00E66568"/>
    <w:pPr>
      <w:spacing w:after="0"/>
      <w:jc w:val="left"/>
    </w:pPr>
    <w:rPr>
      <w:rFonts w:ascii="Tahoma" w:eastAsia="MS Mincho" w:hAnsi="Tahoma" w:cs="Tahoma"/>
      <w:sz w:val="16"/>
      <w:szCs w:val="16"/>
      <w:lang w:val="de-DE" w:eastAsia="ja-JP"/>
    </w:rPr>
  </w:style>
  <w:style w:type="character" w:customStyle="1" w:styleId="SprechblasentextZchn">
    <w:name w:val="Sprechblasentext Zchn"/>
    <w:basedOn w:val="Absatz-Standardschriftart"/>
    <w:link w:val="Sprechblasentext"/>
    <w:uiPriority w:val="99"/>
    <w:semiHidden/>
    <w:locked/>
    <w:rPr>
      <w:rFonts w:cs="Times New Roman"/>
      <w:sz w:val="2"/>
      <w:lang w:val="nb-NO"/>
    </w:rPr>
  </w:style>
  <w:style w:type="paragraph" w:styleId="Kopfzeile">
    <w:name w:val="header"/>
    <w:basedOn w:val="Standard"/>
    <w:link w:val="KopfzeileZchn"/>
    <w:uiPriority w:val="99"/>
    <w:rsid w:val="0098621D"/>
    <w:pPr>
      <w:tabs>
        <w:tab w:val="center" w:pos="4536"/>
        <w:tab w:val="right" w:pos="9072"/>
      </w:tabs>
      <w:spacing w:after="0"/>
      <w:jc w:val="left"/>
    </w:pPr>
    <w:rPr>
      <w:b/>
    </w:rPr>
  </w:style>
  <w:style w:type="character" w:customStyle="1" w:styleId="KopfzeileZchn">
    <w:name w:val="Kopfzeile Zchn"/>
    <w:basedOn w:val="Absatz-Standardschriftart"/>
    <w:link w:val="Kopfzeile"/>
    <w:uiPriority w:val="99"/>
    <w:semiHidden/>
    <w:locked/>
    <w:rPr>
      <w:rFonts w:ascii="Arial" w:hAnsi="Arial" w:cs="Times New Roman"/>
      <w:sz w:val="20"/>
      <w:szCs w:val="20"/>
      <w:lang w:val="nb-NO"/>
    </w:rPr>
  </w:style>
  <w:style w:type="paragraph" w:styleId="Liste">
    <w:name w:val="List"/>
    <w:basedOn w:val="Standard"/>
    <w:uiPriority w:val="99"/>
    <w:rsid w:val="00135FE7"/>
    <w:pPr>
      <w:tabs>
        <w:tab w:val="left" w:pos="1418"/>
      </w:tabs>
      <w:ind w:left="1418" w:hanging="567"/>
    </w:pPr>
  </w:style>
  <w:style w:type="paragraph" w:customStyle="1" w:styleId="Kopfzeile1">
    <w:name w:val="Kopfzeile1"/>
    <w:basedOn w:val="Kopfzeile"/>
    <w:uiPriority w:val="99"/>
    <w:rsid w:val="00215746"/>
  </w:style>
  <w:style w:type="character" w:styleId="Funotenzeichen">
    <w:name w:val="footnote reference"/>
    <w:basedOn w:val="Absatz-Standardschriftart"/>
    <w:uiPriority w:val="99"/>
    <w:semiHidden/>
    <w:rsid w:val="00E94AAC"/>
    <w:rPr>
      <w:rFonts w:cs="Times New Roman"/>
      <w:position w:val="6"/>
      <w:sz w:val="16"/>
    </w:rPr>
  </w:style>
  <w:style w:type="paragraph" w:styleId="Funotentext">
    <w:name w:val="footnote text"/>
    <w:basedOn w:val="Standard"/>
    <w:link w:val="FunotentextZchn"/>
    <w:uiPriority w:val="99"/>
    <w:semiHidden/>
    <w:rsid w:val="00E94AAC"/>
    <w:rPr>
      <w:sz w:val="20"/>
    </w:rPr>
  </w:style>
  <w:style w:type="character" w:customStyle="1" w:styleId="FunotentextZchn">
    <w:name w:val="Fußnotentext Zchn"/>
    <w:basedOn w:val="Absatz-Standardschriftart"/>
    <w:link w:val="Funotentext"/>
    <w:uiPriority w:val="99"/>
    <w:semiHidden/>
    <w:locked/>
    <w:rPr>
      <w:rFonts w:ascii="Arial" w:hAnsi="Arial" w:cs="Times New Roman"/>
      <w:sz w:val="20"/>
      <w:szCs w:val="20"/>
      <w:lang w:val="nb-NO"/>
    </w:rPr>
  </w:style>
  <w:style w:type="character" w:styleId="Seitenzahl">
    <w:name w:val="page number"/>
    <w:basedOn w:val="Absatz-Standardschriftart"/>
    <w:uiPriority w:val="99"/>
    <w:rsid w:val="00E94AAC"/>
    <w:rPr>
      <w:rFonts w:cs="Times New Roman"/>
    </w:rPr>
  </w:style>
  <w:style w:type="paragraph" w:styleId="Dokumentstruktur">
    <w:name w:val="Document Map"/>
    <w:basedOn w:val="Standard"/>
    <w:link w:val="DokumentstrukturZchn"/>
    <w:uiPriority w:val="99"/>
    <w:semiHidden/>
    <w:rsid w:val="00E94AAC"/>
    <w:pPr>
      <w:shd w:val="clear" w:color="auto" w:fill="000080"/>
    </w:pPr>
    <w:rPr>
      <w:rFonts w:ascii="Tahoma" w:hAnsi="Tahoma"/>
    </w:rPr>
  </w:style>
  <w:style w:type="character" w:customStyle="1" w:styleId="DokumentstrukturZchn">
    <w:name w:val="Dokumentstruktur Zchn"/>
    <w:basedOn w:val="Absatz-Standardschriftart"/>
    <w:link w:val="Dokumentstruktur"/>
    <w:uiPriority w:val="99"/>
    <w:semiHidden/>
    <w:locked/>
    <w:rPr>
      <w:rFonts w:cs="Times New Roman"/>
      <w:sz w:val="2"/>
      <w:lang w:val="nb-NO"/>
    </w:rPr>
  </w:style>
  <w:style w:type="paragraph" w:styleId="Abbildungsverzeichnis">
    <w:name w:val="table of figures"/>
    <w:basedOn w:val="Standard"/>
    <w:next w:val="Standard"/>
    <w:uiPriority w:val="99"/>
    <w:semiHidden/>
    <w:rsid w:val="00E94AAC"/>
    <w:pPr>
      <w:ind w:left="400" w:hanging="400"/>
    </w:pPr>
    <w:rPr>
      <w:sz w:val="20"/>
      <w:lang w:val="de-DE"/>
    </w:rPr>
  </w:style>
  <w:style w:type="paragraph" w:styleId="Titel">
    <w:name w:val="Title"/>
    <w:basedOn w:val="Standard"/>
    <w:link w:val="TitelZchn"/>
    <w:uiPriority w:val="99"/>
    <w:qFormat/>
    <w:rsid w:val="00B70CD3"/>
    <w:pPr>
      <w:jc w:val="center"/>
    </w:pPr>
    <w:rPr>
      <w:b/>
      <w:sz w:val="28"/>
      <w:lang w:val="de-DE"/>
    </w:rPr>
  </w:style>
  <w:style w:type="character" w:customStyle="1" w:styleId="TitelZchn">
    <w:name w:val="Titel Zchn"/>
    <w:basedOn w:val="Absatz-Standardschriftart"/>
    <w:link w:val="Titel"/>
    <w:uiPriority w:val="99"/>
    <w:locked/>
    <w:rPr>
      <w:rFonts w:ascii="Cambria" w:hAnsi="Cambria" w:cs="Times New Roman"/>
      <w:b/>
      <w:bCs/>
      <w:kern w:val="28"/>
      <w:sz w:val="32"/>
      <w:szCs w:val="32"/>
      <w:lang w:val="nb-NO"/>
    </w:rPr>
  </w:style>
  <w:style w:type="paragraph" w:customStyle="1" w:styleId="Kasten">
    <w:name w:val="Kasten"/>
    <w:basedOn w:val="Standard"/>
    <w:uiPriority w:val="99"/>
    <w:rsid w:val="000641A7"/>
    <w:pPr>
      <w:pBdr>
        <w:top w:val="single" w:sz="12" w:space="1" w:color="auto"/>
        <w:left w:val="single" w:sz="12" w:space="4" w:color="auto"/>
        <w:bottom w:val="single" w:sz="12" w:space="1" w:color="auto"/>
        <w:right w:val="single" w:sz="12" w:space="4" w:color="auto"/>
      </w:pBdr>
    </w:pPr>
  </w:style>
  <w:style w:type="character" w:styleId="Hyperlink">
    <w:name w:val="Hyperlink"/>
    <w:basedOn w:val="Absatz-Standardschriftart"/>
    <w:uiPriority w:val="99"/>
    <w:rsid w:val="003C53D0"/>
    <w:rPr>
      <w:rFonts w:cs="Times New Roman"/>
      <w:color w:val="0000FF"/>
      <w:u w:val="single"/>
    </w:rPr>
  </w:style>
  <w:style w:type="paragraph" w:customStyle="1" w:styleId="Note">
    <w:name w:val="Note"/>
    <w:basedOn w:val="Standard"/>
    <w:next w:val="Standard"/>
    <w:uiPriority w:val="99"/>
    <w:rsid w:val="00DE5E01"/>
    <w:pPr>
      <w:tabs>
        <w:tab w:val="left" w:pos="851"/>
      </w:tabs>
      <w:ind w:left="851" w:hanging="851"/>
    </w:pPr>
    <w:rPr>
      <w:b/>
      <w:lang w:val="en-GB"/>
    </w:rPr>
  </w:style>
  <w:style w:type="paragraph" w:customStyle="1" w:styleId="Header1">
    <w:name w:val="Header1"/>
    <w:basedOn w:val="Kopfzeile"/>
    <w:link w:val="HeaderZchnZchn"/>
    <w:uiPriority w:val="99"/>
    <w:rsid w:val="00493F86"/>
    <w:pPr>
      <w:spacing w:before="60"/>
    </w:pPr>
    <w:rPr>
      <w:lang w:eastAsia="ja-JP"/>
    </w:rPr>
  </w:style>
  <w:style w:type="character" w:customStyle="1" w:styleId="HeaderZchnZchn">
    <w:name w:val="Header Zchn Zchn"/>
    <w:link w:val="Header1"/>
    <w:uiPriority w:val="99"/>
    <w:locked/>
    <w:rsid w:val="00493F86"/>
    <w:rPr>
      <w:rFonts w:ascii="Arial" w:hAnsi="Arial"/>
      <w:b/>
      <w:sz w:val="22"/>
      <w:lang w:val="nb-NO"/>
    </w:rPr>
  </w:style>
  <w:style w:type="paragraph" w:styleId="KeinLeerraum">
    <w:name w:val="No Spacing"/>
    <w:uiPriority w:val="99"/>
    <w:qFormat/>
    <w:rsid w:val="002135E8"/>
    <w:pPr>
      <w:jc w:val="both"/>
    </w:pPr>
    <w:rPr>
      <w:rFonts w:ascii="Arial" w:hAnsi="Arial"/>
      <w:szCs w:val="20"/>
      <w:lang w:val="nb-NO"/>
    </w:rPr>
  </w:style>
  <w:style w:type="paragraph" w:customStyle="1" w:styleId="ECCParagraph">
    <w:name w:val="ECC Paragraph"/>
    <w:basedOn w:val="Standard"/>
    <w:uiPriority w:val="99"/>
    <w:rsid w:val="00885CFA"/>
    <w:pPr>
      <w:spacing w:after="240"/>
    </w:pPr>
    <w:rPr>
      <w:sz w:val="20"/>
      <w:szCs w:val="24"/>
      <w:lang w:val="en-GB" w:eastAsia="en-US"/>
    </w:rPr>
  </w:style>
  <w:style w:type="paragraph" w:styleId="Beschriftung">
    <w:name w:val="caption"/>
    <w:aliases w:val="Ca,Figure-caption,CAPTION,Figure Caption,Figure-caption1,CAPTION1,Figure Caption1,Figure-caption2,CAPTION2,Figure Caption2,Figure-caption3,CAPTION3,Figure Caption3,Figure-caption4,CAPTION4,Figure Caption4,Figure-caption5,CAPTION5"/>
    <w:basedOn w:val="Standard"/>
    <w:next w:val="Standard"/>
    <w:link w:val="BeschriftungZchn"/>
    <w:autoRedefine/>
    <w:uiPriority w:val="99"/>
    <w:qFormat/>
    <w:locked/>
    <w:rsid w:val="00885CFA"/>
    <w:pPr>
      <w:tabs>
        <w:tab w:val="left" w:pos="794"/>
        <w:tab w:val="left" w:pos="1191"/>
        <w:tab w:val="left" w:pos="1588"/>
        <w:tab w:val="left" w:pos="1985"/>
      </w:tabs>
      <w:suppressAutoHyphens/>
      <w:overflowPunct w:val="0"/>
      <w:autoSpaceDE w:val="0"/>
      <w:autoSpaceDN w:val="0"/>
      <w:adjustRightInd w:val="0"/>
      <w:spacing w:before="120" w:after="40"/>
      <w:jc w:val="center"/>
      <w:textAlignment w:val="baseline"/>
    </w:pPr>
    <w:rPr>
      <w:rFonts w:ascii="Times New Roman" w:hAnsi="Times New Roman"/>
      <w:sz w:val="20"/>
      <w:lang w:val="en-GB" w:eastAsia="ar-SA"/>
    </w:rPr>
  </w:style>
  <w:style w:type="character" w:customStyle="1" w:styleId="BeschriftungZchn">
    <w:name w:val="Beschriftung Zchn"/>
    <w:aliases w:val="Ca Zchn,Figure-caption Zchn,CAPTION Zchn,Figure Caption Zchn,Figure-caption1 Zchn,CAPTION1 Zchn,Figure Caption1 Zchn,Figure-caption2 Zchn,CAPTION2 Zchn,Figure Caption2 Zchn,Figure-caption3 Zchn,CAPTION3 Zchn,Figure Caption3 Zchn"/>
    <w:link w:val="Beschriftung"/>
    <w:uiPriority w:val="99"/>
    <w:locked/>
    <w:rsid w:val="00885CFA"/>
    <w:rPr>
      <w:lang w:val="en-GB"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221-9\Eigene%20Dateien\Gremien\FM48\templates\Cover%20page%20FM%20PT%204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Cover page FM PT 48.dotx</Template>
  <TotalTime>0</TotalTime>
  <Pages>3</Pages>
  <Words>792</Words>
  <Characters>4519</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lpstr>
    </vt:vector>
  </TitlesOfParts>
  <Company>FM PT 48</Company>
  <LinksUpToDate>false</LinksUpToDate>
  <CharactersWithSpaces>5301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from DT AG</dc:title>
  <dc:subject>5th meeting of FM PT 48, 1-2 March 2012</dc:subject>
  <dc:creator>Thomas Weilacher</dc:creator>
  <cp:keywords>Draft ECC Report, section 6</cp:keywords>
  <dc:description/>
  <cp:lastModifiedBy>Thomas Weilacher</cp:lastModifiedBy>
  <cp:revision>2</cp:revision>
  <cp:lastPrinted>2012-02-24T13:32:00Z</cp:lastPrinted>
  <dcterms:created xsi:type="dcterms:W3CDTF">2012-02-24T13:37:00Z</dcterms:created>
  <dcterms:modified xsi:type="dcterms:W3CDTF">2012-02-24T13:37:00Z</dcterms:modified>
</cp:coreProperties>
</file>