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1134"/>
        <w:gridCol w:w="2976"/>
      </w:tblGrid>
      <w:tr w:rsidR="00CB25C6" w:rsidRPr="0094522B"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B25C6" w:rsidRPr="0094522B" w:rsidRDefault="00CB25C6">
            <w:pPr>
              <w:ind w:right="28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B25C6" w:rsidRPr="0094522B" w:rsidRDefault="00CB25C6">
            <w:pPr>
              <w:ind w:right="2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B25C6" w:rsidRPr="0094522B" w:rsidRDefault="00CB25C6">
            <w:pPr>
              <w:ind w:right="28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B25C6" w:rsidRPr="0094522B" w:rsidRDefault="00D24B3A">
            <w:pPr>
              <w:ind w:right="28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22B">
              <w:rPr>
                <w:rFonts w:ascii="Arial" w:hAnsi="Arial" w:cs="Arial"/>
                <w:b/>
                <w:bCs/>
                <w:noProof/>
                <w:sz w:val="22"/>
                <w:szCs w:val="22"/>
                <w:lang w:val="de-DE"/>
              </w:rPr>
              <w:drawing>
                <wp:inline distT="0" distB="0" distL="0" distR="0">
                  <wp:extent cx="1626870" cy="836930"/>
                  <wp:effectExtent l="0" t="0" r="0" b="127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5C6" w:rsidRPr="0094522B"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42074" w:rsidRPr="0094522B" w:rsidRDefault="00E4207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4522B">
              <w:rPr>
                <w:rFonts w:ascii="Arial" w:hAnsi="Arial" w:cs="Arial"/>
                <w:sz w:val="22"/>
                <w:szCs w:val="22"/>
                <w:u w:val="single"/>
              </w:rPr>
              <w:t>To:</w:t>
            </w:r>
          </w:p>
          <w:p w:rsidR="00FF35B4" w:rsidRPr="0094522B" w:rsidRDefault="00FF35B4">
            <w:pPr>
              <w:rPr>
                <w:rFonts w:ascii="Arial" w:hAnsi="Arial" w:cs="Arial"/>
                <w:sz w:val="22"/>
                <w:szCs w:val="22"/>
              </w:rPr>
            </w:pPr>
          </w:p>
          <w:p w:rsidR="00CB25C6" w:rsidRPr="0094522B" w:rsidRDefault="00CB25C6">
            <w:pPr>
              <w:rPr>
                <w:rFonts w:ascii="Arial" w:hAnsi="Arial" w:cs="Arial"/>
                <w:sz w:val="22"/>
                <w:szCs w:val="22"/>
              </w:rPr>
            </w:pPr>
            <w:r w:rsidRPr="0094522B">
              <w:rPr>
                <w:rFonts w:ascii="Arial" w:hAnsi="Arial" w:cs="Arial"/>
                <w:sz w:val="22"/>
                <w:szCs w:val="22"/>
              </w:rPr>
              <w:t xml:space="preserve">Mr. </w:t>
            </w:r>
            <w:r w:rsidR="00D24B3A" w:rsidRPr="0094522B">
              <w:rPr>
                <w:rFonts w:ascii="Arial" w:hAnsi="Arial" w:cs="Arial"/>
                <w:sz w:val="22"/>
                <w:szCs w:val="22"/>
              </w:rPr>
              <w:t>Bruno Espinosa</w:t>
            </w:r>
          </w:p>
          <w:p w:rsidR="00CB25C6" w:rsidRPr="0094522B" w:rsidRDefault="00D24B3A">
            <w:pPr>
              <w:rPr>
                <w:rFonts w:ascii="Arial" w:hAnsi="Arial" w:cs="Arial"/>
                <w:sz w:val="22"/>
                <w:szCs w:val="22"/>
              </w:rPr>
            </w:pPr>
            <w:r w:rsidRPr="0094522B">
              <w:rPr>
                <w:rFonts w:ascii="Arial" w:hAnsi="Arial" w:cs="Arial"/>
                <w:sz w:val="22"/>
                <w:szCs w:val="22"/>
              </w:rPr>
              <w:t>Chairman WG SE</w:t>
            </w:r>
          </w:p>
          <w:p w:rsidR="00CB25C6" w:rsidRPr="0094522B" w:rsidRDefault="002C43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22B">
              <w:rPr>
                <w:rFonts w:ascii="Arial" w:hAnsi="Arial" w:cs="Arial"/>
                <w:sz w:val="22"/>
                <w:szCs w:val="22"/>
              </w:rPr>
              <w:t>E</w:t>
            </w:r>
            <w:r w:rsidR="00CB25C6" w:rsidRPr="0094522B">
              <w:rPr>
                <w:rFonts w:ascii="Arial" w:hAnsi="Arial" w:cs="Arial"/>
                <w:sz w:val="22"/>
                <w:szCs w:val="22"/>
              </w:rPr>
              <w:t xml:space="preserve">mail: </w:t>
            </w:r>
            <w:hyperlink r:id="rId9" w:history="1">
              <w:r w:rsidR="00310DBF" w:rsidRPr="0094522B">
                <w:rPr>
                  <w:rStyle w:val="Hyperlink"/>
                  <w:rFonts w:ascii="Arial" w:hAnsi="Arial" w:cs="Arial"/>
                  <w:sz w:val="22"/>
                  <w:szCs w:val="22"/>
                </w:rPr>
                <w:t>espinosa@anfr.fr</w:t>
              </w:r>
            </w:hyperlink>
            <w:r w:rsidR="00310DBF" w:rsidRPr="009452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B25C6" w:rsidRPr="0094522B" w:rsidRDefault="00CB25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B25C6" w:rsidRPr="0094522B" w:rsidRDefault="00CB25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B25C6" w:rsidRPr="0094522B" w:rsidRDefault="00CB25C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B25C6" w:rsidRPr="0094522B" w:rsidRDefault="00CB25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25C6" w:rsidRPr="0094522B">
        <w:trPr>
          <w:cantSplit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5C6" w:rsidRPr="0094522B" w:rsidRDefault="00CB25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10DBF" w:rsidRPr="0094522B" w:rsidRDefault="00310DB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4522B">
              <w:rPr>
                <w:rFonts w:ascii="Arial" w:hAnsi="Arial" w:cs="Arial"/>
                <w:sz w:val="22"/>
                <w:szCs w:val="22"/>
                <w:u w:val="single"/>
              </w:rPr>
              <w:t>Cc:</w:t>
            </w:r>
          </w:p>
          <w:p w:rsidR="00310DBF" w:rsidRPr="0094522B" w:rsidRDefault="00310D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10DBF" w:rsidRPr="0094522B" w:rsidRDefault="00310D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22B">
              <w:rPr>
                <w:rFonts w:ascii="Arial" w:hAnsi="Arial" w:cs="Arial"/>
                <w:sz w:val="22"/>
                <w:szCs w:val="22"/>
              </w:rPr>
              <w:t>Mr. Didier Chauveau</w:t>
            </w:r>
          </w:p>
          <w:p w:rsidR="00310DBF" w:rsidRPr="0094522B" w:rsidRDefault="00310D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22B">
              <w:rPr>
                <w:rFonts w:ascii="Arial" w:hAnsi="Arial" w:cs="Arial"/>
                <w:sz w:val="22"/>
                <w:szCs w:val="22"/>
              </w:rPr>
              <w:t>Chairman ECC PT 1</w:t>
            </w:r>
          </w:p>
          <w:p w:rsidR="00310DBF" w:rsidRPr="0094522B" w:rsidRDefault="00310D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22B"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hyperlink r:id="rId10" w:history="1">
              <w:r w:rsidR="00994924" w:rsidRPr="0094522B">
                <w:rPr>
                  <w:rStyle w:val="Hyperlink"/>
                  <w:rFonts w:ascii="Arial" w:hAnsi="Arial" w:cs="Arial"/>
                  <w:sz w:val="22"/>
                  <w:szCs w:val="22"/>
                </w:rPr>
                <w:t>chauveau@anfr.fr</w:t>
              </w:r>
            </w:hyperlink>
          </w:p>
          <w:p w:rsidR="00CB25C6" w:rsidRPr="0094522B" w:rsidRDefault="00CB25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F38A7" w:rsidRPr="0094522B" w:rsidRDefault="00CF38A7" w:rsidP="00CF38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22B">
              <w:rPr>
                <w:rFonts w:ascii="Arial" w:hAnsi="Arial" w:cs="Arial"/>
                <w:sz w:val="22"/>
                <w:szCs w:val="22"/>
              </w:rPr>
              <w:t>Mr. Stefan Bach</w:t>
            </w:r>
          </w:p>
          <w:p w:rsidR="00CF38A7" w:rsidRPr="0094522B" w:rsidRDefault="00CF38A7" w:rsidP="00CF38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22B">
              <w:rPr>
                <w:rFonts w:ascii="Arial" w:hAnsi="Arial" w:cs="Arial"/>
                <w:sz w:val="22"/>
                <w:szCs w:val="22"/>
              </w:rPr>
              <w:t>Chairman SE PT 44</w:t>
            </w:r>
          </w:p>
          <w:p w:rsidR="00CF38A7" w:rsidRPr="0094522B" w:rsidRDefault="00CF38A7" w:rsidP="00CF38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22B"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hyperlink r:id="rId11" w:history="1">
              <w:r w:rsidRPr="0094522B">
                <w:rPr>
                  <w:rStyle w:val="Hyperlink"/>
                  <w:rFonts w:ascii="Arial" w:hAnsi="Arial" w:cs="Arial"/>
                  <w:sz w:val="22"/>
                  <w:szCs w:val="22"/>
                </w:rPr>
                <w:t>stefan.bach@bnetza.de</w:t>
              </w:r>
            </w:hyperlink>
            <w:r w:rsidRPr="009452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F38A7" w:rsidRPr="0094522B" w:rsidRDefault="00CF38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F38A7" w:rsidRPr="0094522B" w:rsidRDefault="00CF38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B25C6" w:rsidRPr="0094522B" w:rsidRDefault="00CB25C6" w:rsidP="00CF38A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522B">
              <w:rPr>
                <w:rFonts w:ascii="Arial" w:hAnsi="Arial" w:cs="Arial"/>
                <w:sz w:val="22"/>
                <w:szCs w:val="22"/>
              </w:rPr>
              <w:t xml:space="preserve">Date: </w:t>
            </w:r>
            <w:r w:rsidR="00CF38A7" w:rsidRPr="0094522B">
              <w:rPr>
                <w:rFonts w:ascii="Arial" w:hAnsi="Arial" w:cs="Arial"/>
                <w:sz w:val="22"/>
                <w:szCs w:val="22"/>
              </w:rPr>
              <w:t>27</w:t>
            </w:r>
            <w:r w:rsidR="00D24B3A" w:rsidRPr="009452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38A7" w:rsidRPr="0094522B">
              <w:rPr>
                <w:rFonts w:ascii="Arial" w:hAnsi="Arial" w:cs="Arial"/>
                <w:sz w:val="22"/>
                <w:szCs w:val="22"/>
              </w:rPr>
              <w:t>April 2012</w:t>
            </w:r>
          </w:p>
        </w:tc>
      </w:tr>
      <w:tr w:rsidR="00CB25C6" w:rsidRPr="0094522B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0DBF" w:rsidRPr="0094522B" w:rsidRDefault="00310D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B25C6" w:rsidRPr="0094522B" w:rsidRDefault="00CB25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22B">
              <w:rPr>
                <w:rFonts w:ascii="Arial" w:hAnsi="Arial" w:cs="Arial"/>
                <w:sz w:val="22"/>
                <w:szCs w:val="22"/>
              </w:rPr>
              <w:t>Source:</w:t>
            </w:r>
            <w:r w:rsidRPr="0094522B">
              <w:rPr>
                <w:rFonts w:ascii="Arial" w:hAnsi="Arial" w:cs="Arial"/>
                <w:sz w:val="22"/>
                <w:szCs w:val="22"/>
              </w:rPr>
              <w:tab/>
              <w:t>Working Group FM</w:t>
            </w:r>
          </w:p>
          <w:p w:rsidR="00CB25C6" w:rsidRPr="0094522B" w:rsidRDefault="00CB25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25C6" w:rsidRPr="0094522B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25C6" w:rsidRPr="0094522B" w:rsidRDefault="00CB25C6" w:rsidP="00A775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734E3" w:rsidRPr="0094522B" w:rsidRDefault="00CB25C6" w:rsidP="00A7759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22B">
              <w:rPr>
                <w:rFonts w:ascii="Arial" w:hAnsi="Arial" w:cs="Arial"/>
                <w:b/>
                <w:bCs/>
                <w:sz w:val="22"/>
                <w:szCs w:val="22"/>
              </w:rPr>
              <w:t>Subject:</w:t>
            </w:r>
            <w:r w:rsidRPr="0094522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994924" w:rsidRPr="0094522B">
              <w:rPr>
                <w:rFonts w:ascii="Arial" w:hAnsi="Arial" w:cs="Arial"/>
                <w:b/>
                <w:bCs/>
                <w:sz w:val="22"/>
                <w:szCs w:val="22"/>
              </w:rPr>
              <w:t>Broadband Direct-Air-to-Ground Communications (DA2GC);</w:t>
            </w:r>
          </w:p>
          <w:p w:rsidR="00052F68" w:rsidRPr="0094522B" w:rsidRDefault="00994924" w:rsidP="00A7759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522B">
              <w:rPr>
                <w:rFonts w:ascii="Arial" w:hAnsi="Arial" w:cs="Arial"/>
                <w:b/>
                <w:bCs/>
                <w:sz w:val="22"/>
                <w:szCs w:val="22"/>
              </w:rPr>
              <w:t>Reference:</w:t>
            </w:r>
            <w:r w:rsidRPr="0094522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Your Liaison Statement of </w:t>
            </w:r>
            <w:r w:rsidR="00CF51D7" w:rsidRPr="0094522B">
              <w:rPr>
                <w:rFonts w:ascii="Arial" w:hAnsi="Arial" w:cs="Arial"/>
                <w:b/>
                <w:bCs/>
                <w:sz w:val="22"/>
                <w:szCs w:val="22"/>
              </w:rPr>
              <w:t>30 March 2012 (SE(12)040 Annex 22</w:t>
            </w:r>
            <w:r w:rsidRPr="0094522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="00CB25C6" w:rsidRPr="0094522B" w:rsidRDefault="00CB25C6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25C6" w:rsidRPr="0094522B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25C6" w:rsidRPr="0094522B" w:rsidRDefault="00CB25C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25C6" w:rsidRPr="0094522B" w:rsidRDefault="00416C1F" w:rsidP="00B672F9">
      <w:pPr>
        <w:ind w:left="142"/>
        <w:rPr>
          <w:rFonts w:ascii="Arial" w:hAnsi="Arial" w:cs="Arial"/>
          <w:sz w:val="22"/>
          <w:szCs w:val="22"/>
          <w:lang w:eastAsia="en-GB"/>
        </w:rPr>
      </w:pPr>
      <w:r w:rsidRPr="0094522B">
        <w:rPr>
          <w:rFonts w:ascii="Arial" w:hAnsi="Arial" w:cs="Arial"/>
          <w:sz w:val="22"/>
          <w:szCs w:val="22"/>
          <w:lang w:eastAsia="en-GB"/>
        </w:rPr>
        <w:t>Dear Bruno,</w:t>
      </w:r>
    </w:p>
    <w:p w:rsidR="00CB25C6" w:rsidRPr="0094522B" w:rsidRDefault="00CB25C6" w:rsidP="00B672F9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4734E3" w:rsidRPr="0094522B" w:rsidRDefault="004734E3" w:rsidP="00B672F9">
      <w:pPr>
        <w:ind w:left="142"/>
        <w:rPr>
          <w:rFonts w:ascii="Arial" w:hAnsi="Arial" w:cs="Arial"/>
          <w:sz w:val="22"/>
          <w:szCs w:val="22"/>
          <w:lang w:eastAsia="en-GB"/>
        </w:rPr>
      </w:pPr>
      <w:r w:rsidRPr="0094522B">
        <w:rPr>
          <w:rFonts w:ascii="Arial" w:hAnsi="Arial" w:cs="Arial"/>
          <w:sz w:val="22"/>
          <w:szCs w:val="22"/>
          <w:lang w:eastAsia="en-GB"/>
        </w:rPr>
        <w:t xml:space="preserve">Thank you very much for your liaison statement </w:t>
      </w:r>
      <w:r w:rsidR="0094522B" w:rsidRPr="0094522B">
        <w:rPr>
          <w:rFonts w:ascii="Arial" w:hAnsi="Arial" w:cs="Arial"/>
          <w:sz w:val="22"/>
          <w:szCs w:val="22"/>
          <w:lang w:eastAsia="en-GB"/>
        </w:rPr>
        <w:t xml:space="preserve">from your meeting in Åre/Sweden </w:t>
      </w:r>
      <w:r w:rsidRPr="0094522B">
        <w:rPr>
          <w:rFonts w:ascii="Arial" w:hAnsi="Arial" w:cs="Arial"/>
          <w:sz w:val="22"/>
          <w:szCs w:val="22"/>
          <w:lang w:eastAsia="en-GB"/>
        </w:rPr>
        <w:t xml:space="preserve">with which you informed WG FM (and </w:t>
      </w:r>
      <w:r w:rsidR="00416C1F" w:rsidRPr="0094522B">
        <w:rPr>
          <w:rFonts w:ascii="Arial" w:hAnsi="Arial" w:cs="Arial"/>
          <w:sz w:val="22"/>
          <w:szCs w:val="22"/>
          <w:lang w:eastAsia="en-GB"/>
        </w:rPr>
        <w:t>FM PT 48</w:t>
      </w:r>
      <w:r w:rsidRPr="0094522B">
        <w:rPr>
          <w:rFonts w:ascii="Arial" w:hAnsi="Arial" w:cs="Arial"/>
          <w:sz w:val="22"/>
          <w:szCs w:val="22"/>
          <w:lang w:eastAsia="en-GB"/>
        </w:rPr>
        <w:t>)</w:t>
      </w:r>
      <w:r w:rsidR="00284AC7" w:rsidRPr="0094522B">
        <w:rPr>
          <w:rFonts w:ascii="Arial" w:hAnsi="Arial" w:cs="Arial"/>
          <w:sz w:val="22"/>
          <w:szCs w:val="22"/>
          <w:lang w:eastAsia="en-GB"/>
        </w:rPr>
        <w:t xml:space="preserve"> </w:t>
      </w:r>
      <w:r w:rsidR="00CF51D7" w:rsidRPr="0094522B">
        <w:rPr>
          <w:rFonts w:ascii="Arial" w:hAnsi="Arial" w:cs="Arial"/>
          <w:sz w:val="22"/>
          <w:szCs w:val="22"/>
          <w:lang w:eastAsia="en-GB"/>
        </w:rPr>
        <w:t>on the current results of the compatibility studies on Broadband DA2GC in the candidate bands 2400 - 2483.5 MHz, 5855 - 5875 MHz and 3400 - 3600 MHz.</w:t>
      </w:r>
    </w:p>
    <w:p w:rsidR="00CF51D7" w:rsidRPr="0094522B" w:rsidRDefault="00CF51D7" w:rsidP="00B672F9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CF51D7" w:rsidRPr="0094522B" w:rsidRDefault="00CF51D7" w:rsidP="00B672F9">
      <w:pPr>
        <w:ind w:left="142"/>
        <w:rPr>
          <w:rFonts w:ascii="Arial" w:hAnsi="Arial" w:cs="Arial"/>
          <w:iCs/>
          <w:sz w:val="22"/>
          <w:szCs w:val="22"/>
          <w:lang w:eastAsia="en-GB"/>
        </w:rPr>
      </w:pPr>
      <w:r w:rsidRPr="0094522B">
        <w:rPr>
          <w:rFonts w:ascii="Arial" w:hAnsi="Arial" w:cs="Arial"/>
          <w:sz w:val="22"/>
          <w:szCs w:val="22"/>
          <w:lang w:eastAsia="en-GB"/>
        </w:rPr>
        <w:t>WG FM discussed these results and also your view that WG FM may consider alternative frequency bands for the use for Broadband DA2GC applications.</w:t>
      </w:r>
    </w:p>
    <w:p w:rsidR="00416C1F" w:rsidRPr="0094522B" w:rsidRDefault="00416C1F" w:rsidP="00B672F9">
      <w:pPr>
        <w:ind w:left="142"/>
        <w:rPr>
          <w:rFonts w:ascii="Arial" w:hAnsi="Arial" w:cs="Arial"/>
          <w:iCs/>
          <w:sz w:val="22"/>
          <w:szCs w:val="22"/>
          <w:lang w:eastAsia="en-GB"/>
        </w:rPr>
      </w:pPr>
    </w:p>
    <w:p w:rsidR="007F5EA8" w:rsidRPr="0094522B" w:rsidRDefault="00CF51D7" w:rsidP="00B672F9">
      <w:pPr>
        <w:ind w:left="142"/>
        <w:rPr>
          <w:rFonts w:ascii="Arial" w:hAnsi="Arial" w:cs="Arial"/>
          <w:sz w:val="22"/>
          <w:szCs w:val="22"/>
          <w:lang w:eastAsia="en-GB"/>
        </w:rPr>
      </w:pPr>
      <w:r w:rsidRPr="0094522B">
        <w:rPr>
          <w:rFonts w:ascii="Arial" w:hAnsi="Arial" w:cs="Arial"/>
          <w:sz w:val="22"/>
          <w:szCs w:val="22"/>
          <w:lang w:eastAsia="en-GB"/>
        </w:rPr>
        <w:t xml:space="preserve">After a comprehensive discussion of the current status on the </w:t>
      </w:r>
      <w:r w:rsidR="004E7441">
        <w:rPr>
          <w:rFonts w:ascii="Arial" w:hAnsi="Arial" w:cs="Arial"/>
          <w:sz w:val="22"/>
          <w:szCs w:val="22"/>
          <w:lang w:eastAsia="en-GB"/>
        </w:rPr>
        <w:t xml:space="preserve">above mentioned </w:t>
      </w:r>
      <w:r w:rsidRPr="0094522B">
        <w:rPr>
          <w:rFonts w:ascii="Arial" w:hAnsi="Arial" w:cs="Arial"/>
          <w:sz w:val="22"/>
          <w:szCs w:val="22"/>
          <w:lang w:eastAsia="en-GB"/>
        </w:rPr>
        <w:t xml:space="preserve">“Candidate 1 bands”, </w:t>
      </w:r>
      <w:r w:rsidRPr="00E41157">
        <w:rPr>
          <w:rFonts w:ascii="Arial" w:hAnsi="Arial" w:cs="Arial"/>
          <w:sz w:val="22"/>
          <w:szCs w:val="22"/>
          <w:highlight w:val="green"/>
          <w:lang w:eastAsia="en-GB"/>
        </w:rPr>
        <w:t>WG FM decided</w:t>
      </w:r>
      <w:r w:rsidR="004E7441" w:rsidRPr="00E41157">
        <w:rPr>
          <w:rFonts w:ascii="Arial" w:hAnsi="Arial" w:cs="Arial"/>
          <w:sz w:val="22"/>
          <w:szCs w:val="22"/>
          <w:highlight w:val="green"/>
          <w:lang w:eastAsia="en-GB"/>
        </w:rPr>
        <w:t xml:space="preserve"> to remove the band 3400 - 3600 </w:t>
      </w:r>
      <w:r w:rsidRPr="00E41157">
        <w:rPr>
          <w:rFonts w:ascii="Arial" w:hAnsi="Arial" w:cs="Arial"/>
          <w:sz w:val="22"/>
          <w:szCs w:val="22"/>
          <w:highlight w:val="green"/>
          <w:lang w:eastAsia="en-GB"/>
        </w:rPr>
        <w:t>MHz from the list of candidate bands. Hence there is no need to carry out further compatibility or sharing studies by WG SE with regard to B</w:t>
      </w:r>
      <w:r w:rsidR="00B2088A" w:rsidRPr="00E41157">
        <w:rPr>
          <w:rFonts w:ascii="Arial" w:hAnsi="Arial" w:cs="Arial"/>
          <w:sz w:val="22"/>
          <w:szCs w:val="22"/>
          <w:highlight w:val="green"/>
          <w:lang w:eastAsia="en-GB"/>
        </w:rPr>
        <w:t xml:space="preserve">roadband </w:t>
      </w:r>
      <w:r w:rsidRPr="00E41157">
        <w:rPr>
          <w:rFonts w:ascii="Arial" w:hAnsi="Arial" w:cs="Arial"/>
          <w:sz w:val="22"/>
          <w:szCs w:val="22"/>
          <w:highlight w:val="green"/>
          <w:lang w:eastAsia="en-GB"/>
        </w:rPr>
        <w:t>DA2GC for this band.</w:t>
      </w:r>
    </w:p>
    <w:p w:rsidR="00CF51D7" w:rsidRPr="0094522B" w:rsidRDefault="00CF51D7" w:rsidP="00B672F9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CF51D7" w:rsidRPr="0094522B" w:rsidRDefault="00CF51D7" w:rsidP="00B672F9">
      <w:pPr>
        <w:ind w:left="142"/>
        <w:rPr>
          <w:rFonts w:ascii="Arial" w:hAnsi="Arial" w:cs="Arial"/>
          <w:sz w:val="22"/>
          <w:szCs w:val="22"/>
          <w:lang w:eastAsia="en-GB"/>
        </w:rPr>
      </w:pPr>
      <w:r w:rsidRPr="0094522B">
        <w:rPr>
          <w:rFonts w:ascii="Arial" w:hAnsi="Arial" w:cs="Arial"/>
          <w:sz w:val="22"/>
          <w:szCs w:val="22"/>
          <w:lang w:eastAsia="en-GB"/>
        </w:rPr>
        <w:t xml:space="preserve">WG FM also supported the view already submitted to your project team SE44 by FM48, that for the compatibility and sharing studies </w:t>
      </w:r>
      <w:r w:rsidR="00B2088A" w:rsidRPr="00E41157">
        <w:rPr>
          <w:rFonts w:ascii="Arial" w:hAnsi="Arial" w:cs="Arial"/>
          <w:sz w:val="22"/>
          <w:szCs w:val="22"/>
          <w:highlight w:val="green"/>
          <w:lang w:eastAsia="en-GB"/>
        </w:rPr>
        <w:t xml:space="preserve">only </w:t>
      </w:r>
      <w:r w:rsidRPr="00E41157">
        <w:rPr>
          <w:rFonts w:ascii="Arial" w:hAnsi="Arial" w:cs="Arial"/>
          <w:sz w:val="22"/>
          <w:szCs w:val="22"/>
          <w:highlight w:val="green"/>
          <w:lang w:eastAsia="en-GB"/>
        </w:rPr>
        <w:t xml:space="preserve">those parameters for Broadband DA2GC </w:t>
      </w:r>
      <w:r w:rsidR="00B2088A" w:rsidRPr="00E41157">
        <w:rPr>
          <w:rFonts w:ascii="Arial" w:hAnsi="Arial" w:cs="Arial"/>
          <w:sz w:val="22"/>
          <w:szCs w:val="22"/>
          <w:highlight w:val="green"/>
          <w:lang w:eastAsia="en-GB"/>
        </w:rPr>
        <w:t xml:space="preserve">should be used </w:t>
      </w:r>
      <w:r w:rsidRPr="00E41157">
        <w:rPr>
          <w:rFonts w:ascii="Arial" w:hAnsi="Arial" w:cs="Arial"/>
          <w:sz w:val="22"/>
          <w:szCs w:val="22"/>
          <w:highlight w:val="green"/>
          <w:lang w:eastAsia="en-GB"/>
        </w:rPr>
        <w:t xml:space="preserve">which are based on / derived from </w:t>
      </w:r>
      <w:r w:rsidR="00BC5922" w:rsidRPr="00E41157">
        <w:rPr>
          <w:rFonts w:ascii="Arial" w:hAnsi="Arial" w:cs="Arial"/>
          <w:sz w:val="22"/>
          <w:szCs w:val="22"/>
          <w:highlight w:val="green"/>
          <w:lang w:eastAsia="en-GB"/>
        </w:rPr>
        <w:t xml:space="preserve">the following </w:t>
      </w:r>
      <w:r w:rsidR="00322F8D" w:rsidRPr="00E41157">
        <w:rPr>
          <w:rFonts w:ascii="Arial" w:hAnsi="Arial" w:cs="Arial"/>
          <w:sz w:val="22"/>
          <w:szCs w:val="22"/>
          <w:highlight w:val="green"/>
          <w:lang w:eastAsia="en-GB"/>
        </w:rPr>
        <w:t xml:space="preserve">two </w:t>
      </w:r>
      <w:r w:rsidRPr="00E41157">
        <w:rPr>
          <w:rFonts w:ascii="Arial" w:hAnsi="Arial" w:cs="Arial"/>
          <w:sz w:val="22"/>
          <w:szCs w:val="22"/>
          <w:highlight w:val="green"/>
          <w:lang w:eastAsia="en-GB"/>
        </w:rPr>
        <w:t>system d</w:t>
      </w:r>
      <w:r w:rsidR="00BC5922" w:rsidRPr="00E41157">
        <w:rPr>
          <w:rFonts w:ascii="Arial" w:hAnsi="Arial" w:cs="Arial"/>
          <w:sz w:val="22"/>
          <w:szCs w:val="22"/>
          <w:highlight w:val="green"/>
          <w:lang w:eastAsia="en-GB"/>
        </w:rPr>
        <w:t>escriptions as provided by ETSI:</w:t>
      </w:r>
    </w:p>
    <w:p w:rsidR="0094522B" w:rsidRPr="0094522B" w:rsidRDefault="0094522B" w:rsidP="00B672F9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94522B" w:rsidRPr="0094522B" w:rsidRDefault="0094522B" w:rsidP="00B672F9">
      <w:pPr>
        <w:ind w:left="142"/>
        <w:rPr>
          <w:rFonts w:ascii="Arial" w:hAnsi="Arial" w:cs="Arial"/>
          <w:sz w:val="22"/>
          <w:szCs w:val="22"/>
          <w:lang w:eastAsia="en-GB"/>
        </w:rPr>
      </w:pPr>
      <w:r w:rsidRPr="0094522B">
        <w:rPr>
          <w:rFonts w:ascii="Arial" w:hAnsi="Arial" w:cs="Arial"/>
          <w:sz w:val="22"/>
          <w:szCs w:val="22"/>
          <w:lang w:eastAsia="en-GB"/>
        </w:rPr>
        <w:t xml:space="preserve">“System Reference Document on Broadband Direct-Air-to-Ground Communications operating in part of the frequency range from 790 MHz to 5150 MHz“, </w:t>
      </w:r>
      <w:r w:rsidRPr="00E41157">
        <w:rPr>
          <w:rFonts w:ascii="Arial" w:hAnsi="Arial" w:cs="Arial"/>
          <w:sz w:val="22"/>
          <w:szCs w:val="22"/>
          <w:highlight w:val="green"/>
          <w:lang w:eastAsia="en-GB"/>
        </w:rPr>
        <w:t>ETSI TR 103 054 V1.1.1 (2010-07)</w:t>
      </w:r>
      <w:r w:rsidRPr="0094522B">
        <w:rPr>
          <w:rFonts w:ascii="Arial" w:hAnsi="Arial" w:cs="Arial"/>
          <w:sz w:val="22"/>
          <w:szCs w:val="22"/>
          <w:lang w:eastAsia="en-GB"/>
        </w:rPr>
        <w:t xml:space="preserve"> and draft “System Reference Document on Broadband Direct-Air-to-</w:t>
      </w:r>
      <w:r w:rsidRPr="0094522B">
        <w:rPr>
          <w:rFonts w:ascii="Arial" w:hAnsi="Arial" w:cs="Arial"/>
          <w:sz w:val="22"/>
          <w:szCs w:val="22"/>
          <w:lang w:eastAsia="en-GB"/>
        </w:rPr>
        <w:lastRenderedPageBreak/>
        <w:t xml:space="preserve">Ground Communications System employing beamforming antennas, operating in the 2.4 GHz and 5.8 GHz bands“, </w:t>
      </w:r>
      <w:r w:rsidRPr="00E41157">
        <w:rPr>
          <w:rFonts w:ascii="Arial" w:hAnsi="Arial" w:cs="Arial"/>
          <w:sz w:val="22"/>
          <w:szCs w:val="22"/>
          <w:highlight w:val="green"/>
          <w:lang w:eastAsia="en-GB"/>
        </w:rPr>
        <w:t>ETSI TR 101 599</w:t>
      </w:r>
      <w:r w:rsidR="004E7441" w:rsidRPr="00E41157">
        <w:rPr>
          <w:rFonts w:ascii="Arial" w:hAnsi="Arial" w:cs="Arial"/>
          <w:sz w:val="22"/>
          <w:szCs w:val="22"/>
          <w:highlight w:val="green"/>
          <w:lang w:eastAsia="en-GB"/>
        </w:rPr>
        <w:t xml:space="preserve"> (internal enquiry finished)</w:t>
      </w:r>
      <w:r w:rsidRPr="0094522B">
        <w:rPr>
          <w:rFonts w:ascii="Arial" w:hAnsi="Arial" w:cs="Arial"/>
          <w:sz w:val="22"/>
          <w:szCs w:val="22"/>
          <w:lang w:eastAsia="en-GB"/>
        </w:rPr>
        <w:t>.</w:t>
      </w:r>
    </w:p>
    <w:p w:rsidR="0094522B" w:rsidRPr="0094522B" w:rsidRDefault="0094522B" w:rsidP="00B672F9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94522B" w:rsidRPr="0094522B" w:rsidRDefault="0094522B" w:rsidP="00B672F9">
      <w:pPr>
        <w:ind w:left="142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WG FM also discussed possible future options with regard to the unpaired 2 GHz bands, </w:t>
      </w:r>
      <w:r w:rsidRPr="00E41157">
        <w:rPr>
          <w:rFonts w:ascii="Arial" w:hAnsi="Arial" w:cs="Arial"/>
          <w:sz w:val="22"/>
          <w:szCs w:val="22"/>
          <w:highlight w:val="green"/>
          <w:lang w:eastAsia="en-GB"/>
        </w:rPr>
        <w:t>1900 - 1920 MHz and 2010 - 2025 MHz</w:t>
      </w:r>
      <w:r>
        <w:rPr>
          <w:rFonts w:ascii="Arial" w:hAnsi="Arial" w:cs="Arial"/>
          <w:sz w:val="22"/>
          <w:szCs w:val="22"/>
          <w:lang w:eastAsia="en-GB"/>
        </w:rPr>
        <w:t xml:space="preserve">. </w:t>
      </w:r>
      <w:r w:rsidR="00322F8D">
        <w:rPr>
          <w:rFonts w:ascii="Arial" w:hAnsi="Arial" w:cs="Arial"/>
          <w:sz w:val="22"/>
          <w:szCs w:val="22"/>
          <w:lang w:eastAsia="en-GB"/>
        </w:rPr>
        <w:t xml:space="preserve">Broadband DA2GC systems are included in the list of options. </w:t>
      </w:r>
      <w:r w:rsidRPr="00E41157">
        <w:rPr>
          <w:rFonts w:ascii="Arial" w:hAnsi="Arial" w:cs="Arial"/>
          <w:sz w:val="22"/>
          <w:szCs w:val="22"/>
          <w:highlight w:val="green"/>
          <w:lang w:eastAsia="en-GB"/>
        </w:rPr>
        <w:t>A report to the forthcoming ECC plenary meeting and a separate liaison statement to WG SE will be provided on that</w:t>
      </w:r>
      <w:r w:rsidR="004E7441" w:rsidRPr="00E41157">
        <w:rPr>
          <w:rFonts w:ascii="Arial" w:hAnsi="Arial" w:cs="Arial"/>
          <w:sz w:val="22"/>
          <w:szCs w:val="22"/>
          <w:highlight w:val="green"/>
          <w:lang w:eastAsia="en-GB"/>
        </w:rPr>
        <w:t xml:space="preserve"> issue</w:t>
      </w:r>
      <w:r w:rsidR="00322F8D" w:rsidRPr="00E41157">
        <w:rPr>
          <w:rFonts w:ascii="Arial" w:hAnsi="Arial" w:cs="Arial"/>
          <w:sz w:val="22"/>
          <w:szCs w:val="22"/>
          <w:highlight w:val="green"/>
          <w:lang w:eastAsia="en-GB"/>
        </w:rPr>
        <w:t xml:space="preserve"> by WG FM</w:t>
      </w:r>
      <w:r w:rsidRPr="00E41157">
        <w:rPr>
          <w:rFonts w:ascii="Arial" w:hAnsi="Arial" w:cs="Arial"/>
          <w:sz w:val="22"/>
          <w:szCs w:val="22"/>
          <w:highlight w:val="green"/>
          <w:lang w:eastAsia="en-GB"/>
        </w:rPr>
        <w:t>.</w:t>
      </w:r>
      <w:bookmarkStart w:id="0" w:name="_GoBack"/>
      <w:bookmarkEnd w:id="0"/>
    </w:p>
    <w:p w:rsidR="00CB25C6" w:rsidRPr="0094522B" w:rsidRDefault="00CB25C6" w:rsidP="00B672F9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CB25C6" w:rsidRPr="0094522B" w:rsidRDefault="0094522B" w:rsidP="00B672F9">
      <w:pPr>
        <w:ind w:left="142"/>
        <w:rPr>
          <w:rFonts w:ascii="Arial" w:hAnsi="Arial" w:cs="Arial"/>
          <w:sz w:val="22"/>
          <w:szCs w:val="22"/>
          <w:lang w:eastAsia="en-GB"/>
        </w:rPr>
      </w:pPr>
      <w:r w:rsidRPr="0094522B">
        <w:rPr>
          <w:rFonts w:ascii="Arial" w:hAnsi="Arial" w:cs="Arial"/>
          <w:sz w:val="22"/>
          <w:szCs w:val="22"/>
          <w:lang w:eastAsia="en-GB"/>
        </w:rPr>
        <w:t>Kind</w:t>
      </w:r>
      <w:r w:rsidR="00CB25C6" w:rsidRPr="0094522B">
        <w:rPr>
          <w:rFonts w:ascii="Arial" w:hAnsi="Arial" w:cs="Arial"/>
          <w:sz w:val="22"/>
          <w:szCs w:val="22"/>
          <w:lang w:eastAsia="en-GB"/>
        </w:rPr>
        <w:t xml:space="preserve"> regards</w:t>
      </w:r>
    </w:p>
    <w:p w:rsidR="00CB25C6" w:rsidRPr="0094522B" w:rsidRDefault="00CB25C6" w:rsidP="00B672F9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CB25C6" w:rsidRPr="0094522B" w:rsidRDefault="00CB25C6" w:rsidP="00B672F9">
      <w:pPr>
        <w:ind w:left="142"/>
        <w:rPr>
          <w:rFonts w:ascii="Arial" w:hAnsi="Arial" w:cs="Arial"/>
          <w:sz w:val="22"/>
          <w:szCs w:val="22"/>
          <w:lang w:eastAsia="en-GB"/>
        </w:rPr>
      </w:pPr>
      <w:r w:rsidRPr="0094522B">
        <w:rPr>
          <w:rFonts w:ascii="Arial" w:hAnsi="Arial" w:cs="Arial"/>
          <w:sz w:val="22"/>
          <w:szCs w:val="22"/>
          <w:lang w:eastAsia="en-GB"/>
        </w:rPr>
        <w:t>Sergey Pastukh</w:t>
      </w:r>
    </w:p>
    <w:p w:rsidR="00713F98" w:rsidRPr="0094522B" w:rsidRDefault="00713F98" w:rsidP="00B672F9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CB25C6" w:rsidRPr="0094522B" w:rsidRDefault="00CB25C6" w:rsidP="00B672F9">
      <w:pPr>
        <w:ind w:left="142"/>
        <w:rPr>
          <w:rFonts w:ascii="Arial" w:hAnsi="Arial" w:cs="Arial"/>
          <w:sz w:val="22"/>
          <w:szCs w:val="22"/>
          <w:lang w:eastAsia="en-GB"/>
        </w:rPr>
      </w:pPr>
      <w:r w:rsidRPr="0094522B">
        <w:rPr>
          <w:rFonts w:ascii="Arial" w:hAnsi="Arial" w:cs="Arial"/>
          <w:sz w:val="22"/>
          <w:szCs w:val="22"/>
          <w:lang w:eastAsia="en-GB"/>
        </w:rPr>
        <w:t>Chairman WG FM</w:t>
      </w:r>
    </w:p>
    <w:p w:rsidR="00CB25C6" w:rsidRPr="0094522B" w:rsidRDefault="00CB25C6" w:rsidP="00B672F9">
      <w:pPr>
        <w:ind w:left="142"/>
        <w:rPr>
          <w:rFonts w:ascii="Arial" w:hAnsi="Arial" w:cs="Arial"/>
          <w:sz w:val="22"/>
          <w:szCs w:val="22"/>
          <w:lang w:eastAsia="en-GB"/>
        </w:rPr>
      </w:pPr>
      <w:r w:rsidRPr="0094522B">
        <w:rPr>
          <w:rFonts w:ascii="Arial" w:hAnsi="Arial" w:cs="Arial"/>
          <w:sz w:val="22"/>
          <w:szCs w:val="22"/>
          <w:lang w:eastAsia="en-GB"/>
        </w:rPr>
        <w:t xml:space="preserve">E-mail: </w:t>
      </w:r>
      <w:hyperlink r:id="rId12" w:history="1">
        <w:r w:rsidRPr="0094522B">
          <w:rPr>
            <w:rStyle w:val="Hyperlink"/>
            <w:rFonts w:ascii="Arial" w:hAnsi="Arial" w:cs="Arial"/>
            <w:sz w:val="22"/>
            <w:szCs w:val="22"/>
            <w:lang w:eastAsia="en-GB"/>
          </w:rPr>
          <w:t>sup@niir.ru</w:t>
        </w:r>
      </w:hyperlink>
    </w:p>
    <w:p w:rsidR="00CB64C7" w:rsidRPr="0094522B" w:rsidRDefault="00CB64C7" w:rsidP="00B672F9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020A81" w:rsidRPr="0094522B" w:rsidRDefault="00020A81" w:rsidP="00B672F9">
      <w:pPr>
        <w:ind w:left="142"/>
        <w:rPr>
          <w:rFonts w:ascii="Arial" w:hAnsi="Arial" w:cs="Arial"/>
          <w:sz w:val="22"/>
          <w:szCs w:val="22"/>
          <w:lang w:eastAsia="en-GB"/>
        </w:rPr>
      </w:pPr>
    </w:p>
    <w:sectPr w:rsidR="00020A81" w:rsidRPr="0094522B" w:rsidSect="00B672F9">
      <w:headerReference w:type="first" r:id="rId13"/>
      <w:pgSz w:w="11906" w:h="16838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A9F" w:rsidRDefault="007F4A9F">
      <w:r>
        <w:separator/>
      </w:r>
    </w:p>
  </w:endnote>
  <w:endnote w:type="continuationSeparator" w:id="0">
    <w:p w:rsidR="007F4A9F" w:rsidRDefault="007F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A9F" w:rsidRDefault="007F4A9F">
      <w:r>
        <w:separator/>
      </w:r>
    </w:p>
  </w:footnote>
  <w:footnote w:type="continuationSeparator" w:id="0">
    <w:p w:rsidR="007F4A9F" w:rsidRDefault="007F4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157" w:rsidRDefault="00E41157">
    <w:pPr>
      <w:pStyle w:val="Kopfzeile"/>
      <w:jc w:val="right"/>
      <w:rPr>
        <w:rFonts w:ascii="Arial" w:hAnsi="Arial" w:cs="Arial"/>
        <w:b/>
        <w:sz w:val="24"/>
        <w:szCs w:val="24"/>
        <w:lang w:val="de-DE"/>
      </w:rPr>
    </w:pPr>
    <w:r>
      <w:rPr>
        <w:rFonts w:ascii="Arial" w:hAnsi="Arial" w:cs="Arial"/>
        <w:b/>
        <w:sz w:val="24"/>
        <w:szCs w:val="24"/>
        <w:lang w:val="de-DE"/>
      </w:rPr>
      <w:t>FM48(12)017</w:t>
    </w:r>
  </w:p>
  <w:p w:rsidR="00CB25C6" w:rsidRPr="00E41157" w:rsidRDefault="00633410">
    <w:pPr>
      <w:pStyle w:val="Kopfzeile"/>
      <w:jc w:val="right"/>
      <w:rPr>
        <w:rFonts w:ascii="Arial" w:hAnsi="Arial" w:cs="Arial"/>
        <w:lang w:val="de-DE"/>
      </w:rPr>
    </w:pPr>
    <w:r w:rsidRPr="00E41157">
      <w:rPr>
        <w:rFonts w:ascii="Arial" w:hAnsi="Arial" w:cs="Arial"/>
        <w:lang w:val="de-DE"/>
      </w:rPr>
      <w:t>TEMP 037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169B0"/>
    <w:multiLevelType w:val="hybridMultilevel"/>
    <w:tmpl w:val="2A3C94C8"/>
    <w:lvl w:ilvl="0" w:tplc="69485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5B11ED"/>
    <w:multiLevelType w:val="hybridMultilevel"/>
    <w:tmpl w:val="A7060ADA"/>
    <w:lvl w:ilvl="0" w:tplc="69485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2D"/>
    <w:rsid w:val="00020A81"/>
    <w:rsid w:val="00026132"/>
    <w:rsid w:val="00052F68"/>
    <w:rsid w:val="001F0AF8"/>
    <w:rsid w:val="002350C9"/>
    <w:rsid w:val="00284AC7"/>
    <w:rsid w:val="002C43AF"/>
    <w:rsid w:val="00310DBF"/>
    <w:rsid w:val="00322F8D"/>
    <w:rsid w:val="00332212"/>
    <w:rsid w:val="003748FA"/>
    <w:rsid w:val="003E08C9"/>
    <w:rsid w:val="00416C1F"/>
    <w:rsid w:val="00423C89"/>
    <w:rsid w:val="004734E3"/>
    <w:rsid w:val="00474D2F"/>
    <w:rsid w:val="004E6FEB"/>
    <w:rsid w:val="004E7441"/>
    <w:rsid w:val="00520A59"/>
    <w:rsid w:val="005D2AA6"/>
    <w:rsid w:val="00633410"/>
    <w:rsid w:val="00672EF0"/>
    <w:rsid w:val="00674144"/>
    <w:rsid w:val="00713F98"/>
    <w:rsid w:val="007273E6"/>
    <w:rsid w:val="0079366C"/>
    <w:rsid w:val="007F4A9F"/>
    <w:rsid w:val="007F5EA8"/>
    <w:rsid w:val="00812878"/>
    <w:rsid w:val="0087559C"/>
    <w:rsid w:val="008F05D6"/>
    <w:rsid w:val="00905499"/>
    <w:rsid w:val="009372FD"/>
    <w:rsid w:val="0094522B"/>
    <w:rsid w:val="00994924"/>
    <w:rsid w:val="00A22A63"/>
    <w:rsid w:val="00A7759D"/>
    <w:rsid w:val="00AA4CAA"/>
    <w:rsid w:val="00B15794"/>
    <w:rsid w:val="00B2088A"/>
    <w:rsid w:val="00B672F9"/>
    <w:rsid w:val="00BC5922"/>
    <w:rsid w:val="00C2117E"/>
    <w:rsid w:val="00C73F33"/>
    <w:rsid w:val="00CB25C6"/>
    <w:rsid w:val="00CB64C7"/>
    <w:rsid w:val="00CE77E6"/>
    <w:rsid w:val="00CF38A7"/>
    <w:rsid w:val="00CF51D7"/>
    <w:rsid w:val="00CF5773"/>
    <w:rsid w:val="00D24B3A"/>
    <w:rsid w:val="00D436B4"/>
    <w:rsid w:val="00DD1368"/>
    <w:rsid w:val="00DD6A4F"/>
    <w:rsid w:val="00E068CB"/>
    <w:rsid w:val="00E41157"/>
    <w:rsid w:val="00E42074"/>
    <w:rsid w:val="00E76348"/>
    <w:rsid w:val="00E938C1"/>
    <w:rsid w:val="00F514F5"/>
    <w:rsid w:val="00F8182D"/>
    <w:rsid w:val="00FB03CC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eastAsia="de-DE"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  <w:rPr>
      <w:lang w:val="en-US" w:eastAsia="en-GB"/>
    </w:r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customStyle="1" w:styleId="CharChar">
    <w:name w:val="Char Char"/>
    <w:basedOn w:val="Standard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arCarZchnZchn">
    <w:name w:val="Car Car Zchn Zchn"/>
    <w:basedOn w:val="Standard"/>
    <w:semiHidden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character" w:customStyle="1" w:styleId="1">
    <w:name w:val="Знак Знак1"/>
    <w:rPr>
      <w:lang w:val="en-GB" w:eastAsia="de-DE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">
    <w:name w:val="Знак Знак"/>
    <w:rPr>
      <w:rFonts w:ascii="Tahoma" w:hAnsi="Tahoma" w:cs="Tahoma"/>
      <w:sz w:val="16"/>
      <w:szCs w:val="16"/>
      <w:lang w:val="en-GB" w:eastAsia="de-DE"/>
    </w:rPr>
  </w:style>
  <w:style w:type="character" w:styleId="Hyperlink">
    <w:name w:val="Hyperlink"/>
    <w:semiHidden/>
    <w:rPr>
      <w:color w:val="0000FF"/>
      <w:u w:val="single"/>
    </w:rPr>
  </w:style>
  <w:style w:type="character" w:styleId="Funotenzeichen">
    <w:name w:val="footnote reference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eastAsia="de-DE"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  <w:rPr>
      <w:lang w:val="en-US" w:eastAsia="en-GB"/>
    </w:r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customStyle="1" w:styleId="CharChar">
    <w:name w:val="Char Char"/>
    <w:basedOn w:val="Standard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arCarZchnZchn">
    <w:name w:val="Car Car Zchn Zchn"/>
    <w:basedOn w:val="Standard"/>
    <w:semiHidden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character" w:customStyle="1" w:styleId="1">
    <w:name w:val="Знак Знак1"/>
    <w:rPr>
      <w:lang w:val="en-GB" w:eastAsia="de-DE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">
    <w:name w:val="Знак Знак"/>
    <w:rPr>
      <w:rFonts w:ascii="Tahoma" w:hAnsi="Tahoma" w:cs="Tahoma"/>
      <w:sz w:val="16"/>
      <w:szCs w:val="16"/>
      <w:lang w:val="en-GB" w:eastAsia="de-DE"/>
    </w:rPr>
  </w:style>
  <w:style w:type="character" w:styleId="Hyperlink">
    <w:name w:val="Hyperlink"/>
    <w:semiHidden/>
    <w:rPr>
      <w:color w:val="0000FF"/>
      <w:u w:val="single"/>
    </w:rPr>
  </w:style>
  <w:style w:type="character" w:styleId="Funotenzeichen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up@nii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tefan.bach@bnetza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auveau@anfr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pinosa@anfr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from WG FM to WG SE</vt:lpstr>
    </vt:vector>
  </TitlesOfParts>
  <Company>CEPT/ECC WG FM</Company>
  <LinksUpToDate>false</LinksUpToDate>
  <CharactersWithSpaces>2364</CharactersWithSpaces>
  <SharedDoc>false</SharedDoc>
  <HLinks>
    <vt:vector size="12" baseType="variant">
      <vt:variant>
        <vt:i4>3997718</vt:i4>
      </vt:variant>
      <vt:variant>
        <vt:i4>3</vt:i4>
      </vt:variant>
      <vt:variant>
        <vt:i4>0</vt:i4>
      </vt:variant>
      <vt:variant>
        <vt:i4>5</vt:i4>
      </vt:variant>
      <vt:variant>
        <vt:lpwstr>mailto:sup@niir.ru</vt:lpwstr>
      </vt:variant>
      <vt:variant>
        <vt:lpwstr/>
      </vt:variant>
      <vt:variant>
        <vt:i4>5046385</vt:i4>
      </vt:variant>
      <vt:variant>
        <vt:i4>0</vt:i4>
      </vt:variant>
      <vt:variant>
        <vt:i4>0</vt:i4>
      </vt:variant>
      <vt:variant>
        <vt:i4>5</vt:i4>
      </vt:variant>
      <vt:variant>
        <vt:lpwstr>mailto:steve.bond@ofcom.org.uk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from WG FM to WG SE</dc:title>
  <dc:subject>Candidate bands, DA2GC systems</dc:subject>
  <dc:creator>Thomas Weilacher</dc:creator>
  <cp:keywords>BDA2GC</cp:keywords>
  <dc:description/>
  <cp:lastModifiedBy>Thomas Weilacher</cp:lastModifiedBy>
  <cp:revision>3</cp:revision>
  <cp:lastPrinted>2012-04-30T13:37:00Z</cp:lastPrinted>
  <dcterms:created xsi:type="dcterms:W3CDTF">2012-04-26T15:28:00Z</dcterms:created>
  <dcterms:modified xsi:type="dcterms:W3CDTF">2012-04-30T13:38:00Z</dcterms:modified>
  <cp:contentStatus>Tempdoc</cp:contentStatus>
</cp:coreProperties>
</file>