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4C" w:rsidRDefault="00AE264C"/>
    <w:tbl>
      <w:tblPr>
        <w:tblW w:w="9923" w:type="dxa"/>
        <w:tblInd w:w="-497" w:type="dxa"/>
        <w:tblLayout w:type="fixed"/>
        <w:tblCellMar>
          <w:left w:w="70" w:type="dxa"/>
          <w:right w:w="70" w:type="dxa"/>
        </w:tblCellMar>
        <w:tblLook w:val="0000" w:firstRow="0" w:lastRow="0" w:firstColumn="0" w:lastColumn="0" w:noHBand="0" w:noVBand="0"/>
      </w:tblPr>
      <w:tblGrid>
        <w:gridCol w:w="5670"/>
        <w:gridCol w:w="4253"/>
      </w:tblGrid>
      <w:tr w:rsidR="00AE264C" w:rsidTr="006778AE">
        <w:trPr>
          <w:cantSplit/>
        </w:trPr>
        <w:tc>
          <w:tcPr>
            <w:tcW w:w="5670" w:type="dxa"/>
          </w:tcPr>
          <w:p w:rsidR="00AE264C" w:rsidRDefault="00DE78C4" w:rsidP="00321049">
            <w:pPr>
              <w:ind w:right="282"/>
            </w:pPr>
            <w:r>
              <w:rPr>
                <w:b/>
                <w:bCs/>
                <w:noProof/>
                <w:lang w:eastAsia="en-GB"/>
              </w:rPr>
              <w:drawing>
                <wp:inline distT="0" distB="0" distL="0" distR="0">
                  <wp:extent cx="1628140"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8140" cy="833755"/>
                          </a:xfrm>
                          <a:prstGeom prst="rect">
                            <a:avLst/>
                          </a:prstGeom>
                          <a:noFill/>
                          <a:ln w="9525">
                            <a:noFill/>
                            <a:miter lim="800000"/>
                            <a:headEnd/>
                            <a:tailEnd/>
                          </a:ln>
                        </pic:spPr>
                      </pic:pic>
                    </a:graphicData>
                  </a:graphic>
                </wp:inline>
              </w:drawing>
            </w:r>
          </w:p>
        </w:tc>
        <w:tc>
          <w:tcPr>
            <w:tcW w:w="4253" w:type="dxa"/>
          </w:tcPr>
          <w:p w:rsidR="00AE264C" w:rsidRDefault="00AE264C" w:rsidP="00321049">
            <w:pPr>
              <w:ind w:right="282"/>
              <w:jc w:val="right"/>
            </w:pPr>
          </w:p>
        </w:tc>
      </w:tr>
      <w:tr w:rsidR="00AE264C" w:rsidTr="006778AE">
        <w:tblPrEx>
          <w:tblCellMar>
            <w:left w:w="108" w:type="dxa"/>
            <w:right w:w="108" w:type="dxa"/>
          </w:tblCellMar>
        </w:tblPrEx>
        <w:tc>
          <w:tcPr>
            <w:tcW w:w="5670" w:type="dxa"/>
          </w:tcPr>
          <w:p w:rsidR="00AE264C" w:rsidRPr="00A3369E" w:rsidRDefault="00AE264C" w:rsidP="00321049">
            <w:pPr>
              <w:pStyle w:val="berschrift4"/>
              <w:ind w:right="-321"/>
              <w:rPr>
                <w:color w:val="808080"/>
              </w:rPr>
            </w:pPr>
            <w:r w:rsidRPr="00A3369E">
              <w:rPr>
                <w:color w:val="808080"/>
              </w:rPr>
              <w:t xml:space="preserve"> </w:t>
            </w:r>
          </w:p>
          <w:p w:rsidR="00AE264C" w:rsidRPr="00A3369E" w:rsidRDefault="00AE264C" w:rsidP="00321049">
            <w:pPr>
              <w:pStyle w:val="berschrift4"/>
              <w:ind w:right="-321"/>
              <w:rPr>
                <w:color w:val="808080"/>
              </w:rPr>
            </w:pPr>
            <w:r w:rsidRPr="00A3369E">
              <w:rPr>
                <w:color w:val="808080"/>
              </w:rPr>
              <w:t>Working Group FM</w:t>
            </w:r>
          </w:p>
        </w:tc>
        <w:tc>
          <w:tcPr>
            <w:tcW w:w="4253" w:type="dxa"/>
          </w:tcPr>
          <w:p w:rsidR="00AE264C" w:rsidRDefault="00AE264C" w:rsidP="00321049">
            <w:pPr>
              <w:ind w:right="282"/>
              <w:rPr>
                <w:sz w:val="12"/>
              </w:rPr>
            </w:pPr>
          </w:p>
          <w:p w:rsidR="00AE264C" w:rsidRDefault="00AE264C" w:rsidP="00321049">
            <w:pPr>
              <w:pStyle w:val="berschrift4"/>
              <w:ind w:right="-321"/>
            </w:pPr>
          </w:p>
        </w:tc>
      </w:tr>
      <w:tr w:rsidR="00AE264C" w:rsidTr="006778AE">
        <w:tblPrEx>
          <w:tblCellMar>
            <w:left w:w="108" w:type="dxa"/>
            <w:right w:w="108" w:type="dxa"/>
          </w:tblCellMar>
        </w:tblPrEx>
        <w:tc>
          <w:tcPr>
            <w:tcW w:w="5670" w:type="dxa"/>
          </w:tcPr>
          <w:p w:rsidR="00AE264C" w:rsidRDefault="00AE264C" w:rsidP="00321049">
            <w:pPr>
              <w:pStyle w:val="berschrift4"/>
              <w:ind w:right="-321"/>
            </w:pPr>
          </w:p>
        </w:tc>
        <w:tc>
          <w:tcPr>
            <w:tcW w:w="4253" w:type="dxa"/>
          </w:tcPr>
          <w:p w:rsidR="00AE264C" w:rsidRDefault="00AE264C" w:rsidP="00321049">
            <w:pPr>
              <w:pStyle w:val="berschrift4"/>
              <w:ind w:right="-321"/>
            </w:pPr>
          </w:p>
        </w:tc>
      </w:tr>
      <w:tr w:rsidR="00AE264C" w:rsidRPr="004C43DC" w:rsidTr="006778AE">
        <w:tblPrEx>
          <w:tblCellMar>
            <w:left w:w="108" w:type="dxa"/>
            <w:right w:w="108" w:type="dxa"/>
          </w:tblCellMar>
        </w:tblPrEx>
        <w:trPr>
          <w:trHeight w:val="377"/>
        </w:trPr>
        <w:tc>
          <w:tcPr>
            <w:tcW w:w="5670" w:type="dxa"/>
          </w:tcPr>
          <w:p w:rsidR="00AE264C" w:rsidRPr="004C43DC" w:rsidRDefault="00553188" w:rsidP="002055CD">
            <w:pPr>
              <w:spacing w:before="60"/>
              <w:rPr>
                <w:rFonts w:ascii="Arial" w:hAnsi="Arial" w:cs="Arial"/>
                <w:b/>
                <w:sz w:val="24"/>
                <w:szCs w:val="24"/>
              </w:rPr>
            </w:pPr>
            <w:r w:rsidRPr="004C43DC">
              <w:rPr>
                <w:rFonts w:ascii="Arial" w:hAnsi="Arial" w:cs="Arial"/>
                <w:b/>
                <w:sz w:val="24"/>
                <w:szCs w:val="24"/>
              </w:rPr>
              <w:t>7</w:t>
            </w:r>
            <w:r w:rsidR="00A73F12" w:rsidRPr="00A73F12">
              <w:rPr>
                <w:rFonts w:ascii="Arial" w:hAnsi="Arial" w:cs="Arial"/>
                <w:b/>
                <w:sz w:val="24"/>
                <w:szCs w:val="24"/>
                <w:lang w:val="en-US"/>
              </w:rPr>
              <w:t>2</w:t>
            </w:r>
            <w:r w:rsidR="00A73F12" w:rsidRPr="00A73F12">
              <w:rPr>
                <w:rFonts w:ascii="Arial" w:hAnsi="Arial" w:cs="Arial"/>
                <w:b/>
                <w:sz w:val="24"/>
                <w:szCs w:val="24"/>
                <w:vertAlign w:val="superscript"/>
                <w:lang w:val="en-US"/>
              </w:rPr>
              <w:t>nd</w:t>
            </w:r>
            <w:r w:rsidR="004C43DC">
              <w:rPr>
                <w:rFonts w:ascii="Arial" w:hAnsi="Arial" w:cs="Arial"/>
                <w:b/>
                <w:sz w:val="24"/>
                <w:szCs w:val="24"/>
                <w:vertAlign w:val="superscript"/>
              </w:rPr>
              <w:t xml:space="preserve">  </w:t>
            </w:r>
            <w:r w:rsidR="00AE264C" w:rsidRPr="004C43DC">
              <w:rPr>
                <w:rFonts w:ascii="Arial" w:hAnsi="Arial" w:cs="Arial"/>
                <w:b/>
                <w:sz w:val="24"/>
                <w:szCs w:val="24"/>
              </w:rPr>
              <w:t xml:space="preserve">Meeting of the WG FM </w:t>
            </w:r>
          </w:p>
          <w:p w:rsidR="00AE264C" w:rsidRPr="004C43DC" w:rsidRDefault="00A73F12" w:rsidP="00A73F12">
            <w:pPr>
              <w:spacing w:before="60"/>
              <w:rPr>
                <w:rFonts w:ascii="Arial" w:hAnsi="Arial" w:cs="Arial"/>
                <w:b/>
                <w:sz w:val="24"/>
                <w:szCs w:val="24"/>
              </w:rPr>
            </w:pPr>
            <w:r w:rsidRPr="00A73F12">
              <w:rPr>
                <w:rFonts w:ascii="Arial" w:hAnsi="Arial"/>
                <w:b/>
                <w:sz w:val="24"/>
              </w:rPr>
              <w:t>Miesbach</w:t>
            </w:r>
            <w:r w:rsidR="0003633D" w:rsidRPr="00A73F12">
              <w:rPr>
                <w:rFonts w:ascii="Arial" w:hAnsi="Arial"/>
                <w:b/>
                <w:sz w:val="24"/>
              </w:rPr>
              <w:t xml:space="preserve">, </w:t>
            </w:r>
            <w:r>
              <w:rPr>
                <w:rFonts w:ascii="Arial" w:hAnsi="Arial"/>
                <w:b/>
                <w:sz w:val="24"/>
              </w:rPr>
              <w:t>16 – 20 May 2011</w:t>
            </w:r>
          </w:p>
        </w:tc>
        <w:tc>
          <w:tcPr>
            <w:tcW w:w="4253" w:type="dxa"/>
          </w:tcPr>
          <w:p w:rsidR="00AE264C" w:rsidRPr="004C43DC" w:rsidRDefault="00D90C62" w:rsidP="00D90C62">
            <w:pPr>
              <w:spacing w:before="60"/>
              <w:jc w:val="right"/>
              <w:rPr>
                <w:rFonts w:ascii="Arial" w:hAnsi="Arial" w:cs="Arial"/>
                <w:b/>
                <w:sz w:val="24"/>
                <w:szCs w:val="24"/>
              </w:rPr>
            </w:pPr>
            <w:r>
              <w:rPr>
                <w:rFonts w:ascii="Arial" w:hAnsi="Arial" w:cs="Arial"/>
                <w:b/>
                <w:sz w:val="24"/>
                <w:szCs w:val="24"/>
              </w:rPr>
              <w:t>FM48(11)022</w:t>
            </w:r>
          </w:p>
          <w:p w:rsidR="00AE264C" w:rsidRPr="00D90C62" w:rsidRDefault="00AE264C" w:rsidP="009A0FAE">
            <w:pPr>
              <w:spacing w:before="60"/>
            </w:pPr>
            <w:r w:rsidRPr="00D90C62">
              <w:rPr>
                <w:rFonts w:ascii="Arial" w:hAnsi="Arial" w:cs="Arial"/>
              </w:rPr>
              <w:t xml:space="preserve">             </w:t>
            </w:r>
            <w:r w:rsidR="0003633D" w:rsidRPr="00D90C62">
              <w:rPr>
                <w:rFonts w:ascii="Arial" w:hAnsi="Arial" w:cs="Arial"/>
              </w:rPr>
              <w:t xml:space="preserve">                            FM(</w:t>
            </w:r>
            <w:r w:rsidR="00AF46BF" w:rsidRPr="00D90C62">
              <w:rPr>
                <w:rFonts w:ascii="Arial" w:hAnsi="Arial" w:cs="Arial"/>
                <w:lang w:val="ru-RU"/>
              </w:rPr>
              <w:t>1</w:t>
            </w:r>
            <w:r w:rsidR="00AF46BF" w:rsidRPr="00D90C62">
              <w:rPr>
                <w:rFonts w:ascii="Arial" w:hAnsi="Arial" w:cs="Arial"/>
                <w:lang w:val="en-US"/>
              </w:rPr>
              <w:t>1</w:t>
            </w:r>
            <w:r w:rsidRPr="00D90C62">
              <w:rPr>
                <w:rFonts w:ascii="Arial" w:hAnsi="Arial" w:cs="Arial"/>
              </w:rPr>
              <w:t>)</w:t>
            </w:r>
            <w:r w:rsidR="005F3AB2" w:rsidRPr="00D90C62">
              <w:rPr>
                <w:rFonts w:ascii="Arial" w:hAnsi="Arial" w:cs="Arial"/>
              </w:rPr>
              <w:t>103</w:t>
            </w:r>
          </w:p>
        </w:tc>
      </w:tr>
      <w:tr w:rsidR="00AE264C" w:rsidTr="006778AE">
        <w:tblPrEx>
          <w:tblCellMar>
            <w:left w:w="108" w:type="dxa"/>
            <w:right w:w="108" w:type="dxa"/>
          </w:tblCellMar>
        </w:tblPrEx>
        <w:tc>
          <w:tcPr>
            <w:tcW w:w="9923" w:type="dxa"/>
            <w:gridSpan w:val="2"/>
          </w:tcPr>
          <w:p w:rsidR="00AE264C" w:rsidRDefault="00AE264C" w:rsidP="00321049">
            <w:pPr>
              <w:pStyle w:val="berschrift4"/>
              <w:tabs>
                <w:tab w:val="left" w:pos="8789"/>
              </w:tabs>
              <w:rPr>
                <w:rFonts w:cs="Arial"/>
                <w:szCs w:val="24"/>
              </w:rPr>
            </w:pPr>
          </w:p>
          <w:p w:rsidR="00AE264C" w:rsidRDefault="00AE264C" w:rsidP="00321049">
            <w:pPr>
              <w:rPr>
                <w:rFonts w:ascii="Arial" w:hAnsi="Arial" w:cs="Arial"/>
                <w:b/>
                <w:sz w:val="24"/>
                <w:szCs w:val="24"/>
              </w:rPr>
            </w:pPr>
            <w:r>
              <w:rPr>
                <w:rFonts w:ascii="Arial" w:hAnsi="Arial" w:cs="Arial"/>
                <w:b/>
                <w:sz w:val="24"/>
                <w:szCs w:val="24"/>
              </w:rPr>
              <w:t xml:space="preserve">Date issued: </w:t>
            </w:r>
            <w:r w:rsidR="00F83651">
              <w:rPr>
                <w:rFonts w:ascii="Arial" w:hAnsi="Arial" w:cs="Arial"/>
                <w:b/>
                <w:sz w:val="24"/>
                <w:szCs w:val="24"/>
              </w:rPr>
              <w:t>9 May 2011</w:t>
            </w:r>
          </w:p>
          <w:p w:rsidR="00AE264C" w:rsidRDefault="00AE264C" w:rsidP="00321049">
            <w:pPr>
              <w:rPr>
                <w:rFonts w:ascii="Arial" w:hAnsi="Arial" w:cs="Arial"/>
                <w:b/>
                <w:sz w:val="24"/>
                <w:szCs w:val="24"/>
              </w:rPr>
            </w:pPr>
          </w:p>
          <w:p w:rsidR="00AE264C" w:rsidRDefault="00AE264C" w:rsidP="00321049">
            <w:pPr>
              <w:rPr>
                <w:rFonts w:ascii="Arial" w:hAnsi="Arial" w:cs="Arial"/>
                <w:b/>
                <w:sz w:val="24"/>
                <w:szCs w:val="24"/>
              </w:rPr>
            </w:pPr>
            <w:r>
              <w:rPr>
                <w:rFonts w:ascii="Arial" w:hAnsi="Arial" w:cs="Arial"/>
                <w:b/>
                <w:sz w:val="24"/>
                <w:szCs w:val="24"/>
              </w:rPr>
              <w:t xml:space="preserve">Source: </w:t>
            </w:r>
            <w:r w:rsidR="005F3AB2">
              <w:rPr>
                <w:rFonts w:ascii="Arial" w:hAnsi="Arial" w:cs="Arial"/>
                <w:b/>
                <w:sz w:val="24"/>
                <w:szCs w:val="24"/>
              </w:rPr>
              <w:t xml:space="preserve">        </w:t>
            </w:r>
            <w:r w:rsidR="00F83651">
              <w:rPr>
                <w:rFonts w:ascii="Arial" w:hAnsi="Arial" w:cs="Arial"/>
                <w:b/>
                <w:sz w:val="24"/>
                <w:szCs w:val="24"/>
              </w:rPr>
              <w:t>United Kingdom</w:t>
            </w:r>
          </w:p>
          <w:p w:rsidR="00AE264C" w:rsidRDefault="00AE264C" w:rsidP="00321049">
            <w:pPr>
              <w:rPr>
                <w:rFonts w:ascii="Arial" w:hAnsi="Arial" w:cs="Arial"/>
                <w:b/>
                <w:sz w:val="24"/>
                <w:szCs w:val="24"/>
              </w:rPr>
            </w:pPr>
          </w:p>
          <w:p w:rsidR="005F3AB2" w:rsidRDefault="00AE264C" w:rsidP="00321049">
            <w:pPr>
              <w:rPr>
                <w:rFonts w:ascii="Arial" w:hAnsi="Arial" w:cs="Arial"/>
                <w:b/>
                <w:sz w:val="24"/>
                <w:szCs w:val="24"/>
              </w:rPr>
            </w:pPr>
            <w:r>
              <w:rPr>
                <w:rFonts w:ascii="Arial" w:hAnsi="Arial" w:cs="Arial"/>
                <w:b/>
                <w:sz w:val="24"/>
                <w:szCs w:val="24"/>
              </w:rPr>
              <w:t xml:space="preserve">Subject:  </w:t>
            </w:r>
            <w:r w:rsidR="005F3AB2">
              <w:rPr>
                <w:rFonts w:ascii="Arial" w:hAnsi="Arial" w:cs="Arial"/>
                <w:b/>
                <w:sz w:val="24"/>
                <w:szCs w:val="24"/>
              </w:rPr>
              <w:t xml:space="preserve">      </w:t>
            </w:r>
            <w:r w:rsidR="00620FE1">
              <w:rPr>
                <w:rFonts w:ascii="Arial" w:hAnsi="Arial" w:cs="Arial"/>
                <w:b/>
                <w:sz w:val="24"/>
                <w:szCs w:val="24"/>
              </w:rPr>
              <w:t xml:space="preserve">Bands considered for </w:t>
            </w:r>
            <w:r w:rsidR="00620FE1" w:rsidRPr="00620FE1">
              <w:rPr>
                <w:rFonts w:ascii="Arial" w:hAnsi="Arial" w:cs="Arial"/>
                <w:b/>
                <w:sz w:val="24"/>
                <w:szCs w:val="24"/>
              </w:rPr>
              <w:t xml:space="preserve">Broadband </w:t>
            </w:r>
            <w:r w:rsidR="00620FE1">
              <w:rPr>
                <w:rFonts w:ascii="Arial" w:hAnsi="Arial" w:cs="Arial"/>
                <w:b/>
                <w:sz w:val="24"/>
                <w:szCs w:val="24"/>
              </w:rPr>
              <w:t xml:space="preserve">Direct Air-to-Ground Communications </w:t>
            </w:r>
          </w:p>
          <w:p w:rsidR="00AE264C" w:rsidRDefault="005F3AB2" w:rsidP="00321049">
            <w:pPr>
              <w:rPr>
                <w:rFonts w:ascii="Arial" w:hAnsi="Arial" w:cs="Arial"/>
                <w:b/>
                <w:sz w:val="24"/>
                <w:szCs w:val="24"/>
              </w:rPr>
            </w:pPr>
            <w:r>
              <w:rPr>
                <w:rFonts w:ascii="Arial" w:hAnsi="Arial" w:cs="Arial"/>
                <w:b/>
                <w:sz w:val="24"/>
                <w:szCs w:val="24"/>
              </w:rPr>
              <w:t xml:space="preserve">                     </w:t>
            </w:r>
            <w:r w:rsidR="00620FE1">
              <w:rPr>
                <w:rFonts w:ascii="Arial" w:hAnsi="Arial" w:cs="Arial"/>
                <w:b/>
                <w:sz w:val="24"/>
                <w:szCs w:val="24"/>
              </w:rPr>
              <w:t>(DA2GC)</w:t>
            </w:r>
          </w:p>
          <w:p w:rsidR="00AE264C" w:rsidRDefault="00AE264C" w:rsidP="00321049">
            <w:pPr>
              <w:pStyle w:val="Kopfzeile"/>
              <w:rPr>
                <w:rFonts w:ascii="Arial" w:hAnsi="Arial" w:cs="Arial"/>
                <w:b/>
                <w:sz w:val="24"/>
                <w:szCs w:val="24"/>
              </w:rPr>
            </w:pPr>
          </w:p>
        </w:tc>
      </w:tr>
    </w:tbl>
    <w:p w:rsidR="00AC25FE" w:rsidRDefault="00065DDE">
      <w:r>
        <w:rPr>
          <w:noProof/>
          <w:lang w:val="en-IE" w:eastAsia="en-IE"/>
        </w:rPr>
        <w:pict>
          <v:shapetype id="_x0000_t202" coordsize="21600,21600" o:spt="202" path="m,l,21600r21600,l21600,xe">
            <v:stroke joinstyle="miter"/>
            <v:path gradientshapeok="t" o:connecttype="rect"/>
          </v:shapetype>
          <v:shape id="_x0000_s1029" type="#_x0000_t202" style="position:absolute;margin-left:2in;margin-top:9.7pt;width:36pt;height:17.5pt;z-index:251657728;mso-position-horizontal-relative:text;mso-position-vertical-relative:text">
            <v:textbox style="mso-next-textbox:#_x0000_s1029">
              <w:txbxContent>
                <w:p w:rsidR="00201077" w:rsidRDefault="00201077">
                  <w:pPr>
                    <w:jc w:val="center"/>
                    <w:rPr>
                      <w:lang w:val="en-IE"/>
                    </w:rPr>
                  </w:pPr>
                  <w:r>
                    <w:rPr>
                      <w:lang w:val="en-IE"/>
                    </w:rPr>
                    <w:t>N</w:t>
                  </w:r>
                </w:p>
              </w:txbxContent>
            </v:textbox>
          </v:shape>
        </w:pict>
      </w:r>
    </w:p>
    <w:p w:rsidR="00AE264C" w:rsidRDefault="00AE264C" w:rsidP="00AE264C">
      <w:pPr>
        <w:ind w:right="-852" w:hanging="540"/>
      </w:pPr>
      <w:r>
        <w:t>Password protection required? (Y/N) *</w:t>
      </w:r>
    </w:p>
    <w:p w:rsidR="00AE264C" w:rsidRDefault="00AE264C" w:rsidP="00AE264C">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E264C" w:rsidTr="00321049">
        <w:tc>
          <w:tcPr>
            <w:tcW w:w="9923" w:type="dxa"/>
          </w:tcPr>
          <w:p w:rsidR="00AE264C" w:rsidRPr="00CB3476" w:rsidRDefault="00AE264C" w:rsidP="00321049">
            <w:pPr>
              <w:rPr>
                <w:rFonts w:ascii="Arial" w:hAnsi="Arial" w:cs="Arial"/>
                <w:b/>
              </w:rPr>
            </w:pPr>
          </w:p>
          <w:p w:rsidR="00AE264C" w:rsidRDefault="00AE264C" w:rsidP="00321049">
            <w:pPr>
              <w:pStyle w:val="berschrift3"/>
              <w:jc w:val="left"/>
              <w:rPr>
                <w:rFonts w:cs="Arial"/>
              </w:rPr>
            </w:pPr>
            <w:r w:rsidRPr="00CB3476">
              <w:rPr>
                <w:rFonts w:cs="Arial"/>
              </w:rPr>
              <w:t>Summary</w:t>
            </w:r>
          </w:p>
          <w:p w:rsidR="00863890" w:rsidRDefault="00863890" w:rsidP="00863890"/>
          <w:p w:rsidR="00620FE1" w:rsidRDefault="00620FE1" w:rsidP="00620FE1">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band 1670-1675 MHz is among several bands identified by PT FM 48 and placed in </w:t>
            </w:r>
            <w:r w:rsidRPr="00863890">
              <w:rPr>
                <w:rFonts w:asciiTheme="minorHAnsi" w:eastAsiaTheme="minorHAnsi" w:hAnsiTheme="minorHAnsi" w:cstheme="minorBidi"/>
                <w:sz w:val="22"/>
                <w:szCs w:val="22"/>
                <w:lang w:eastAsia="en-US"/>
              </w:rPr>
              <w:t xml:space="preserve">Category 1: </w:t>
            </w:r>
            <w:r>
              <w:rPr>
                <w:rFonts w:asciiTheme="minorHAnsi" w:eastAsiaTheme="minorHAnsi" w:hAnsiTheme="minorHAnsi" w:cstheme="minorBidi"/>
                <w:sz w:val="22"/>
                <w:szCs w:val="22"/>
                <w:lang w:eastAsia="en-US"/>
              </w:rPr>
              <w:t>“</w:t>
            </w:r>
            <w:r w:rsidRPr="00863890">
              <w:rPr>
                <w:rFonts w:asciiTheme="minorHAnsi" w:eastAsiaTheme="minorHAnsi" w:hAnsiTheme="minorHAnsi" w:cstheme="minorBidi"/>
                <w:sz w:val="22"/>
                <w:szCs w:val="22"/>
                <w:lang w:eastAsia="en-US"/>
              </w:rPr>
              <w:t>Frequency bands already submitted to WG SE for compatibility/sharing studies</w:t>
            </w:r>
            <w:r>
              <w:rPr>
                <w:rFonts w:asciiTheme="minorHAnsi" w:eastAsiaTheme="minorHAnsi" w:hAnsiTheme="minorHAnsi" w:cstheme="minorBidi"/>
                <w:sz w:val="22"/>
                <w:szCs w:val="22"/>
                <w:lang w:eastAsia="en-US"/>
              </w:rPr>
              <w:t xml:space="preserve">”.  FM48 has </w:t>
            </w:r>
            <w:r w:rsidR="002115A8">
              <w:rPr>
                <w:rFonts w:asciiTheme="minorHAnsi" w:eastAsiaTheme="minorHAnsi" w:hAnsiTheme="minorHAnsi" w:cstheme="minorBidi"/>
                <w:sz w:val="22"/>
                <w:szCs w:val="22"/>
                <w:lang w:eastAsia="en-US"/>
              </w:rPr>
              <w:t xml:space="preserve">requested that WG SE conduct sharing studies for this band, and has </w:t>
            </w:r>
            <w:r>
              <w:rPr>
                <w:rFonts w:asciiTheme="minorHAnsi" w:eastAsiaTheme="minorHAnsi" w:hAnsiTheme="minorHAnsi" w:cstheme="minorBidi"/>
                <w:sz w:val="22"/>
                <w:szCs w:val="22"/>
                <w:lang w:eastAsia="en-US"/>
              </w:rPr>
              <w:t>asked WG FM to endorse the way forward, including further consideration of the band 1670-1675 MHz.</w:t>
            </w:r>
          </w:p>
          <w:p w:rsidR="00863890" w:rsidRPr="00620FE1" w:rsidRDefault="00620FE1" w:rsidP="00620FE1">
            <w:pPr>
              <w:spacing w:after="200" w:line="276" w:lineRule="auto"/>
              <w:rPr>
                <w:rFonts w:asciiTheme="minorHAnsi" w:eastAsiaTheme="minorHAnsi" w:hAnsiTheme="minorHAnsi" w:cstheme="minorBidi"/>
                <w:sz w:val="22"/>
                <w:szCs w:val="22"/>
                <w:lang w:eastAsia="en-US"/>
              </w:rPr>
            </w:pPr>
            <w:r w:rsidRPr="00620FE1">
              <w:rPr>
                <w:rFonts w:asciiTheme="minorHAnsi" w:eastAsiaTheme="minorHAnsi" w:hAnsiTheme="minorHAnsi" w:cstheme="minorBidi"/>
                <w:sz w:val="22"/>
                <w:szCs w:val="22"/>
                <w:lang w:eastAsia="en-US"/>
              </w:rPr>
              <w:t xml:space="preserve">This band will used by the MSS from early 2013, in accordance with </w:t>
            </w:r>
            <w:r w:rsidRPr="00863890">
              <w:rPr>
                <w:rFonts w:asciiTheme="minorHAnsi" w:eastAsiaTheme="minorHAnsi" w:hAnsiTheme="minorHAnsi" w:cstheme="minorBidi"/>
                <w:sz w:val="22"/>
                <w:szCs w:val="22"/>
                <w:lang w:eastAsia="en-US"/>
              </w:rPr>
              <w:t>Decision ECC/DEC</w:t>
            </w:r>
            <w:proofErr w:type="gramStart"/>
            <w:r w:rsidRPr="00863890">
              <w:rPr>
                <w:rFonts w:asciiTheme="minorHAnsi" w:eastAsiaTheme="minorHAnsi" w:hAnsiTheme="minorHAnsi" w:cstheme="minorBidi"/>
                <w:sz w:val="22"/>
                <w:szCs w:val="22"/>
                <w:lang w:eastAsia="en-US"/>
              </w:rPr>
              <w:t>/(</w:t>
            </w:r>
            <w:proofErr w:type="gramEnd"/>
            <w:r w:rsidRPr="00863890">
              <w:rPr>
                <w:rFonts w:asciiTheme="minorHAnsi" w:eastAsiaTheme="minorHAnsi" w:hAnsiTheme="minorHAnsi" w:cstheme="minorBidi"/>
                <w:sz w:val="22"/>
                <w:szCs w:val="22"/>
                <w:lang w:eastAsia="en-US"/>
              </w:rPr>
              <w:t>04)09</w:t>
            </w:r>
            <w:r>
              <w:rPr>
                <w:rFonts w:asciiTheme="minorHAnsi" w:eastAsiaTheme="minorHAnsi" w:hAnsiTheme="minorHAnsi" w:cstheme="minorBidi"/>
                <w:sz w:val="22"/>
                <w:szCs w:val="22"/>
                <w:lang w:eastAsia="en-US"/>
              </w:rPr>
              <w:t>.  It therefore would not be possible for the band to be used for DA2GC</w:t>
            </w:r>
            <w:r w:rsidR="00201077">
              <w:rPr>
                <w:rFonts w:asciiTheme="minorHAnsi" w:eastAsiaTheme="minorHAnsi" w:hAnsiTheme="minorHAnsi" w:cstheme="minorBidi"/>
                <w:sz w:val="22"/>
                <w:szCs w:val="22"/>
                <w:lang w:eastAsia="en-US"/>
              </w:rPr>
              <w:t>, and as a consequence i</w:t>
            </w:r>
            <w:r>
              <w:rPr>
                <w:rFonts w:asciiTheme="minorHAnsi" w:eastAsiaTheme="minorHAnsi" w:hAnsiTheme="minorHAnsi" w:cstheme="minorBidi"/>
                <w:sz w:val="22"/>
                <w:szCs w:val="22"/>
                <w:lang w:eastAsia="en-US"/>
              </w:rPr>
              <w:t>t is proposed that this band be removed from the list of bands considered by FM48</w:t>
            </w:r>
            <w:r w:rsidR="003871E1">
              <w:rPr>
                <w:rFonts w:asciiTheme="minorHAnsi" w:eastAsiaTheme="minorHAnsi" w:hAnsiTheme="minorHAnsi" w:cstheme="minorBidi"/>
                <w:sz w:val="22"/>
                <w:szCs w:val="22"/>
                <w:lang w:eastAsia="en-US"/>
              </w:rPr>
              <w:t>.</w:t>
            </w:r>
          </w:p>
          <w:p w:rsidR="00AE264C" w:rsidRPr="00CB3476" w:rsidRDefault="00AE264C" w:rsidP="00321049">
            <w:pPr>
              <w:autoSpaceDE w:val="0"/>
              <w:autoSpaceDN w:val="0"/>
              <w:adjustRightInd w:val="0"/>
              <w:rPr>
                <w:rFonts w:ascii="Arial" w:hAnsi="Arial" w:cs="Arial"/>
              </w:rPr>
            </w:pPr>
          </w:p>
        </w:tc>
      </w:tr>
      <w:tr w:rsidR="00AE264C" w:rsidTr="00321049">
        <w:tc>
          <w:tcPr>
            <w:tcW w:w="9923" w:type="dxa"/>
          </w:tcPr>
          <w:p w:rsidR="00AE264C" w:rsidRPr="00CB3476" w:rsidRDefault="00AE264C" w:rsidP="000F1530">
            <w:pPr>
              <w:pStyle w:val="berschrift3"/>
              <w:jc w:val="left"/>
              <w:rPr>
                <w:rFonts w:cs="Arial"/>
              </w:rPr>
            </w:pPr>
          </w:p>
          <w:p w:rsidR="00AE264C" w:rsidRDefault="00AE264C" w:rsidP="00321049">
            <w:pPr>
              <w:pStyle w:val="berschrift3"/>
              <w:jc w:val="left"/>
              <w:rPr>
                <w:rFonts w:cs="Arial"/>
              </w:rPr>
            </w:pPr>
            <w:r w:rsidRPr="00CB3476">
              <w:rPr>
                <w:rFonts w:cs="Arial"/>
              </w:rPr>
              <w:t>Proposal</w:t>
            </w:r>
          </w:p>
          <w:p w:rsidR="00863890" w:rsidRDefault="00863890" w:rsidP="00863890"/>
          <w:p w:rsidR="00AE264C" w:rsidRPr="00620FE1" w:rsidRDefault="00E034CC" w:rsidP="00620FE1">
            <w:pPr>
              <w:spacing w:after="200" w:line="276" w:lineRule="auto"/>
              <w:rPr>
                <w:rFonts w:asciiTheme="minorHAnsi" w:eastAsiaTheme="minorHAnsi" w:hAnsiTheme="minorHAnsi" w:cstheme="minorBidi"/>
                <w:sz w:val="22"/>
                <w:szCs w:val="22"/>
                <w:lang w:eastAsia="en-US"/>
              </w:rPr>
            </w:pPr>
            <w:r w:rsidRPr="00620FE1">
              <w:rPr>
                <w:rFonts w:asciiTheme="minorHAnsi" w:eastAsiaTheme="minorHAnsi" w:hAnsiTheme="minorHAnsi" w:cstheme="minorBidi"/>
                <w:sz w:val="22"/>
                <w:szCs w:val="22"/>
                <w:lang w:eastAsia="en-US"/>
              </w:rPr>
              <w:t xml:space="preserve">The UK proposes that the band 1670-1675 MHz should be dropped from list of bands currently being considered by FM48.  If agreed, WG SE should be informed that sharing studies </w:t>
            </w:r>
            <w:r w:rsidR="00201077">
              <w:rPr>
                <w:rFonts w:asciiTheme="minorHAnsi" w:eastAsiaTheme="minorHAnsi" w:hAnsiTheme="minorHAnsi" w:cstheme="minorBidi"/>
                <w:sz w:val="22"/>
                <w:szCs w:val="22"/>
                <w:lang w:eastAsia="en-US"/>
              </w:rPr>
              <w:t xml:space="preserve">for this band </w:t>
            </w:r>
            <w:r w:rsidRPr="00620FE1">
              <w:rPr>
                <w:rFonts w:asciiTheme="minorHAnsi" w:eastAsiaTheme="minorHAnsi" w:hAnsiTheme="minorHAnsi" w:cstheme="minorBidi"/>
                <w:sz w:val="22"/>
                <w:szCs w:val="22"/>
                <w:lang w:eastAsia="en-US"/>
              </w:rPr>
              <w:t>are not required</w:t>
            </w:r>
            <w:r w:rsidR="004F4BE7">
              <w:rPr>
                <w:rFonts w:asciiTheme="minorHAnsi" w:eastAsiaTheme="minorHAnsi" w:hAnsiTheme="minorHAnsi" w:cstheme="minorBidi"/>
                <w:sz w:val="22"/>
                <w:szCs w:val="22"/>
                <w:lang w:eastAsia="en-US"/>
              </w:rPr>
              <w:t xml:space="preserve"> and the band should be removed as an SE</w:t>
            </w:r>
            <w:r w:rsidR="003871E1">
              <w:rPr>
                <w:rFonts w:asciiTheme="minorHAnsi" w:eastAsiaTheme="minorHAnsi" w:hAnsiTheme="minorHAnsi" w:cstheme="minorBidi"/>
                <w:sz w:val="22"/>
                <w:szCs w:val="22"/>
                <w:lang w:eastAsia="en-US"/>
              </w:rPr>
              <w:t>44</w:t>
            </w:r>
            <w:r w:rsidR="004F4BE7">
              <w:rPr>
                <w:rFonts w:asciiTheme="minorHAnsi" w:eastAsiaTheme="minorHAnsi" w:hAnsiTheme="minorHAnsi" w:cstheme="minorBidi"/>
                <w:sz w:val="22"/>
                <w:szCs w:val="22"/>
                <w:lang w:eastAsia="en-US"/>
              </w:rPr>
              <w:t xml:space="preserve"> work item.</w:t>
            </w:r>
          </w:p>
          <w:p w:rsidR="00E034CC" w:rsidRPr="00CB3476" w:rsidRDefault="00E034CC" w:rsidP="00863890">
            <w:pPr>
              <w:rPr>
                <w:rFonts w:ascii="Arial" w:hAnsi="Arial" w:cs="Arial"/>
              </w:rPr>
            </w:pPr>
          </w:p>
        </w:tc>
      </w:tr>
      <w:tr w:rsidR="00AE264C" w:rsidTr="00321049">
        <w:tc>
          <w:tcPr>
            <w:tcW w:w="9923" w:type="dxa"/>
          </w:tcPr>
          <w:p w:rsidR="00AE264C" w:rsidRPr="00CB3476" w:rsidRDefault="00AE264C" w:rsidP="00321049">
            <w:pPr>
              <w:rPr>
                <w:rFonts w:ascii="Arial" w:hAnsi="Arial" w:cs="Arial"/>
              </w:rPr>
            </w:pPr>
          </w:p>
          <w:p w:rsidR="00AE264C" w:rsidRPr="00CB3476" w:rsidRDefault="00AE264C" w:rsidP="00321049">
            <w:pPr>
              <w:pStyle w:val="berschrift3"/>
              <w:jc w:val="left"/>
            </w:pPr>
            <w:r w:rsidRPr="00CB3476">
              <w:t>Background</w:t>
            </w:r>
          </w:p>
          <w:p w:rsidR="00AE264C" w:rsidRDefault="00AE264C" w:rsidP="00321049">
            <w:pPr>
              <w:rPr>
                <w:rFonts w:ascii="Arial" w:hAnsi="Arial" w:cs="Arial"/>
                <w:sz w:val="24"/>
                <w:szCs w:val="24"/>
              </w:rPr>
            </w:pPr>
          </w:p>
          <w:p w:rsidR="00863890" w:rsidRDefault="00863890" w:rsidP="00863890">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band 1670-1675 MHz is among several bands identified by PT FM 48 and placed in </w:t>
            </w:r>
            <w:r w:rsidRPr="00863890">
              <w:rPr>
                <w:rFonts w:asciiTheme="minorHAnsi" w:eastAsiaTheme="minorHAnsi" w:hAnsiTheme="minorHAnsi" w:cstheme="minorBidi"/>
                <w:sz w:val="22"/>
                <w:szCs w:val="22"/>
                <w:lang w:eastAsia="en-US"/>
              </w:rPr>
              <w:t xml:space="preserve">Category 1: </w:t>
            </w:r>
            <w:r>
              <w:rPr>
                <w:rFonts w:asciiTheme="minorHAnsi" w:eastAsiaTheme="minorHAnsi" w:hAnsiTheme="minorHAnsi" w:cstheme="minorBidi"/>
                <w:sz w:val="22"/>
                <w:szCs w:val="22"/>
                <w:lang w:eastAsia="en-US"/>
              </w:rPr>
              <w:t>“</w:t>
            </w:r>
            <w:r w:rsidRPr="00863890">
              <w:rPr>
                <w:rFonts w:asciiTheme="minorHAnsi" w:eastAsiaTheme="minorHAnsi" w:hAnsiTheme="minorHAnsi" w:cstheme="minorBidi"/>
                <w:sz w:val="22"/>
                <w:szCs w:val="22"/>
                <w:lang w:eastAsia="en-US"/>
              </w:rPr>
              <w:t>Frequency bands already submitted to WG SE for compatibility/sharing studies</w:t>
            </w:r>
            <w:r>
              <w:rPr>
                <w:rFonts w:asciiTheme="minorHAnsi" w:eastAsiaTheme="minorHAnsi" w:hAnsiTheme="minorHAnsi" w:cstheme="minorBidi"/>
                <w:sz w:val="22"/>
                <w:szCs w:val="22"/>
                <w:lang w:eastAsia="en-US"/>
              </w:rPr>
              <w:t>”.  FM48 has asked WG FM to endorse the way forward</w:t>
            </w:r>
            <w:r w:rsidR="00E034CC">
              <w:rPr>
                <w:rFonts w:asciiTheme="minorHAnsi" w:eastAsiaTheme="minorHAnsi" w:hAnsiTheme="minorHAnsi" w:cstheme="minorBidi"/>
                <w:sz w:val="22"/>
                <w:szCs w:val="22"/>
                <w:lang w:eastAsia="en-US"/>
              </w:rPr>
              <w:t>, including further consideration of the band 1670-1675 MHz.</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 xml:space="preserve">The band 1 670-1 675 MHz forms part of the “extended L-band” frequencies of 1518-1525 MHz for MSS downlinks and 1668-1675 MHz for MSS uplinks.  CEPT Decision ECC/DEC/(04)09 (amended 26 June 2009) designates the band 1518-1525 MHz for the operation of MSS downlinks, and designates the band 1670-1675 MHz for the operation of MSS uplinks.  The lower part of the uplink band (1668-1675 MHz) is shared </w:t>
            </w:r>
            <w:r w:rsidRPr="00863890">
              <w:rPr>
                <w:rFonts w:asciiTheme="minorHAnsi" w:eastAsiaTheme="minorHAnsi" w:hAnsiTheme="minorHAnsi" w:cstheme="minorBidi"/>
                <w:sz w:val="22"/>
                <w:szCs w:val="22"/>
                <w:lang w:eastAsia="en-US"/>
              </w:rPr>
              <w:lastRenderedPageBreak/>
              <w:t xml:space="preserve">with the radio astronomy service, and is therefore not designated for MSS in Europe.  </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 xml:space="preserve">The first satellite to operate in the extended L-band frequencies will be </w:t>
            </w:r>
            <w:proofErr w:type="spellStart"/>
            <w:r w:rsidRPr="00863890">
              <w:rPr>
                <w:rFonts w:asciiTheme="minorHAnsi" w:eastAsiaTheme="minorHAnsi" w:hAnsiTheme="minorHAnsi" w:cstheme="minorBidi"/>
                <w:sz w:val="22"/>
                <w:szCs w:val="22"/>
                <w:lang w:eastAsia="en-US"/>
              </w:rPr>
              <w:t>Alphasat</w:t>
            </w:r>
            <w:proofErr w:type="spellEnd"/>
            <w:r w:rsidR="00201077">
              <w:rPr>
                <w:rFonts w:asciiTheme="minorHAnsi" w:eastAsiaTheme="minorHAnsi" w:hAnsiTheme="minorHAnsi" w:cstheme="minorBidi"/>
                <w:sz w:val="22"/>
                <w:szCs w:val="22"/>
                <w:lang w:eastAsia="en-US"/>
              </w:rPr>
              <w:t xml:space="preserve">, which is being built by </w:t>
            </w:r>
            <w:proofErr w:type="spellStart"/>
            <w:r w:rsidR="00201077">
              <w:rPr>
                <w:rFonts w:asciiTheme="minorHAnsi" w:eastAsiaTheme="minorHAnsi" w:hAnsiTheme="minorHAnsi" w:cstheme="minorBidi"/>
                <w:sz w:val="22"/>
                <w:szCs w:val="22"/>
                <w:lang w:eastAsia="en-US"/>
              </w:rPr>
              <w:t>Astrium</w:t>
            </w:r>
            <w:proofErr w:type="spellEnd"/>
            <w:r w:rsidR="00201077">
              <w:rPr>
                <w:rFonts w:asciiTheme="minorHAnsi" w:eastAsiaTheme="minorHAnsi" w:hAnsiTheme="minorHAnsi" w:cstheme="minorBidi"/>
                <w:sz w:val="22"/>
                <w:szCs w:val="22"/>
                <w:lang w:eastAsia="en-US"/>
              </w:rPr>
              <w:t xml:space="preserve"> and will be operated by Inmarsat</w:t>
            </w:r>
            <w:r w:rsidRPr="00863890">
              <w:rPr>
                <w:rFonts w:asciiTheme="minorHAnsi" w:eastAsiaTheme="minorHAnsi" w:hAnsiTheme="minorHAnsi" w:cstheme="minorBidi"/>
                <w:sz w:val="22"/>
                <w:szCs w:val="22"/>
                <w:lang w:eastAsia="en-US"/>
              </w:rPr>
              <w:t>.  This is in the final stages of production and is due to be launched at the end of 2012.  This satellite will be located at 25° east, giving good coverage of all of Europe, the Middle East and Africa.  Future satellites for replacement to the current fleet of Inmarsat L-band satellites will likely also operate in the extended L-band frequencies.</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The ETSI standards related to the operation of GSO MSS user terminals in L-band are in the process of being revised to cover the extended L-band frequencies.  The proposed amendments are currently in the public consultation stage, due to complete on 28 June 2011.  It is anticipated that the revised standards will be referenced in the Official Journal of the European Union towards the end of 2011.</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 xml:space="preserve">The extended L-band frequencies are expected to be brought into operation in early 2013, soon after the launch of </w:t>
            </w:r>
            <w:proofErr w:type="spellStart"/>
            <w:r w:rsidRPr="00863890">
              <w:rPr>
                <w:rFonts w:asciiTheme="minorHAnsi" w:eastAsiaTheme="minorHAnsi" w:hAnsiTheme="minorHAnsi" w:cstheme="minorBidi"/>
                <w:sz w:val="22"/>
                <w:szCs w:val="22"/>
                <w:lang w:eastAsia="en-US"/>
              </w:rPr>
              <w:t>Alphasat</w:t>
            </w:r>
            <w:proofErr w:type="spellEnd"/>
            <w:r w:rsidRPr="00863890">
              <w:rPr>
                <w:rFonts w:asciiTheme="minorHAnsi" w:eastAsiaTheme="minorHAnsi" w:hAnsiTheme="minorHAnsi" w:cstheme="minorBidi"/>
                <w:sz w:val="22"/>
                <w:szCs w:val="22"/>
                <w:lang w:eastAsia="en-US"/>
              </w:rPr>
              <w:t>.  The Inmarsat GSPS terminals are already capable of operating in extended L-band.  Other Inmarsat land and maritime terminals which are capable of operating in extended L-band are expected to be introduced during 2012.</w:t>
            </w:r>
          </w:p>
          <w:p w:rsidR="00201077" w:rsidRDefault="00201077" w:rsidP="00863890">
            <w:pPr>
              <w:spacing w:after="200" w:line="276" w:lineRule="auto"/>
              <w:rPr>
                <w:rFonts w:asciiTheme="minorHAnsi" w:eastAsiaTheme="minorHAnsi" w:hAnsiTheme="minorHAnsi" w:cstheme="minorBidi"/>
                <w:sz w:val="22"/>
                <w:szCs w:val="22"/>
                <w:lang w:eastAsia="en-US"/>
              </w:rPr>
            </w:pPr>
            <w:r w:rsidRPr="00201077">
              <w:rPr>
                <w:rFonts w:asciiTheme="minorHAnsi" w:eastAsiaTheme="minorHAnsi" w:hAnsiTheme="minorHAnsi" w:cstheme="minorBidi"/>
                <w:sz w:val="22"/>
                <w:szCs w:val="22"/>
                <w:lang w:eastAsia="en-US"/>
              </w:rPr>
              <w:t>The total investment by Inmarsat</w:t>
            </w:r>
            <w:r>
              <w:rPr>
                <w:rFonts w:asciiTheme="minorHAnsi" w:eastAsiaTheme="minorHAnsi" w:hAnsiTheme="minorHAnsi" w:cstheme="minorBidi"/>
                <w:sz w:val="22"/>
                <w:szCs w:val="22"/>
                <w:lang w:eastAsia="en-US"/>
              </w:rPr>
              <w:t xml:space="preserve"> </w:t>
            </w:r>
            <w:r w:rsidRPr="00201077">
              <w:rPr>
                <w:rFonts w:asciiTheme="minorHAnsi" w:eastAsiaTheme="minorHAnsi" w:hAnsiTheme="minorHAnsi" w:cstheme="minorBidi"/>
                <w:sz w:val="22"/>
                <w:szCs w:val="22"/>
                <w:lang w:eastAsia="en-US"/>
              </w:rPr>
              <w:t xml:space="preserve">and its </w:t>
            </w:r>
            <w:r>
              <w:rPr>
                <w:rFonts w:asciiTheme="minorHAnsi" w:eastAsiaTheme="minorHAnsi" w:hAnsiTheme="minorHAnsi" w:cstheme="minorBidi"/>
                <w:sz w:val="22"/>
                <w:szCs w:val="22"/>
                <w:lang w:eastAsia="en-US"/>
              </w:rPr>
              <w:t>partners</w:t>
            </w:r>
            <w:r w:rsidRPr="00201077">
              <w:rPr>
                <w:rFonts w:asciiTheme="minorHAnsi" w:eastAsiaTheme="minorHAnsi" w:hAnsiTheme="minorHAnsi" w:cstheme="minorBidi"/>
                <w:sz w:val="22"/>
                <w:szCs w:val="22"/>
                <w:lang w:eastAsia="en-US"/>
              </w:rPr>
              <w:t xml:space="preserve"> in bringing extended L-band into use is estimated at over 10M </w:t>
            </w:r>
            <w:proofErr w:type="spellStart"/>
            <w:r w:rsidRPr="00201077">
              <w:rPr>
                <w:rFonts w:asciiTheme="minorHAnsi" w:eastAsiaTheme="minorHAnsi" w:hAnsiTheme="minorHAnsi" w:cstheme="minorBidi"/>
                <w:sz w:val="22"/>
                <w:szCs w:val="22"/>
                <w:lang w:eastAsia="en-US"/>
              </w:rPr>
              <w:t>Eur</w:t>
            </w:r>
            <w:proofErr w:type="spellEnd"/>
            <w:r w:rsidRPr="00201077">
              <w:rPr>
                <w:rFonts w:asciiTheme="minorHAnsi" w:eastAsiaTheme="minorHAnsi" w:hAnsiTheme="minorHAnsi" w:cstheme="minorBidi"/>
                <w:sz w:val="22"/>
                <w:szCs w:val="22"/>
                <w:lang w:eastAsia="en-US"/>
              </w:rPr>
              <w:t xml:space="preserve">, taking into consideration modifications to the ground network infrastructure and to the extensive set of user terminals from each terminal manufacturer. </w:t>
            </w:r>
            <w:r>
              <w:rPr>
                <w:rFonts w:asciiTheme="minorHAnsi" w:eastAsiaTheme="minorHAnsi" w:hAnsiTheme="minorHAnsi" w:cstheme="minorBidi"/>
                <w:sz w:val="22"/>
                <w:szCs w:val="22"/>
                <w:lang w:eastAsia="en-US"/>
              </w:rPr>
              <w:t>T</w:t>
            </w:r>
            <w:r w:rsidRPr="00201077">
              <w:rPr>
                <w:rFonts w:asciiTheme="minorHAnsi" w:eastAsiaTheme="minorHAnsi" w:hAnsiTheme="minorHAnsi" w:cstheme="minorBidi"/>
                <w:sz w:val="22"/>
                <w:szCs w:val="22"/>
                <w:lang w:eastAsia="en-US"/>
              </w:rPr>
              <w:t>he viab</w:t>
            </w:r>
            <w:r>
              <w:rPr>
                <w:rFonts w:asciiTheme="minorHAnsi" w:eastAsiaTheme="minorHAnsi" w:hAnsiTheme="minorHAnsi" w:cstheme="minorBidi"/>
                <w:sz w:val="22"/>
                <w:szCs w:val="22"/>
                <w:lang w:eastAsia="en-US"/>
              </w:rPr>
              <w:t>i</w:t>
            </w:r>
            <w:r w:rsidRPr="00201077">
              <w:rPr>
                <w:rFonts w:asciiTheme="minorHAnsi" w:eastAsiaTheme="minorHAnsi" w:hAnsiTheme="minorHAnsi" w:cstheme="minorBidi"/>
                <w:sz w:val="22"/>
                <w:szCs w:val="22"/>
                <w:lang w:eastAsia="en-US"/>
              </w:rPr>
              <w:t xml:space="preserve">lity of the </w:t>
            </w:r>
            <w:proofErr w:type="spellStart"/>
            <w:r w:rsidRPr="00201077">
              <w:rPr>
                <w:rFonts w:asciiTheme="minorHAnsi" w:eastAsiaTheme="minorHAnsi" w:hAnsiTheme="minorHAnsi" w:cstheme="minorBidi"/>
                <w:sz w:val="22"/>
                <w:szCs w:val="22"/>
                <w:lang w:eastAsia="en-US"/>
              </w:rPr>
              <w:t>Alphasat</w:t>
            </w:r>
            <w:proofErr w:type="spellEnd"/>
            <w:r w:rsidRPr="00201077">
              <w:rPr>
                <w:rFonts w:asciiTheme="minorHAnsi" w:eastAsiaTheme="minorHAnsi" w:hAnsiTheme="minorHAnsi" w:cstheme="minorBidi"/>
                <w:sz w:val="22"/>
                <w:szCs w:val="22"/>
                <w:lang w:eastAsia="en-US"/>
              </w:rPr>
              <w:t xml:space="preserve"> business case (100's M </w:t>
            </w:r>
            <w:proofErr w:type="spellStart"/>
            <w:r w:rsidRPr="00201077">
              <w:rPr>
                <w:rFonts w:asciiTheme="minorHAnsi" w:eastAsiaTheme="minorHAnsi" w:hAnsiTheme="minorHAnsi" w:cstheme="minorBidi"/>
                <w:sz w:val="22"/>
                <w:szCs w:val="22"/>
                <w:lang w:eastAsia="en-US"/>
              </w:rPr>
              <w:t>Eur</w:t>
            </w:r>
            <w:proofErr w:type="spellEnd"/>
            <w:r w:rsidRPr="00201077">
              <w:rPr>
                <w:rFonts w:asciiTheme="minorHAnsi" w:eastAsiaTheme="minorHAnsi" w:hAnsiTheme="minorHAnsi" w:cstheme="minorBidi"/>
                <w:sz w:val="22"/>
                <w:szCs w:val="22"/>
                <w:lang w:eastAsia="en-US"/>
              </w:rPr>
              <w:t xml:space="preserve">) was principally predicated on the use of the extended L-band frequencies, thus raising the implicit value of Inmarsat's investment in the extended L-band much more. </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It may be noted that the band 1670-1675 MHz was previously identified in the Radio Regulations for aeronautical public correspondence (APC) systems, through No. 5.380. Studies of the potential shared use of this band by MSS and APC systems were conducted in advance of WRC-07.  The CPM Report for WRC-07 records the following conclusion (section 3/1.7/2.3 of the CPM report to WRC-07):</w:t>
            </w:r>
          </w:p>
          <w:p w:rsidR="00863890" w:rsidRPr="00863890" w:rsidRDefault="00863890" w:rsidP="00863890">
            <w:pPr>
              <w:autoSpaceDE w:val="0"/>
              <w:autoSpaceDN w:val="0"/>
              <w:adjustRightInd w:val="0"/>
              <w:ind w:left="720"/>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w:t>
            </w:r>
            <w:r w:rsidRPr="00863890">
              <w:rPr>
                <w:rFonts w:ascii="TimesNewRoman" w:eastAsiaTheme="minorHAnsi" w:hAnsi="TimesNewRoman" w:cs="TimesNewRoman"/>
                <w:sz w:val="22"/>
                <w:szCs w:val="22"/>
                <w:lang w:eastAsia="en-US"/>
              </w:rPr>
              <w:t xml:space="preserve">With respect to aeronautical public correspondence systems, studies have shown that a ground station will cause harmful interference to any “visible” MSS space station. This means, for example, that a single ground station near the equator could cause harmful interference to an MSS GSO space station anywhere within a longitude range ±81º from the longitude of the ground station. It is therefore concluded that sharing between aeronautical public correspondence systems and the MSS is not feasible. Since no current or planned use of aeronautical public correspondence systems has been identified, the removal of the band 1 670-1 675 MHz from RR No. </w:t>
            </w:r>
            <w:r w:rsidRPr="00863890">
              <w:rPr>
                <w:rFonts w:ascii="TimesNewRoman,Bold" w:eastAsiaTheme="minorHAnsi" w:hAnsi="TimesNewRoman,Bold" w:cs="TimesNewRoman,Bold"/>
                <w:b/>
                <w:bCs/>
                <w:sz w:val="22"/>
                <w:szCs w:val="22"/>
                <w:lang w:eastAsia="en-US"/>
              </w:rPr>
              <w:t>5.380</w:t>
            </w:r>
            <w:r w:rsidRPr="00863890">
              <w:rPr>
                <w:rFonts w:ascii="TimesNewRoman" w:eastAsiaTheme="minorHAnsi" w:hAnsi="TimesNewRoman" w:cs="TimesNewRoman"/>
                <w:sz w:val="22"/>
                <w:szCs w:val="22"/>
                <w:lang w:eastAsia="en-US"/>
              </w:rPr>
              <w:t xml:space="preserve">, or the complete suppression of RR No. </w:t>
            </w:r>
            <w:r w:rsidRPr="00863890">
              <w:rPr>
                <w:rFonts w:ascii="TimesNewRoman,Bold" w:eastAsiaTheme="minorHAnsi" w:hAnsi="TimesNewRoman,Bold" w:cs="TimesNewRoman,Bold"/>
                <w:b/>
                <w:bCs/>
                <w:sz w:val="22"/>
                <w:szCs w:val="22"/>
                <w:lang w:eastAsia="en-US"/>
              </w:rPr>
              <w:t xml:space="preserve">5.380, </w:t>
            </w:r>
            <w:r w:rsidRPr="00863890">
              <w:rPr>
                <w:rFonts w:ascii="TimesNewRoman" w:eastAsiaTheme="minorHAnsi" w:hAnsi="TimesNewRoman" w:cs="TimesNewRoman"/>
                <w:sz w:val="22"/>
                <w:szCs w:val="22"/>
                <w:lang w:eastAsia="en-US"/>
              </w:rPr>
              <w:t>may be considered.</w:t>
            </w:r>
            <w:r w:rsidRPr="00863890">
              <w:rPr>
                <w:rFonts w:asciiTheme="minorHAnsi" w:eastAsiaTheme="minorHAnsi" w:hAnsiTheme="minorHAnsi" w:cstheme="minorBidi"/>
                <w:sz w:val="22"/>
                <w:szCs w:val="22"/>
                <w:lang w:eastAsia="en-US"/>
              </w:rPr>
              <w:t>”</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p>
          <w:p w:rsidR="00863890" w:rsidRPr="00863890" w:rsidRDefault="00863890" w:rsidP="00863890">
            <w:pPr>
              <w:spacing w:after="200" w:line="276" w:lineRule="auto"/>
              <w:rPr>
                <w:rFonts w:asciiTheme="minorHAnsi" w:eastAsiaTheme="minorHAnsi" w:hAnsiTheme="minorHAnsi" w:cstheme="minorBidi"/>
                <w:sz w:val="22"/>
                <w:szCs w:val="22"/>
                <w:lang w:eastAsia="en-US"/>
              </w:rPr>
            </w:pPr>
            <w:r w:rsidRPr="00863890">
              <w:rPr>
                <w:rFonts w:asciiTheme="minorHAnsi" w:eastAsiaTheme="minorHAnsi" w:hAnsiTheme="minorHAnsi" w:cstheme="minorBidi"/>
                <w:sz w:val="22"/>
                <w:szCs w:val="22"/>
                <w:lang w:eastAsia="en-US"/>
              </w:rPr>
              <w:t>The footnote No. 5.380 was suppressed at WRC-07.</w:t>
            </w:r>
          </w:p>
          <w:p w:rsidR="00863890" w:rsidRPr="00863890" w:rsidRDefault="00863890" w:rsidP="00863890">
            <w:pPr>
              <w:spacing w:after="200" w:line="276" w:lineRule="auto"/>
              <w:rPr>
                <w:rFonts w:asciiTheme="minorHAnsi" w:eastAsiaTheme="minorHAnsi" w:hAnsiTheme="minorHAnsi" w:cstheme="minorBidi"/>
                <w:sz w:val="22"/>
                <w:szCs w:val="22"/>
                <w:u w:val="single"/>
                <w:lang w:eastAsia="en-US"/>
              </w:rPr>
            </w:pPr>
            <w:r w:rsidRPr="00863890">
              <w:rPr>
                <w:rFonts w:asciiTheme="minorHAnsi" w:eastAsiaTheme="minorHAnsi" w:hAnsiTheme="minorHAnsi" w:cstheme="minorBidi"/>
                <w:sz w:val="22"/>
                <w:szCs w:val="22"/>
                <w:u w:val="single"/>
                <w:lang w:eastAsia="en-US"/>
              </w:rPr>
              <w:t>Conclusion</w:t>
            </w:r>
          </w:p>
          <w:p w:rsidR="00863890" w:rsidRPr="00863890" w:rsidRDefault="00863890" w:rsidP="00863890">
            <w:pPr>
              <w:spacing w:after="200" w:line="276" w:lineRule="auto"/>
              <w:rPr>
                <w:rFonts w:asciiTheme="minorHAnsi" w:eastAsiaTheme="minorHAnsi" w:hAnsiTheme="minorHAnsi" w:cstheme="minorBidi"/>
                <w:sz w:val="22"/>
                <w:szCs w:val="22"/>
                <w:lang w:eastAsia="en-US"/>
              </w:rPr>
            </w:pPr>
            <w:bookmarkStart w:id="0" w:name="OLE_LINK1"/>
            <w:bookmarkStart w:id="1" w:name="OLE_LINK2"/>
            <w:r w:rsidRPr="00863890">
              <w:rPr>
                <w:rFonts w:asciiTheme="minorHAnsi" w:eastAsiaTheme="minorHAnsi" w:hAnsiTheme="minorHAnsi" w:cstheme="minorBidi"/>
                <w:sz w:val="22"/>
                <w:szCs w:val="22"/>
                <w:lang w:eastAsia="en-US"/>
              </w:rPr>
              <w:t>It would not be feasible for MSS to share with DA2GC systems.  Given that the band 1670-1675 MHz can be expected to be brought into use from early 2013, it would not be practicable to allow for DA2GC use on an interim basis.  This band should be dropped from the list of bands considered by SE44 and FM48.</w:t>
            </w:r>
          </w:p>
          <w:bookmarkEnd w:id="0"/>
          <w:bookmarkEnd w:id="1"/>
          <w:p w:rsidR="00863890" w:rsidRPr="00CB3476" w:rsidRDefault="00863890" w:rsidP="00321049">
            <w:pPr>
              <w:rPr>
                <w:rFonts w:ascii="Arial" w:hAnsi="Arial" w:cs="Arial"/>
                <w:sz w:val="24"/>
                <w:szCs w:val="24"/>
              </w:rPr>
            </w:pPr>
          </w:p>
        </w:tc>
      </w:tr>
    </w:tbl>
    <w:p w:rsidR="00AE264C" w:rsidRDefault="00AE264C">
      <w:pPr>
        <w:ind w:left="-540" w:right="-852"/>
      </w:pPr>
      <w:bookmarkStart w:id="2" w:name="_GoBack"/>
      <w:bookmarkEnd w:id="2"/>
    </w:p>
    <w:p w:rsidR="00AE264C" w:rsidRDefault="00AE264C">
      <w:pPr>
        <w:ind w:left="-540" w:right="-852"/>
      </w:pPr>
    </w:p>
    <w:sectPr w:rsidR="00AE264C" w:rsidSect="00582118">
      <w:footerReference w:type="first" r:id="rId9"/>
      <w:pgSz w:w="11906" w:h="16838"/>
      <w:pgMar w:top="851" w:right="1797" w:bottom="851"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DDE" w:rsidRDefault="00065DDE">
      <w:r>
        <w:separator/>
      </w:r>
    </w:p>
  </w:endnote>
  <w:endnote w:type="continuationSeparator" w:id="0">
    <w:p w:rsidR="00065DDE" w:rsidRDefault="0006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77" w:rsidRDefault="00201077">
    <w:pPr>
      <w:pStyle w:val="Fuzeile"/>
    </w:pPr>
    <w:r>
      <w:t>* ECC policy is that in general all documents should be publicly available unless the author of the document requires that it be restricted to ECC family participants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DDE" w:rsidRDefault="00065DDE">
      <w:r>
        <w:separator/>
      </w:r>
    </w:p>
  </w:footnote>
  <w:footnote w:type="continuationSeparator" w:id="0">
    <w:p w:rsidR="00065DDE" w:rsidRDefault="00065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45228"/>
    <w:rsid w:val="00011374"/>
    <w:rsid w:val="0003633D"/>
    <w:rsid w:val="00061345"/>
    <w:rsid w:val="00065DDE"/>
    <w:rsid w:val="000818BB"/>
    <w:rsid w:val="000F1530"/>
    <w:rsid w:val="00150EEE"/>
    <w:rsid w:val="001C1F0D"/>
    <w:rsid w:val="00201077"/>
    <w:rsid w:val="002055CD"/>
    <w:rsid w:val="002115A8"/>
    <w:rsid w:val="002549A2"/>
    <w:rsid w:val="00317836"/>
    <w:rsid w:val="00321049"/>
    <w:rsid w:val="003871E1"/>
    <w:rsid w:val="003F208B"/>
    <w:rsid w:val="004A341D"/>
    <w:rsid w:val="004C43DC"/>
    <w:rsid w:val="004F4BE7"/>
    <w:rsid w:val="005131B2"/>
    <w:rsid w:val="005413C2"/>
    <w:rsid w:val="00553188"/>
    <w:rsid w:val="00582118"/>
    <w:rsid w:val="005F3AB2"/>
    <w:rsid w:val="00620FE1"/>
    <w:rsid w:val="00623503"/>
    <w:rsid w:val="00635A14"/>
    <w:rsid w:val="00677130"/>
    <w:rsid w:val="006778AE"/>
    <w:rsid w:val="006C5AE8"/>
    <w:rsid w:val="006F1BC8"/>
    <w:rsid w:val="00706A2A"/>
    <w:rsid w:val="00744E0F"/>
    <w:rsid w:val="00745228"/>
    <w:rsid w:val="007E151D"/>
    <w:rsid w:val="008032A1"/>
    <w:rsid w:val="0085336B"/>
    <w:rsid w:val="00863890"/>
    <w:rsid w:val="00881527"/>
    <w:rsid w:val="00905096"/>
    <w:rsid w:val="0092472D"/>
    <w:rsid w:val="009263F1"/>
    <w:rsid w:val="00963D8D"/>
    <w:rsid w:val="009A0FAE"/>
    <w:rsid w:val="00A3369E"/>
    <w:rsid w:val="00A73F12"/>
    <w:rsid w:val="00AC25FE"/>
    <w:rsid w:val="00AE264C"/>
    <w:rsid w:val="00AF46BF"/>
    <w:rsid w:val="00CB3476"/>
    <w:rsid w:val="00D25E41"/>
    <w:rsid w:val="00D44D39"/>
    <w:rsid w:val="00D81BE2"/>
    <w:rsid w:val="00D90C62"/>
    <w:rsid w:val="00DD1AB9"/>
    <w:rsid w:val="00DE78C4"/>
    <w:rsid w:val="00E034CC"/>
    <w:rsid w:val="00E13E53"/>
    <w:rsid w:val="00F26785"/>
    <w:rsid w:val="00F42067"/>
    <w:rsid w:val="00F52826"/>
    <w:rsid w:val="00F75D27"/>
    <w:rsid w:val="00F83651"/>
    <w:rsid w:val="00FA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1F0D"/>
    <w:rPr>
      <w:lang w:eastAsia="de-DE"/>
    </w:rPr>
  </w:style>
  <w:style w:type="paragraph" w:styleId="berschrift3">
    <w:name w:val="heading 3"/>
    <w:basedOn w:val="Standard"/>
    <w:next w:val="Standard"/>
    <w:qFormat/>
    <w:rsid w:val="001C1F0D"/>
    <w:pPr>
      <w:keepNext/>
      <w:jc w:val="right"/>
      <w:outlineLvl w:val="2"/>
    </w:pPr>
    <w:rPr>
      <w:rFonts w:ascii="Arial" w:hAnsi="Arial"/>
      <w:b/>
      <w:sz w:val="24"/>
    </w:rPr>
  </w:style>
  <w:style w:type="paragraph" w:styleId="berschrift4">
    <w:name w:val="heading 4"/>
    <w:basedOn w:val="Standard"/>
    <w:next w:val="Standard"/>
    <w:qFormat/>
    <w:rsid w:val="001C1F0D"/>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1C1F0D"/>
  </w:style>
  <w:style w:type="paragraph" w:styleId="Kopfzeile">
    <w:name w:val="header"/>
    <w:basedOn w:val="Standard"/>
    <w:rsid w:val="001C1F0D"/>
    <w:pPr>
      <w:tabs>
        <w:tab w:val="center" w:pos="4320"/>
        <w:tab w:val="right" w:pos="8640"/>
      </w:tabs>
    </w:pPr>
    <w:rPr>
      <w:lang w:val="en-US" w:eastAsia="en-GB"/>
    </w:rPr>
  </w:style>
  <w:style w:type="paragraph" w:styleId="Fuzeile">
    <w:name w:val="footer"/>
    <w:basedOn w:val="Standard"/>
    <w:link w:val="FuzeileZchn"/>
    <w:uiPriority w:val="99"/>
    <w:rsid w:val="001C1F0D"/>
    <w:pPr>
      <w:tabs>
        <w:tab w:val="center" w:pos="4153"/>
        <w:tab w:val="right" w:pos="8306"/>
      </w:tabs>
    </w:pPr>
  </w:style>
  <w:style w:type="paragraph" w:customStyle="1" w:styleId="CharChar">
    <w:name w:val="Char Char"/>
    <w:basedOn w:val="Standard"/>
    <w:rsid w:val="001C1F0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semiHidden/>
    <w:rsid w:val="001C1F0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basedOn w:val="Absatz-Standardschriftart"/>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cs="Tahoma"/>
      <w:sz w:val="16"/>
      <w:szCs w:val="16"/>
    </w:rPr>
  </w:style>
  <w:style w:type="character" w:customStyle="1" w:styleId="SprechblasentextZchn">
    <w:name w:val="Sprechblasentext Zchn"/>
    <w:basedOn w:val="Absatz-Standardschriftart"/>
    <w:link w:val="Sprechblasentext"/>
    <w:rsid w:val="00582118"/>
    <w:rPr>
      <w:rFonts w:ascii="Tahoma"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00834">
      <w:bodyDiv w:val="1"/>
      <w:marLeft w:val="0"/>
      <w:marRight w:val="0"/>
      <w:marTop w:val="0"/>
      <w:marBottom w:val="0"/>
      <w:divBdr>
        <w:top w:val="none" w:sz="0" w:space="0" w:color="auto"/>
        <w:left w:val="none" w:sz="0" w:space="0" w:color="auto"/>
        <w:bottom w:val="none" w:sz="0" w:space="0" w:color="auto"/>
        <w:right w:val="none" w:sz="0" w:space="0" w:color="auto"/>
      </w:divBdr>
    </w:div>
    <w:div w:id="19204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Template for Brussels Contributions</vt:lpstr>
      <vt:lpstr>Template for Brussels Contributions</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Brussels Contributions</dc:title>
  <dc:subject/>
  <dc:creator>WG FM Secretariat</dc:creator>
  <cp:keywords/>
  <dc:description/>
  <cp:lastModifiedBy>Thomas Weilacher</cp:lastModifiedBy>
  <cp:revision>11</cp:revision>
  <dcterms:created xsi:type="dcterms:W3CDTF">2011-05-09T08:49:00Z</dcterms:created>
  <dcterms:modified xsi:type="dcterms:W3CDTF">2011-07-12T16:26:00Z</dcterms:modified>
</cp:coreProperties>
</file>