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843"/>
        <w:gridCol w:w="2497"/>
        <w:gridCol w:w="1731"/>
        <w:gridCol w:w="3569"/>
      </w:tblGrid>
      <w:tr w:rsidR="00472DC4" w:rsidRPr="0098621D">
        <w:tblPrEx>
          <w:tblCellMar>
            <w:top w:w="0" w:type="dxa"/>
            <w:bottom w:w="0" w:type="dxa"/>
          </w:tblCellMar>
        </w:tblPrEx>
        <w:trPr>
          <w:cantSplit/>
        </w:trPr>
        <w:tc>
          <w:tcPr>
            <w:tcW w:w="6071" w:type="dxa"/>
            <w:gridSpan w:val="3"/>
            <w:tcBorders>
              <w:top w:val="nil"/>
              <w:left w:val="nil"/>
              <w:bottom w:val="nil"/>
              <w:right w:val="nil"/>
            </w:tcBorders>
          </w:tcPr>
          <w:p w:rsidR="00472DC4" w:rsidRPr="0098621D" w:rsidRDefault="00472DC4" w:rsidP="0021574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64.5pt" wrapcoords="10292 5214 889 5214 635 9931 635 16138 3431 17131 889 17876 381 18124 635 20607 20329 20607 20965 18124 17407 17131 19694 16138 19567 7945 18805 5959 17788 5214 10292 5214">
                  <v:imagedata r:id="rId7" o:title=""/>
                </v:shape>
              </w:pict>
            </w:r>
          </w:p>
          <w:p w:rsidR="00472DC4" w:rsidRPr="0098621D" w:rsidRDefault="00472DC4" w:rsidP="00215746">
            <w:pPr>
              <w:pStyle w:val="Header"/>
              <w:rPr>
                <w:color w:val="000000"/>
                <w:lang w:val="en-GB"/>
              </w:rPr>
            </w:pPr>
          </w:p>
        </w:tc>
        <w:tc>
          <w:tcPr>
            <w:tcW w:w="3569" w:type="dxa"/>
            <w:tcBorders>
              <w:top w:val="nil"/>
              <w:left w:val="nil"/>
              <w:bottom w:val="nil"/>
              <w:right w:val="nil"/>
            </w:tcBorders>
          </w:tcPr>
          <w:p w:rsidR="00472DC4" w:rsidRPr="00346C62" w:rsidRDefault="00472DC4" w:rsidP="00533846">
            <w:pPr>
              <w:pStyle w:val="Header"/>
              <w:tabs>
                <w:tab w:val="clear" w:pos="4536"/>
                <w:tab w:val="right" w:pos="3357"/>
              </w:tabs>
            </w:pPr>
            <w:r>
              <w:tab/>
              <w:t>FM49(11)023</w:t>
            </w:r>
          </w:p>
        </w:tc>
      </w:tr>
      <w:tr w:rsidR="00472DC4" w:rsidRPr="0098621D">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472DC4" w:rsidRPr="0098621D" w:rsidRDefault="00472DC4" w:rsidP="00215746">
            <w:pPr>
              <w:pStyle w:val="Header"/>
            </w:pPr>
            <w:r>
              <w:t>FM 49 Radio Spectrum for PPDR</w:t>
            </w:r>
          </w:p>
        </w:tc>
        <w:tc>
          <w:tcPr>
            <w:tcW w:w="5300" w:type="dxa"/>
            <w:gridSpan w:val="2"/>
            <w:tcBorders>
              <w:top w:val="nil"/>
              <w:left w:val="nil"/>
              <w:bottom w:val="nil"/>
              <w:right w:val="nil"/>
            </w:tcBorders>
            <w:vAlign w:val="center"/>
          </w:tcPr>
          <w:p w:rsidR="00472DC4" w:rsidRPr="0098621D" w:rsidRDefault="00472DC4" w:rsidP="00215746">
            <w:pPr>
              <w:pStyle w:val="Header"/>
              <w:rPr>
                <w:lang w:val="en-GB"/>
              </w:rPr>
            </w:pPr>
          </w:p>
        </w:tc>
      </w:tr>
      <w:tr w:rsidR="00472DC4" w:rsidRPr="0098621D">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472DC4" w:rsidRPr="0098621D" w:rsidRDefault="00472DC4" w:rsidP="00215746">
            <w:pPr>
              <w:pStyle w:val="Header"/>
            </w:pPr>
            <w:r>
              <w:t>Helsinki, 14 - 15 November 2011</w:t>
            </w:r>
          </w:p>
        </w:tc>
        <w:tc>
          <w:tcPr>
            <w:tcW w:w="5300" w:type="dxa"/>
            <w:gridSpan w:val="2"/>
            <w:tcBorders>
              <w:top w:val="nil"/>
              <w:left w:val="nil"/>
              <w:bottom w:val="nil"/>
              <w:right w:val="nil"/>
            </w:tcBorders>
            <w:vAlign w:val="center"/>
          </w:tcPr>
          <w:p w:rsidR="00472DC4" w:rsidRPr="0098621D" w:rsidRDefault="00472DC4" w:rsidP="00215746">
            <w:pPr>
              <w:pStyle w:val="Header"/>
              <w:rPr>
                <w:lang w:val="en-GB"/>
              </w:rPr>
            </w:pPr>
          </w:p>
        </w:tc>
      </w:tr>
      <w:tr w:rsidR="00472DC4" w:rsidRPr="0098621D">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472DC4" w:rsidRPr="0098621D" w:rsidRDefault="00472DC4" w:rsidP="00215746">
            <w:pPr>
              <w:pStyle w:val="Header"/>
              <w:rPr>
                <w:sz w:val="8"/>
                <w:szCs w:val="8"/>
              </w:rPr>
            </w:pPr>
          </w:p>
        </w:tc>
        <w:tc>
          <w:tcPr>
            <w:tcW w:w="5300" w:type="dxa"/>
            <w:gridSpan w:val="2"/>
            <w:tcBorders>
              <w:top w:val="nil"/>
              <w:left w:val="nil"/>
              <w:bottom w:val="nil"/>
              <w:right w:val="nil"/>
            </w:tcBorders>
            <w:vAlign w:val="center"/>
          </w:tcPr>
          <w:p w:rsidR="00472DC4" w:rsidRPr="0098621D" w:rsidRDefault="00472DC4" w:rsidP="00215746">
            <w:pPr>
              <w:pStyle w:val="Header"/>
              <w:rPr>
                <w:sz w:val="8"/>
                <w:szCs w:val="8"/>
                <w:lang w:val="en-GB"/>
              </w:rPr>
            </w:pPr>
          </w:p>
        </w:tc>
      </w:tr>
      <w:tr w:rsidR="00472DC4" w:rsidRPr="0098621D">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472DC4" w:rsidRPr="0098621D" w:rsidRDefault="00472DC4" w:rsidP="00215746">
            <w:pPr>
              <w:pStyle w:val="Header"/>
            </w:pPr>
            <w:r w:rsidRPr="0098621D">
              <w:t>Date issued:</w:t>
            </w:r>
            <w:r>
              <w:t xml:space="preserve"> </w:t>
            </w:r>
          </w:p>
        </w:tc>
        <w:tc>
          <w:tcPr>
            <w:tcW w:w="7797" w:type="dxa"/>
            <w:gridSpan w:val="3"/>
            <w:tcBorders>
              <w:top w:val="nil"/>
              <w:left w:val="nil"/>
              <w:bottom w:val="nil"/>
              <w:right w:val="nil"/>
            </w:tcBorders>
            <w:vAlign w:val="center"/>
          </w:tcPr>
          <w:p w:rsidR="00472DC4" w:rsidRPr="0098621D" w:rsidRDefault="00472DC4" w:rsidP="00215746">
            <w:pPr>
              <w:pStyle w:val="Header"/>
              <w:rPr>
                <w:lang w:val="en-GB"/>
              </w:rPr>
            </w:pPr>
            <w:smartTag w:uri="urn:schemas-microsoft-com:office:smarttags" w:element="date">
              <w:smartTagPr>
                <w:attr w:name="Month" w:val="11"/>
                <w:attr w:name="Day" w:val="11"/>
                <w:attr w:name="Year" w:val="2011"/>
              </w:smartTagPr>
              <w:r>
                <w:rPr>
                  <w:lang w:val="en-GB"/>
                </w:rPr>
                <w:t>11 November 2011</w:t>
              </w:r>
            </w:smartTag>
          </w:p>
        </w:tc>
      </w:tr>
      <w:tr w:rsidR="00472DC4" w:rsidRPr="0098621D">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472DC4" w:rsidRPr="0098621D" w:rsidRDefault="00472DC4" w:rsidP="00215746">
            <w:pPr>
              <w:pStyle w:val="Header"/>
            </w:pPr>
            <w:r w:rsidRPr="0098621D">
              <w:t>Source:</w:t>
            </w:r>
          </w:p>
        </w:tc>
        <w:tc>
          <w:tcPr>
            <w:tcW w:w="7797" w:type="dxa"/>
            <w:gridSpan w:val="3"/>
            <w:tcBorders>
              <w:top w:val="nil"/>
              <w:left w:val="nil"/>
              <w:bottom w:val="nil"/>
              <w:right w:val="nil"/>
            </w:tcBorders>
            <w:vAlign w:val="center"/>
          </w:tcPr>
          <w:p w:rsidR="00472DC4" w:rsidRPr="0098621D" w:rsidRDefault="00472DC4" w:rsidP="00215746">
            <w:pPr>
              <w:pStyle w:val="Header"/>
              <w:rPr>
                <w:lang w:val="en-GB"/>
              </w:rPr>
            </w:pPr>
            <w:r>
              <w:rPr>
                <w:lang w:val="en-GB"/>
              </w:rPr>
              <w:t>TETRA Association</w:t>
            </w:r>
          </w:p>
        </w:tc>
      </w:tr>
      <w:tr w:rsidR="00472DC4" w:rsidRPr="0098621D">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472DC4" w:rsidRPr="0098621D" w:rsidRDefault="00472DC4" w:rsidP="00215746">
            <w:pPr>
              <w:pStyle w:val="Header"/>
            </w:pPr>
            <w:r w:rsidRPr="0098621D">
              <w:rPr>
                <w:lang w:val="en-GB"/>
              </w:rPr>
              <w:t>Subject:</w:t>
            </w:r>
          </w:p>
        </w:tc>
        <w:tc>
          <w:tcPr>
            <w:tcW w:w="7797" w:type="dxa"/>
            <w:gridSpan w:val="3"/>
            <w:tcBorders>
              <w:top w:val="nil"/>
              <w:left w:val="nil"/>
              <w:bottom w:val="nil"/>
              <w:right w:val="nil"/>
            </w:tcBorders>
            <w:vAlign w:val="center"/>
          </w:tcPr>
          <w:p w:rsidR="00472DC4" w:rsidRPr="001E0E49" w:rsidRDefault="00472DC4" w:rsidP="001E0E49">
            <w:pPr>
              <w:pStyle w:val="Header"/>
              <w:rPr>
                <w:lang w:val="en-GB"/>
              </w:rPr>
            </w:pPr>
            <w:r>
              <w:rPr>
                <w:lang w:val="en-GB"/>
              </w:rPr>
              <w:t>PPDR and commercial services</w:t>
            </w:r>
          </w:p>
        </w:tc>
      </w:tr>
      <w:tr w:rsidR="00472DC4" w:rsidRPr="0098621D">
        <w:tblPrEx>
          <w:tblCellMar>
            <w:top w:w="0" w:type="dxa"/>
            <w:left w:w="108" w:type="dxa"/>
            <w:bottom w:w="0" w:type="dxa"/>
            <w:right w:w="108" w:type="dxa"/>
          </w:tblCellMar>
        </w:tblPrEx>
        <w:trPr>
          <w:cantSplit/>
          <w:trHeight w:val="1040"/>
        </w:trPr>
        <w:tc>
          <w:tcPr>
            <w:tcW w:w="9640" w:type="dxa"/>
            <w:gridSpan w:val="4"/>
            <w:tcBorders>
              <w:top w:val="nil"/>
              <w:left w:val="nil"/>
              <w:bottom w:val="nil"/>
              <w:right w:val="nil"/>
            </w:tcBorders>
            <w:vAlign w:val="center"/>
          </w:tcPr>
          <w:p w:rsidR="00472DC4" w:rsidRPr="006D7413" w:rsidRDefault="00472DC4" w:rsidP="00FF320E">
            <w:pPr>
              <w:rPr>
                <w:lang w:val="en-GB"/>
              </w:rPr>
            </w:pPr>
            <w:r>
              <w:rPr>
                <w:noProof/>
                <w:lang w:val="de-DE"/>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251658240;mso-wrap-edited:f;mso-position-horizontal-relative:text;mso-position-vertical-relative:text" wrapcoords="-450 0 -450 21600 22050 21600 22050 0 -450 0">
                  <v:textbox style="mso-next-textbox:#_x0000_s1026">
                    <w:txbxContent>
                      <w:p w:rsidR="00472DC4" w:rsidRPr="00254FD9" w:rsidRDefault="00472DC4" w:rsidP="005348B2">
                        <w:pPr>
                          <w:spacing w:after="0"/>
                          <w:jc w:val="center"/>
                          <w:rPr>
                            <w:lang w:val="de-DE"/>
                          </w:rPr>
                        </w:pPr>
                        <w:r>
                          <w:rPr>
                            <w:lang w:val="de-DE"/>
                          </w:rPr>
                          <w:t>N</w:t>
                        </w:r>
                      </w:p>
                    </w:txbxContent>
                  </v:textbox>
                  <w10:wrap type="tight"/>
                </v:shape>
              </w:pict>
            </w:r>
          </w:p>
          <w:p w:rsidR="00472DC4" w:rsidRDefault="00472DC4" w:rsidP="00FF320E">
            <w:pPr>
              <w:rPr>
                <w:lang w:val="en-GB"/>
              </w:rPr>
            </w:pPr>
            <w:r w:rsidRPr="0016435A">
              <w:rPr>
                <w:lang w:val="en-GB"/>
              </w:rPr>
              <w:t xml:space="preserve">Password protection required? (Y/N) </w:t>
            </w:r>
          </w:p>
          <w:p w:rsidR="00472DC4" w:rsidRPr="00DD103C" w:rsidRDefault="00472DC4" w:rsidP="00FF320E">
            <w:pPr>
              <w:pStyle w:val="Header1"/>
              <w:rPr>
                <w:lang w:val="en-GB"/>
              </w:rPr>
            </w:pPr>
          </w:p>
        </w:tc>
      </w:tr>
      <w:tr w:rsidR="00472DC4" w:rsidRPr="0098621D">
        <w:tblPrEx>
          <w:tblCellMar>
            <w:top w:w="0" w:type="dxa"/>
            <w:left w:w="108" w:type="dxa"/>
            <w:bottom w:w="0" w:type="dxa"/>
            <w:right w:w="108" w:type="dxa"/>
          </w:tblCellMar>
        </w:tblPrEx>
        <w:trPr>
          <w:cantSplit/>
          <w:trHeight w:hRule="exact" w:val="74"/>
        </w:trPr>
        <w:tc>
          <w:tcPr>
            <w:tcW w:w="9640" w:type="dxa"/>
            <w:gridSpan w:val="4"/>
            <w:tcBorders>
              <w:top w:val="nil"/>
              <w:left w:val="nil"/>
              <w:bottom w:val="nil"/>
              <w:right w:val="nil"/>
            </w:tcBorders>
            <w:vAlign w:val="center"/>
          </w:tcPr>
          <w:p w:rsidR="00472DC4" w:rsidRPr="003D778B" w:rsidRDefault="00472DC4" w:rsidP="00FF320E">
            <w:pPr>
              <w:pStyle w:val="Header1"/>
            </w:pPr>
          </w:p>
          <w:p w:rsidR="00472DC4" w:rsidRPr="0098621D" w:rsidRDefault="00472DC4" w:rsidP="00FF320E">
            <w:pPr>
              <w:pStyle w:val="Header1"/>
              <w:rPr>
                <w:sz w:val="8"/>
                <w:szCs w:val="8"/>
              </w:rPr>
            </w:pPr>
          </w:p>
        </w:tc>
      </w:tr>
      <w:tr w:rsidR="00472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6"/>
        </w:trPr>
        <w:tc>
          <w:tcPr>
            <w:tcW w:w="9640" w:type="dxa"/>
            <w:gridSpan w:val="4"/>
            <w:tcBorders>
              <w:bottom w:val="nil"/>
            </w:tcBorders>
          </w:tcPr>
          <w:p w:rsidR="00472DC4" w:rsidRDefault="00472DC4" w:rsidP="001E0E49">
            <w:pPr>
              <w:pStyle w:val="Header"/>
              <w:rPr>
                <w:lang w:val="en-US"/>
              </w:rPr>
            </w:pPr>
            <w:r w:rsidRPr="001E0E49">
              <w:rPr>
                <w:lang w:val="en-US"/>
              </w:rPr>
              <w:t>Summary:</w:t>
            </w:r>
            <w:r>
              <w:rPr>
                <w:lang w:val="en-US"/>
              </w:rPr>
              <w:t xml:space="preserve"> </w:t>
            </w:r>
          </w:p>
        </w:tc>
      </w:tr>
      <w:tr w:rsidR="00472DC4" w:rsidRPr="00D44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112"/>
        </w:trPr>
        <w:tc>
          <w:tcPr>
            <w:tcW w:w="9640" w:type="dxa"/>
            <w:gridSpan w:val="4"/>
            <w:tcBorders>
              <w:top w:val="nil"/>
            </w:tcBorders>
          </w:tcPr>
          <w:p w:rsidR="00472DC4" w:rsidRPr="00B5081D" w:rsidRDefault="00472DC4" w:rsidP="00B5081D">
            <w:pPr>
              <w:rPr>
                <w:lang w:val="en-GB"/>
              </w:rPr>
            </w:pPr>
            <w:r w:rsidRPr="00B5081D">
              <w:rPr>
                <w:lang w:val="en-GB"/>
              </w:rPr>
              <w:t xml:space="preserve">This input paper was produced to discuss questions related to selection of technology and standard for European Public Protection and Disaster relief as well as the crucial question raised on whether dedicated radio networks will be really needed for successful PPDR field operations or whether the needs could be met with commercial mobile networks. </w:t>
            </w:r>
          </w:p>
          <w:p w:rsidR="00472DC4" w:rsidRPr="00B5081D" w:rsidRDefault="00472DC4" w:rsidP="00B5081D">
            <w:pPr>
              <w:rPr>
                <w:lang w:val="en-GB"/>
              </w:rPr>
            </w:pPr>
            <w:r w:rsidRPr="00B5081D">
              <w:rPr>
                <w:lang w:val="en-GB"/>
              </w:rPr>
              <w:t xml:space="preserve">This input paper also offers answers and comments to the issues raised in input doc FM49(11)019 from </w:t>
            </w:r>
            <w:smartTag w:uri="urn:schemas-microsoft-com:office:smarttags" w:element="place">
              <w:smartTag w:uri="urn:schemas-microsoft-com:office:smarttags" w:element="country-region">
                <w:r w:rsidRPr="00B5081D">
                  <w:rPr>
                    <w:lang w:val="en-GB"/>
                  </w:rPr>
                  <w:t>Sweden</w:t>
                </w:r>
              </w:smartTag>
            </w:smartTag>
            <w:r w:rsidRPr="00B5081D">
              <w:rPr>
                <w:lang w:val="en-GB"/>
              </w:rPr>
              <w:t xml:space="preserve">. </w:t>
            </w:r>
          </w:p>
          <w:p w:rsidR="00472DC4" w:rsidRPr="00B5081D" w:rsidRDefault="00472DC4" w:rsidP="00B5081D">
            <w:pPr>
              <w:rPr>
                <w:lang w:val="en-GB"/>
              </w:rPr>
            </w:pPr>
          </w:p>
          <w:p w:rsidR="00472DC4" w:rsidRPr="00B5081D" w:rsidRDefault="00472DC4" w:rsidP="00B5081D">
            <w:pPr>
              <w:rPr>
                <w:lang w:val="en-GB"/>
              </w:rPr>
            </w:pPr>
            <w:r w:rsidRPr="00B5081D">
              <w:rPr>
                <w:lang w:val="en-GB"/>
              </w:rPr>
              <w:t xml:space="preserve">The main conclusions drawn in the paper are the following: </w:t>
            </w:r>
          </w:p>
          <w:p w:rsidR="00472DC4" w:rsidRPr="00B5081D" w:rsidRDefault="00472DC4" w:rsidP="00B5081D">
            <w:pPr>
              <w:rPr>
                <w:lang w:val="en-GB"/>
              </w:rPr>
            </w:pPr>
            <w:r w:rsidRPr="00B5081D">
              <w:rPr>
                <w:lang w:val="en-GB"/>
              </w:rPr>
              <w:t>- The PPDR community widely believes in LTE based technologies, we do not see a need for standards discussion in FM49</w:t>
            </w:r>
          </w:p>
          <w:p w:rsidR="00472DC4" w:rsidRPr="00B5081D" w:rsidRDefault="00472DC4" w:rsidP="00B5081D">
            <w:pPr>
              <w:rPr>
                <w:lang w:val="en-GB"/>
              </w:rPr>
            </w:pPr>
            <w:r w:rsidRPr="00B5081D">
              <w:rPr>
                <w:lang w:val="en-GB"/>
              </w:rPr>
              <w:t xml:space="preserve">- Every member state has full freedom to implement ECC Decisions or not, the fact that one or two member states do not see a need for an ECC Decision should not stop making one </w:t>
            </w:r>
          </w:p>
          <w:p w:rsidR="00472DC4" w:rsidRPr="00B5081D" w:rsidRDefault="00472DC4" w:rsidP="00B5081D">
            <w:pPr>
              <w:rPr>
                <w:lang w:val="en-GB"/>
              </w:rPr>
            </w:pPr>
            <w:r w:rsidRPr="00B5081D">
              <w:rPr>
                <w:lang w:val="en-GB"/>
              </w:rPr>
              <w:t xml:space="preserve">-The need for dedicated PPDR networks has been concluded to exist in so many study results and official documents that it is very difficult to try to imagine that the need would suddenly disappear </w:t>
            </w:r>
          </w:p>
          <w:p w:rsidR="00472DC4" w:rsidRPr="00B5081D" w:rsidRDefault="00472DC4" w:rsidP="001E0E49">
            <w:pPr>
              <w:rPr>
                <w:lang w:val="en-GB"/>
              </w:rPr>
            </w:pPr>
            <w:r w:rsidRPr="00B5081D">
              <w:rPr>
                <w:lang w:val="en-GB"/>
              </w:rPr>
              <w:t>-We expect also the usage of commercial mobile services by PPDR agencies to be increasing in the near future for non-mission critical applications, especially when no dedicated high speed data PPDR service is available</w:t>
            </w:r>
          </w:p>
        </w:tc>
      </w:tr>
      <w:tr w:rsidR="00472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3"/>
        </w:trPr>
        <w:tc>
          <w:tcPr>
            <w:tcW w:w="9640" w:type="dxa"/>
            <w:gridSpan w:val="4"/>
            <w:tcBorders>
              <w:bottom w:val="nil"/>
            </w:tcBorders>
          </w:tcPr>
          <w:p w:rsidR="00472DC4" w:rsidRDefault="00472DC4" w:rsidP="001E0E49">
            <w:pPr>
              <w:pStyle w:val="Header"/>
              <w:rPr>
                <w:lang w:val="en-US"/>
              </w:rPr>
            </w:pPr>
            <w:r>
              <w:rPr>
                <w:lang w:val="en-US"/>
              </w:rPr>
              <w:t xml:space="preserve">Proposal: </w:t>
            </w:r>
          </w:p>
        </w:tc>
      </w:tr>
      <w:tr w:rsidR="00472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945"/>
        </w:trPr>
        <w:tc>
          <w:tcPr>
            <w:tcW w:w="9640" w:type="dxa"/>
            <w:gridSpan w:val="4"/>
            <w:tcBorders>
              <w:top w:val="nil"/>
            </w:tcBorders>
          </w:tcPr>
          <w:p w:rsidR="00472DC4" w:rsidRDefault="00472DC4" w:rsidP="001E0E49">
            <w:pPr>
              <w:rPr>
                <w:lang w:val="en-US"/>
              </w:rPr>
            </w:pPr>
          </w:p>
          <w:p w:rsidR="00472DC4" w:rsidRDefault="00472DC4" w:rsidP="001E0E49">
            <w:pPr>
              <w:rPr>
                <w:lang w:val="en-US"/>
              </w:rPr>
            </w:pPr>
          </w:p>
        </w:tc>
      </w:tr>
      <w:tr w:rsidR="00472D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1"/>
        </w:trPr>
        <w:tc>
          <w:tcPr>
            <w:tcW w:w="9640" w:type="dxa"/>
            <w:gridSpan w:val="4"/>
            <w:tcBorders>
              <w:bottom w:val="nil"/>
            </w:tcBorders>
          </w:tcPr>
          <w:p w:rsidR="00472DC4" w:rsidRDefault="00472DC4" w:rsidP="001E0E49">
            <w:pPr>
              <w:pStyle w:val="Header"/>
              <w:rPr>
                <w:lang w:val="en-US"/>
              </w:rPr>
            </w:pPr>
            <w:r>
              <w:rPr>
                <w:lang w:val="en-US"/>
              </w:rPr>
              <w:t>Background:</w:t>
            </w:r>
            <w:r>
              <w:rPr>
                <w:lang w:val="en-US"/>
              </w:rPr>
              <w:tab/>
            </w:r>
          </w:p>
        </w:tc>
      </w:tr>
      <w:tr w:rsidR="00472DC4" w:rsidRPr="00E3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84"/>
        </w:trPr>
        <w:tc>
          <w:tcPr>
            <w:tcW w:w="9640" w:type="dxa"/>
            <w:gridSpan w:val="4"/>
            <w:tcBorders>
              <w:top w:val="nil"/>
            </w:tcBorders>
          </w:tcPr>
          <w:p w:rsidR="00472DC4" w:rsidRPr="00E305FF" w:rsidRDefault="00472DC4" w:rsidP="004002F7">
            <w:pPr>
              <w:rPr>
                <w:lang w:val="en-GB"/>
              </w:rPr>
            </w:pPr>
          </w:p>
        </w:tc>
      </w:tr>
    </w:tbl>
    <w:p w:rsidR="00472DC4" w:rsidRDefault="00472DC4" w:rsidP="00DE5E01">
      <w:pPr>
        <w:rPr>
          <w:lang w:val="en-GB"/>
        </w:rPr>
      </w:pPr>
    </w:p>
    <w:p w:rsidR="00472DC4" w:rsidRPr="00B5081D" w:rsidRDefault="00472DC4" w:rsidP="00B5081D">
      <w:pPr>
        <w:pStyle w:val="Heading1"/>
        <w:numPr>
          <w:ilvl w:val="0"/>
          <w:numId w:val="0"/>
        </w:numPr>
        <w:rPr>
          <w:kern w:val="32"/>
          <w:sz w:val="24"/>
          <w:szCs w:val="24"/>
        </w:rPr>
      </w:pPr>
      <w:r>
        <w:br w:type="page"/>
      </w:r>
      <w:r w:rsidRPr="00B5081D">
        <w:rPr>
          <w:kern w:val="32"/>
          <w:sz w:val="24"/>
          <w:szCs w:val="24"/>
        </w:rPr>
        <w:t>Introduction</w:t>
      </w:r>
    </w:p>
    <w:p w:rsidR="00472DC4" w:rsidRPr="00B5081D" w:rsidRDefault="00472DC4" w:rsidP="00B5081D">
      <w:pPr>
        <w:spacing w:after="0"/>
        <w:jc w:val="left"/>
        <w:rPr>
          <w:lang w:val="en-GB"/>
        </w:rPr>
      </w:pPr>
      <w:r w:rsidRPr="00B5081D">
        <w:rPr>
          <w:lang w:val="en-GB"/>
        </w:rPr>
        <w:t xml:space="preserve">This input paper was produced to discuss questions related to selection of technology and standard for European Public Protection and Disaster relief as well as the crucial question raised on whether dedicated radio networks will be really needed for successful PPDR field operations or whether the needs could be met with commercial mobile networks.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This input paper also offers answers and comments to the issues raised in input doc FM49(11)019 from </w:t>
      </w:r>
      <w:smartTag w:uri="urn:schemas-microsoft-com:office:smarttags" w:element="place">
        <w:smartTag w:uri="urn:schemas-microsoft-com:office:smarttags" w:element="country-region">
          <w:r w:rsidRPr="00B5081D">
            <w:rPr>
              <w:lang w:val="en-GB"/>
            </w:rPr>
            <w:t>Sweden</w:t>
          </w:r>
        </w:smartTag>
      </w:smartTag>
      <w:r w:rsidRPr="00B5081D">
        <w:rPr>
          <w:lang w:val="en-GB"/>
        </w:rPr>
        <w:t xml:space="preserve">.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p>
    <w:p w:rsidR="00472DC4" w:rsidRPr="00B5081D" w:rsidRDefault="00472DC4" w:rsidP="00B5081D">
      <w:pPr>
        <w:spacing w:after="0"/>
        <w:jc w:val="left"/>
        <w:rPr>
          <w:b/>
          <w:bCs/>
          <w:sz w:val="24"/>
          <w:szCs w:val="24"/>
          <w:lang w:val="en-GB"/>
        </w:rPr>
      </w:pPr>
      <w:r w:rsidRPr="00B5081D">
        <w:rPr>
          <w:b/>
          <w:bCs/>
          <w:sz w:val="24"/>
          <w:szCs w:val="24"/>
          <w:lang w:val="en-GB"/>
        </w:rPr>
        <w:t>The question of technology and standard</w:t>
      </w:r>
    </w:p>
    <w:p w:rsidR="00472DC4" w:rsidRPr="00B5081D" w:rsidRDefault="00472DC4" w:rsidP="00B5081D">
      <w:pPr>
        <w:spacing w:after="0"/>
        <w:jc w:val="left"/>
        <w:rPr>
          <w:b/>
          <w:bCs/>
          <w:sz w:val="24"/>
          <w:szCs w:val="24"/>
          <w:lang w:val="en-GB"/>
        </w:rPr>
      </w:pPr>
    </w:p>
    <w:p w:rsidR="00472DC4" w:rsidRPr="00B5081D" w:rsidRDefault="00472DC4" w:rsidP="00B5081D">
      <w:pPr>
        <w:spacing w:after="0"/>
        <w:jc w:val="left"/>
        <w:rPr>
          <w:lang w:val="en-GB"/>
        </w:rPr>
      </w:pPr>
      <w:r w:rsidRPr="00B5081D">
        <w:rPr>
          <w:lang w:val="en-GB"/>
        </w:rPr>
        <w:t xml:space="preserve">As far as we are aware, practically all European PPDR user organisations as well as their radio suppliers believe today that the future broadband PPDR services will be built on LTE based technology. As there does not seem to be any clear opposing opinion, we do not see a need to discuss the standards for the moment in FM49. LTE is simply the adopted working assumption.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PPDR users expect to achieve benefits from global mass market synergies and also from synergies with the North American Public Safety market that has chosen LTE.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If and when there are needs for further development of the technology to suit PPDR user needs, those needs are seen to be mainly in the areas of system availability, information security and possibly load control and priorities. Those additional needs are not seen to prevent adoption of the LTE air interface standards of the the 3GPP. We note that there has also been discussion about uplink data throughput needs. It is however to be seen, how successful the PPDR community will be in convincing 3GPP to meet their specific needs.</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The PPDR community is in discussion with ETSI to see in how far standard LTE fits the functional requirements like those listed in the LEWP-RCEG matrix.</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Some specific functionalities were highlighted in input doc FM49(11)019 and we try to respond to those below: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Broadcast/Multicast</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We do appreciate the possibility for resource efficient broadcast/multicast.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DMO</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It is true that there is a proposal to implement DMO in LTE standards in the 3GPP process even though DMO is not yet written in the standards. TETRA Association was one of the proponents of DMO, and we hope the proposal to lead to standardisation.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We also want to point out that if DMO is implemented, that will require a dedicated frequency band to be truly usable.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Fallback</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We agree that the use case of base station fallback operation might require further clarification in connection of a data only service. Local sharing of data and video during major incident that has destroyed the core networks could be one use case. What we know from history is that fallback operation has been considered necessary with mission critical voice services, and even if there were PPDR networks not utilising it for example because of having extremely reliable transmission systems, we know that many user organisations consider that a must. If and when mission critical voice services are ported over LTE, we believe that the mandatory fallback requirement comes immediately in any case.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 xml:space="preserve">Security aspects </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We believe that security needs and concerns can be solved with LTE based technology.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Roaming</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We have indeed noticed that LTE provides possibility for cross-border roaming.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End user equipment</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One of the main reasons of the PPDR users to consider LTE were the foreseen synergies with mass market handsets and their components and software as well as synergies with the coming U.S. Public Safety LTE products. </w:t>
      </w:r>
    </w:p>
    <w:p w:rsidR="00472DC4" w:rsidRPr="00B5081D" w:rsidRDefault="00472DC4" w:rsidP="00B5081D">
      <w:pPr>
        <w:spacing w:after="0"/>
        <w:jc w:val="left"/>
        <w:rPr>
          <w:lang w:val="en-GB"/>
        </w:rPr>
      </w:pPr>
    </w:p>
    <w:p w:rsidR="00472DC4" w:rsidRPr="00B5081D" w:rsidRDefault="00472DC4" w:rsidP="00B5081D">
      <w:pPr>
        <w:spacing w:after="0"/>
        <w:jc w:val="left"/>
        <w:rPr>
          <w:b/>
          <w:bCs/>
          <w:lang w:val="en-GB"/>
        </w:rPr>
      </w:pPr>
      <w:r w:rsidRPr="00B5081D">
        <w:rPr>
          <w:b/>
          <w:bCs/>
          <w:lang w:val="en-GB"/>
        </w:rPr>
        <w:t>Infrastructure</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Synergy benefits are obvious as well in the base stations. We should however note that the question of frequency band to be eventually selected by FM49 is today very much open. Significant technology synergy benefits will exist in any case independent of the band.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Finally, we support any means to obtain radio spectrum for PPDR, including the idea of harmonising more spectrum for mobile broadband in a way that the PPDR spectrum needs are solved in the same context.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p>
    <w:p w:rsidR="00472DC4" w:rsidRPr="00B5081D" w:rsidRDefault="00472DC4" w:rsidP="00B5081D">
      <w:pPr>
        <w:keepNext/>
        <w:spacing w:before="240" w:after="60"/>
        <w:jc w:val="left"/>
        <w:outlineLvl w:val="0"/>
        <w:rPr>
          <w:b/>
          <w:bCs/>
          <w:kern w:val="32"/>
          <w:sz w:val="24"/>
          <w:szCs w:val="24"/>
          <w:lang w:val="en-GB"/>
        </w:rPr>
      </w:pPr>
      <w:r w:rsidRPr="00B5081D">
        <w:rPr>
          <w:b/>
          <w:bCs/>
          <w:kern w:val="32"/>
          <w:sz w:val="24"/>
          <w:szCs w:val="24"/>
          <w:lang w:val="en-GB"/>
        </w:rPr>
        <w:t>The question of commercial vs dedicated network</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Numerous bodies and events have concluded that the need for dedicated mission critical radio system is real, and often stating at the same time that there are also non-mission critical data services in use by the PPDR organisations that could be delivered via commercial mobile networks. This kind of conclusions are available e.g. from: </w:t>
      </w:r>
    </w:p>
    <w:p w:rsidR="00472DC4" w:rsidRPr="00B5081D" w:rsidRDefault="00472DC4" w:rsidP="00B5081D">
      <w:pPr>
        <w:spacing w:after="0"/>
        <w:jc w:val="left"/>
        <w:rPr>
          <w:lang w:val="en-GB"/>
        </w:rPr>
      </w:pPr>
    </w:p>
    <w:p w:rsidR="00472DC4" w:rsidRPr="00B5081D" w:rsidRDefault="00472DC4" w:rsidP="00B5081D">
      <w:pPr>
        <w:spacing w:after="0"/>
        <w:ind w:left="708"/>
        <w:jc w:val="left"/>
        <w:rPr>
          <w:lang w:val="en-GB"/>
        </w:rPr>
      </w:pPr>
      <w:r w:rsidRPr="00B5081D">
        <w:rPr>
          <w:lang w:val="en-GB"/>
        </w:rPr>
        <w:t xml:space="preserve">- WIK Consult &amp; al report "Safety First", May 2008 (www.public-safety-first.eu) _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CEPT WG FM in their conclusions from the PPDR Questionnaire, May 2009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Recommendation of the Council of Justice &amp; Home Affairs Ministers, "Council Recommendation on improving radio communication between operational units in border areas", June 2009</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Analysys Mason report "Public safety mobile broadband and spectrum needs",  March 2010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WIK Consult &amp; al report to German Ministry of Economy, December 2010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Law Enforcement Working Party of the JHA Council, input to CEPT, September 2010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CEPT PPDR workshop conclusions, </w:t>
      </w:r>
      <w:smartTag w:uri="urn:schemas-microsoft-com:office:smarttags" w:element="place">
        <w:smartTag w:uri="urn:schemas-microsoft-com:office:smarttags" w:element="City">
          <w:r w:rsidRPr="00B5081D">
            <w:rPr>
              <w:lang w:val="en-GB"/>
            </w:rPr>
            <w:t>Mainz</w:t>
          </w:r>
        </w:smartTag>
      </w:smartTag>
      <w:r w:rsidRPr="00B5081D">
        <w:rPr>
          <w:lang w:val="en-GB"/>
        </w:rPr>
        <w:t>, March 2010</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EU PPDR workshop conclusions, </w:t>
      </w:r>
      <w:smartTag w:uri="urn:schemas-microsoft-com:office:smarttags" w:element="place">
        <w:smartTag w:uri="urn:schemas-microsoft-com:office:smarttags" w:element="City">
          <w:r w:rsidRPr="00B5081D">
            <w:rPr>
              <w:lang w:val="en-GB"/>
            </w:rPr>
            <w:t>Brussels</w:t>
          </w:r>
        </w:smartTag>
      </w:smartTag>
      <w:r w:rsidRPr="00B5081D">
        <w:rPr>
          <w:lang w:val="en-GB"/>
        </w:rPr>
        <w:t xml:space="preserve">, March 2011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European Commission in the RSPP proposal text to European Parliament, September 2010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European Parliament in their RSPP first reading decision, May 2011 </w:t>
      </w:r>
    </w:p>
    <w:p w:rsidR="00472DC4" w:rsidRPr="00B5081D" w:rsidRDefault="00472DC4" w:rsidP="00B5081D">
      <w:pPr>
        <w:spacing w:after="0"/>
        <w:ind w:left="708"/>
        <w:jc w:val="left"/>
        <w:rPr>
          <w:lang w:val="en-GB"/>
        </w:rPr>
      </w:pPr>
    </w:p>
    <w:p w:rsidR="00472DC4" w:rsidRPr="00B5081D" w:rsidRDefault="00472DC4" w:rsidP="00B5081D">
      <w:pPr>
        <w:spacing w:after="0"/>
        <w:ind w:left="708"/>
        <w:jc w:val="left"/>
        <w:rPr>
          <w:lang w:val="en-GB"/>
        </w:rPr>
      </w:pPr>
      <w:r w:rsidRPr="00B5081D">
        <w:rPr>
          <w:lang w:val="en-GB"/>
        </w:rPr>
        <w:t xml:space="preserve">- Agreement between the Council of the EU and European Parliament on RSPP text , proposal for final approval, October 2011 </w:t>
      </w:r>
    </w:p>
    <w:p w:rsidR="00472DC4" w:rsidRPr="00B5081D" w:rsidRDefault="00472DC4" w:rsidP="00B5081D">
      <w:pPr>
        <w:spacing w:after="0"/>
        <w:jc w:val="left"/>
        <w:rPr>
          <w:lang w:val="en-GB"/>
        </w:rPr>
      </w:pPr>
      <w:r w:rsidRPr="00B5081D">
        <w:rPr>
          <w:lang w:val="en-GB"/>
        </w:rPr>
        <w:t xml:space="preserve"> </w:t>
      </w:r>
    </w:p>
    <w:p w:rsidR="00472DC4" w:rsidRPr="00B5081D" w:rsidRDefault="00472DC4" w:rsidP="00B5081D">
      <w:pPr>
        <w:spacing w:after="0"/>
        <w:jc w:val="left"/>
        <w:rPr>
          <w:lang w:val="en-GB"/>
        </w:rPr>
      </w:pPr>
      <w:r w:rsidRPr="00B5081D">
        <w:rPr>
          <w:lang w:val="en-GB"/>
        </w:rPr>
        <w:t xml:space="preserve">The above list is not exhaustive but it should indicate that the question has been addressed many times by multiple organisations at various levels of technological and political decision making, with conclusions very much in line.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As an example on how the conclusions are formulated, below is quote from the WIK Consult final report “PPDR Spectrum Harmonisation in Germany, Europe and Globally” to the German Ministry of Economy, from December 2010. This report has also been submitted to FM49 1st meeting by the German administration:</w:t>
      </w:r>
    </w:p>
    <w:p w:rsidR="00472DC4" w:rsidRPr="00B5081D" w:rsidRDefault="00472DC4" w:rsidP="00B5081D">
      <w:pPr>
        <w:spacing w:after="0"/>
        <w:jc w:val="left"/>
        <w:rPr>
          <w:lang w:val="en-GB"/>
        </w:rPr>
      </w:pPr>
    </w:p>
    <w:p w:rsidR="00472DC4" w:rsidRPr="00B5081D" w:rsidRDefault="00472DC4" w:rsidP="00B5081D">
      <w:pPr>
        <w:autoSpaceDE w:val="0"/>
        <w:autoSpaceDN w:val="0"/>
        <w:adjustRightInd w:val="0"/>
        <w:spacing w:after="0"/>
        <w:ind w:left="708"/>
        <w:jc w:val="left"/>
        <w:rPr>
          <w:i/>
          <w:iCs/>
          <w:color w:val="000000"/>
          <w:lang w:val="en-US" w:eastAsia="sv-SE"/>
        </w:rPr>
      </w:pPr>
      <w:r w:rsidRPr="00B5081D">
        <w:rPr>
          <w:color w:val="000000"/>
          <w:lang w:val="en-GB" w:eastAsia="sv-SE"/>
        </w:rPr>
        <w:t xml:space="preserve">“ </w:t>
      </w:r>
      <w:r w:rsidRPr="00B5081D">
        <w:rPr>
          <w:i/>
          <w:iCs/>
          <w:color w:val="000000"/>
          <w:lang w:val="en-US" w:eastAsia="sv-SE"/>
        </w:rPr>
        <w:t xml:space="preserve">These(PPDR )requirements could not be fully met by public networks today, and they do not appear to be likely to be met by public networks any time soon. The requirements that stem from daily operations have necessitated specific consideration of the set-up and operational costs. Security networks are not operated on a profit-maximising basis, but rather as a response to security requirements. </w:t>
      </w:r>
    </w:p>
    <w:p w:rsidR="00472DC4" w:rsidRPr="00B5081D" w:rsidRDefault="00472DC4" w:rsidP="00B5081D">
      <w:pPr>
        <w:autoSpaceDE w:val="0"/>
        <w:autoSpaceDN w:val="0"/>
        <w:adjustRightInd w:val="0"/>
        <w:spacing w:after="0"/>
        <w:ind w:left="708"/>
        <w:jc w:val="left"/>
        <w:rPr>
          <w:i/>
          <w:iCs/>
          <w:color w:val="000000"/>
          <w:lang w:val="en-US" w:eastAsia="sv-SE"/>
        </w:rPr>
      </w:pPr>
    </w:p>
    <w:p w:rsidR="00472DC4" w:rsidRPr="00B5081D" w:rsidRDefault="00472DC4" w:rsidP="00B5081D">
      <w:pPr>
        <w:autoSpaceDE w:val="0"/>
        <w:autoSpaceDN w:val="0"/>
        <w:adjustRightInd w:val="0"/>
        <w:spacing w:after="0"/>
        <w:ind w:left="708"/>
        <w:jc w:val="left"/>
        <w:rPr>
          <w:i/>
          <w:iCs/>
          <w:color w:val="000000"/>
          <w:lang w:val="en-US" w:eastAsia="sv-SE"/>
        </w:rPr>
      </w:pPr>
      <w:r w:rsidRPr="00B5081D">
        <w:rPr>
          <w:i/>
          <w:iCs/>
          <w:color w:val="000000"/>
          <w:lang w:val="en-US" w:eastAsia="sv-SE"/>
        </w:rPr>
        <w:t xml:space="preserve">Commercial mobile networks tend to be massively overloaded whenever a major event or disaster occurs. Thus, they are likely (in the absence of effective pre-emption) to be unavailable to PPDR precisely when they are most needed. </w:t>
      </w:r>
    </w:p>
    <w:p w:rsidR="00472DC4" w:rsidRPr="00B5081D" w:rsidRDefault="00472DC4" w:rsidP="00B5081D">
      <w:pPr>
        <w:autoSpaceDE w:val="0"/>
        <w:autoSpaceDN w:val="0"/>
        <w:adjustRightInd w:val="0"/>
        <w:spacing w:after="0"/>
        <w:ind w:left="708"/>
        <w:jc w:val="left"/>
        <w:rPr>
          <w:i/>
          <w:iCs/>
          <w:color w:val="000000"/>
          <w:lang w:val="en-US" w:eastAsia="sv-SE"/>
        </w:rPr>
      </w:pPr>
      <w:r w:rsidRPr="00B5081D">
        <w:rPr>
          <w:i/>
          <w:iCs/>
          <w:color w:val="000000"/>
          <w:lang w:val="en-US" w:eastAsia="sv-SE"/>
        </w:rPr>
        <w:t xml:space="preserve">As a further example, commercial mobile networks tend to have battery back-up, but not generators. Base stations are often located in remote areas where the generators would be likely to be pilfered. Thus, commercial networks are likely to be off the air if power is disrupted for more than a few hours. This might be acceptable for commercial networks, but certainly not for PPDR networks. </w:t>
      </w:r>
    </w:p>
    <w:p w:rsidR="00472DC4" w:rsidRPr="00B5081D" w:rsidRDefault="00472DC4" w:rsidP="00B5081D">
      <w:pPr>
        <w:autoSpaceDE w:val="0"/>
        <w:autoSpaceDN w:val="0"/>
        <w:adjustRightInd w:val="0"/>
        <w:spacing w:after="0"/>
        <w:ind w:left="708"/>
        <w:jc w:val="left"/>
        <w:rPr>
          <w:i/>
          <w:iCs/>
          <w:color w:val="000000"/>
          <w:lang w:val="en-US" w:eastAsia="sv-SE"/>
        </w:rPr>
      </w:pPr>
    </w:p>
    <w:p w:rsidR="00472DC4" w:rsidRPr="00B5081D" w:rsidRDefault="00472DC4" w:rsidP="00B5081D">
      <w:pPr>
        <w:autoSpaceDE w:val="0"/>
        <w:autoSpaceDN w:val="0"/>
        <w:adjustRightInd w:val="0"/>
        <w:spacing w:after="0"/>
        <w:ind w:left="708"/>
        <w:jc w:val="left"/>
        <w:rPr>
          <w:i/>
          <w:iCs/>
          <w:color w:val="000000"/>
          <w:lang w:val="en-US" w:eastAsia="sv-SE"/>
        </w:rPr>
      </w:pPr>
      <w:r w:rsidRPr="00B5081D">
        <w:rPr>
          <w:i/>
          <w:iCs/>
          <w:color w:val="000000"/>
          <w:lang w:val="en-US" w:eastAsia="sv-SE"/>
        </w:rPr>
        <w:t>PPDR forces will continue to attempt to use commercial networks when they can, or when PPDR communications are unavailable for whatever reason. This is all well and good, inasmuch as it reduces demand for PPDR-specific communications; however, it is unlikely to represent a comprehensive substitute for a dedicated, highly robust PPDR network. “</w:t>
      </w:r>
    </w:p>
    <w:p w:rsidR="00472DC4" w:rsidRPr="00B5081D" w:rsidRDefault="00472DC4" w:rsidP="00B5081D">
      <w:pPr>
        <w:autoSpaceDE w:val="0"/>
        <w:autoSpaceDN w:val="0"/>
        <w:adjustRightInd w:val="0"/>
        <w:spacing w:after="0"/>
        <w:ind w:left="708"/>
        <w:jc w:val="left"/>
        <w:rPr>
          <w:i/>
          <w:iCs/>
          <w:color w:val="000000"/>
          <w:lang w:val="en-US" w:eastAsia="sv-SE"/>
        </w:rPr>
      </w:pPr>
    </w:p>
    <w:p w:rsidR="00472DC4" w:rsidRPr="00B5081D" w:rsidRDefault="00472DC4" w:rsidP="00B5081D">
      <w:pPr>
        <w:spacing w:after="0"/>
        <w:jc w:val="left"/>
        <w:rPr>
          <w:lang w:val="en-GB"/>
        </w:rPr>
      </w:pPr>
    </w:p>
    <w:p w:rsidR="00472DC4" w:rsidRPr="00B5081D" w:rsidRDefault="00472DC4" w:rsidP="00B5081D">
      <w:pPr>
        <w:tabs>
          <w:tab w:val="num" w:pos="993"/>
          <w:tab w:val="num" w:pos="1418"/>
        </w:tabs>
        <w:spacing w:after="0" w:line="300" w:lineRule="exact"/>
        <w:ind w:right="828"/>
        <w:jc w:val="left"/>
        <w:rPr>
          <w:lang w:val="en-GB"/>
        </w:rPr>
      </w:pPr>
      <w:r w:rsidRPr="00B5081D">
        <w:rPr>
          <w:lang w:val="en-GB"/>
        </w:rPr>
        <w:t xml:space="preserve">In many cases the qualifying and diversifying requirements (security, availability/ reliability and Quality of Service) of the infrastructure serving the government's critical needs is a political issue and the relevant public safety contracts include legal obligations – even clauses that fully control the ownership of the operating company in case of a non-governmental operator.  </w:t>
      </w:r>
    </w:p>
    <w:p w:rsidR="00472DC4" w:rsidRPr="00B5081D" w:rsidRDefault="00472DC4" w:rsidP="00B5081D">
      <w:pPr>
        <w:tabs>
          <w:tab w:val="num" w:pos="993"/>
          <w:tab w:val="num" w:pos="1418"/>
        </w:tabs>
        <w:spacing w:after="0" w:line="300" w:lineRule="exact"/>
        <w:ind w:right="828"/>
        <w:jc w:val="left"/>
        <w:rPr>
          <w:lang w:val="en-GB"/>
        </w:rPr>
      </w:pPr>
    </w:p>
    <w:p w:rsidR="00472DC4" w:rsidRPr="00B5081D" w:rsidRDefault="00472DC4" w:rsidP="00B5081D">
      <w:pPr>
        <w:spacing w:after="0"/>
        <w:jc w:val="left"/>
        <w:rPr>
          <w:lang w:val="en-GB"/>
        </w:rPr>
      </w:pPr>
      <w:r w:rsidRPr="00B5081D">
        <w:rPr>
          <w:lang w:val="en-GB"/>
        </w:rPr>
        <w:t>Details of network and system requirements for PPDR operators were described in several responses to the CEPT (FM38) PPDR questionnaire in 2009. The ones below are typical examples from those responses. (We note that not all those detail requirements are specifically linked to high speed data services.)</w:t>
      </w:r>
    </w:p>
    <w:p w:rsidR="00472DC4" w:rsidRPr="00B5081D" w:rsidRDefault="00472DC4" w:rsidP="00B5081D">
      <w:pPr>
        <w:tabs>
          <w:tab w:val="num" w:pos="993"/>
          <w:tab w:val="num" w:pos="1418"/>
        </w:tabs>
        <w:spacing w:after="0" w:line="300" w:lineRule="exact"/>
        <w:ind w:right="828"/>
        <w:jc w:val="left"/>
        <w:rPr>
          <w:lang w:val="en-GB"/>
        </w:rPr>
      </w:pPr>
    </w:p>
    <w:p w:rsidR="00472DC4" w:rsidRPr="00B5081D" w:rsidRDefault="00472DC4" w:rsidP="00B5081D">
      <w:pPr>
        <w:tabs>
          <w:tab w:val="num" w:pos="993"/>
          <w:tab w:val="num" w:pos="1418"/>
        </w:tabs>
        <w:spacing w:after="0" w:line="300" w:lineRule="exact"/>
        <w:ind w:right="828"/>
        <w:jc w:val="left"/>
        <w:rPr>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System Availability and Reliability:</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availability of the service 99,999% of time; the concept is the service must always be on, only the degradation of the QoS is accepted;</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backup time of radio sites during power failure</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guaranteed access to radio channels during major incidents and catastrophes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also there might be long term availability rules and obligations in place related to the financial solidity of the operator</w:t>
      </w:r>
    </w:p>
    <w:p w:rsidR="00472DC4" w:rsidRPr="00B5081D" w:rsidRDefault="00472DC4" w:rsidP="00B5081D">
      <w:pPr>
        <w:spacing w:after="0" w:line="300" w:lineRule="exact"/>
        <w:ind w:left="284" w:right="828"/>
        <w:jc w:val="left"/>
        <w:outlineLvl w:val="0"/>
        <w:rPr>
          <w:b/>
          <w:bCs/>
          <w:i/>
          <w:iCs/>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 xml:space="preserve">Security: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user authentication, mutual authentication to avoid fake transmitters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authentication of the network when disabling a radio terminal OTA</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possible separation of fleets by defining fleet specific access rights for incoming and outgoing calls, including total blocking of traffic between some fleets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recording of all traffic e.g. between radio units and command and control centre</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possible recording of even all radio-to-radio traffic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selection of encryption algorithm on the basis of type of agency end-to-end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encryption with certified/approved algorithm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Over-the-air management of end-to-end encryption keys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prevention of monitoring of the user id's and locations at the air interface (traffic analysis) </w:t>
      </w:r>
    </w:p>
    <w:p w:rsidR="00472DC4" w:rsidRPr="00B5081D" w:rsidRDefault="00472DC4" w:rsidP="00B5081D">
      <w:pPr>
        <w:spacing w:after="0" w:line="300" w:lineRule="exact"/>
        <w:ind w:left="284" w:right="828"/>
        <w:jc w:val="left"/>
        <w:outlineLvl w:val="0"/>
        <w:rPr>
          <w:b/>
          <w:bCs/>
          <w:i/>
          <w:iCs/>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Base Station Sites: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Main/Standby Base Stations and Controllers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Standby Power Supplies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Automatic Trunked Operation if bearer circuit fails</w:t>
      </w:r>
    </w:p>
    <w:p w:rsidR="00472DC4" w:rsidRPr="00B5081D" w:rsidRDefault="00472DC4" w:rsidP="00B5081D">
      <w:pPr>
        <w:spacing w:after="0" w:line="300" w:lineRule="exact"/>
        <w:ind w:left="284" w:right="828"/>
        <w:jc w:val="left"/>
        <w:outlineLvl w:val="0"/>
        <w:rPr>
          <w:b/>
          <w:bCs/>
          <w:i/>
          <w:iCs/>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Bearer Circuits: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Route diversity to/from major base station sites and control/switching centres</w:t>
      </w:r>
    </w:p>
    <w:p w:rsidR="00472DC4" w:rsidRPr="00B5081D" w:rsidRDefault="00472DC4" w:rsidP="00B5081D">
      <w:pPr>
        <w:spacing w:after="0" w:line="300" w:lineRule="exact"/>
        <w:ind w:left="284" w:right="828"/>
        <w:jc w:val="left"/>
        <w:outlineLvl w:val="0"/>
        <w:rPr>
          <w:b/>
          <w:bCs/>
          <w:i/>
          <w:iCs/>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Control/Switching Centres: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Fully redundant control and switching centre equipment</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Separate physical locations for main and standby control and switching centre equipment</w:t>
      </w:r>
    </w:p>
    <w:p w:rsidR="00472DC4" w:rsidRPr="00B5081D" w:rsidRDefault="00472DC4" w:rsidP="00B5081D">
      <w:pPr>
        <w:spacing w:after="0" w:line="300" w:lineRule="exact"/>
        <w:ind w:left="284" w:right="828"/>
        <w:jc w:val="left"/>
        <w:outlineLvl w:val="0"/>
        <w:rPr>
          <w:b/>
          <w:bCs/>
          <w:i/>
          <w:iCs/>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Grade of Service (GOS):</w:t>
      </w:r>
    </w:p>
    <w:p w:rsidR="00472DC4" w:rsidRPr="00B5081D" w:rsidRDefault="00472DC4" w:rsidP="00B5081D">
      <w:pPr>
        <w:tabs>
          <w:tab w:val="num" w:pos="993"/>
          <w:tab w:val="num" w:pos="1418"/>
        </w:tabs>
        <w:spacing w:after="0" w:line="300" w:lineRule="exact"/>
        <w:ind w:left="284" w:right="828"/>
        <w:jc w:val="left"/>
        <w:rPr>
          <w:i/>
          <w:iCs/>
          <w:lang w:val="en-GB"/>
        </w:rPr>
      </w:pPr>
      <w:r w:rsidRPr="00B5081D">
        <w:rPr>
          <w:i/>
          <w:iCs/>
          <w:lang w:val="en-GB"/>
        </w:rPr>
        <w:t>Besides provisioning base station sites with sufficient channel capacity during the peek demand (Erlang C traffic theory) to support the anticipated traffic and radio users the network also needs to provide a number of Services and Facilities to optimise the GoS, such as the following examples: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FIFO/Priority Level Call Queuing with Automatic Call Back when System Busy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Area Selection</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Preferred Site Operation</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Different User Priority Levels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Dynamic Call Duration Timers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Recent User priority</w:t>
      </w:r>
    </w:p>
    <w:p w:rsidR="00472DC4" w:rsidRPr="00B5081D" w:rsidRDefault="00472DC4" w:rsidP="00B5081D">
      <w:pPr>
        <w:spacing w:after="0" w:line="300" w:lineRule="exact"/>
        <w:ind w:left="284" w:right="828"/>
        <w:jc w:val="left"/>
        <w:outlineLvl w:val="0"/>
        <w:rPr>
          <w:i/>
          <w:iCs/>
          <w:lang w:val="en-GB"/>
        </w:rPr>
      </w:pPr>
      <w:r w:rsidRPr="00B5081D">
        <w:rPr>
          <w:i/>
          <w:iCs/>
          <w:lang w:val="en-GB"/>
        </w:rPr>
        <w:t xml:space="preserve"> </w:t>
      </w: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 xml:space="preserve">RF Coverage: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Land Mass Area: 95%</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Population: 99%</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Handportable: Urban Areas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Mobile: Urban and Rural Areas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In Building: Specified Establishments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Underground: Selected tunnels and underground areas.</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 xml:space="preserve">Cross Border: 25 km minimum beyond national border </w:t>
      </w:r>
      <w:r w:rsidRPr="00B5081D">
        <w:rPr>
          <w:lang w:val="en-GB"/>
        </w:rPr>
        <w:t xml:space="preserve">(Note: Schengen agreement defines 15 km)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Special: Air-Ground-Air communications</w:t>
      </w:r>
    </w:p>
    <w:p w:rsidR="00472DC4" w:rsidRPr="00B5081D" w:rsidRDefault="00472DC4" w:rsidP="00B5081D">
      <w:pPr>
        <w:spacing w:after="0" w:line="300" w:lineRule="exact"/>
        <w:ind w:left="284" w:right="828"/>
        <w:jc w:val="left"/>
        <w:outlineLvl w:val="0"/>
        <w:rPr>
          <w:b/>
          <w:bCs/>
          <w:i/>
          <w:iCs/>
          <w:lang w:val="en-GB"/>
        </w:rPr>
      </w:pPr>
    </w:p>
    <w:p w:rsidR="00472DC4" w:rsidRPr="00B5081D" w:rsidRDefault="00472DC4" w:rsidP="00B5081D">
      <w:pPr>
        <w:spacing w:after="0" w:line="300" w:lineRule="exact"/>
        <w:ind w:left="284" w:right="828"/>
        <w:jc w:val="left"/>
        <w:outlineLvl w:val="0"/>
        <w:rPr>
          <w:b/>
          <w:bCs/>
          <w:i/>
          <w:iCs/>
          <w:lang w:val="en-GB"/>
        </w:rPr>
      </w:pPr>
      <w:r w:rsidRPr="00B5081D">
        <w:rPr>
          <w:b/>
          <w:bCs/>
          <w:i/>
          <w:iCs/>
          <w:lang w:val="en-GB"/>
        </w:rPr>
        <w:t>DMO :</w:t>
      </w:r>
    </w:p>
    <w:p w:rsidR="00472DC4" w:rsidRPr="00B5081D" w:rsidRDefault="00472DC4" w:rsidP="00B5081D">
      <w:pPr>
        <w:numPr>
          <w:ilvl w:val="0"/>
          <w:numId w:val="16"/>
        </w:numPr>
        <w:tabs>
          <w:tab w:val="num" w:pos="851"/>
        </w:tabs>
        <w:spacing w:after="0" w:line="300" w:lineRule="exact"/>
        <w:ind w:left="851" w:right="828" w:hanging="283"/>
        <w:jc w:val="left"/>
        <w:outlineLvl w:val="0"/>
        <w:rPr>
          <w:i/>
          <w:iCs/>
          <w:lang w:val="en-GB"/>
        </w:rPr>
      </w:pPr>
      <w:r w:rsidRPr="00B5081D">
        <w:rPr>
          <w:i/>
          <w:iCs/>
          <w:lang w:val="en-GB"/>
        </w:rPr>
        <w:t>PPDR community requires the provision of Direct Mode Operation (DMO) in all radio terminals to provide RF coverage in difficult areas, communications in areas where base station RF coverage has been lost and additional capacity at major incidents</w:t>
      </w:r>
    </w:p>
    <w:p w:rsidR="00472DC4" w:rsidRPr="00B5081D" w:rsidRDefault="00472DC4" w:rsidP="00B5081D">
      <w:pPr>
        <w:spacing w:after="0" w:line="300" w:lineRule="exact"/>
        <w:ind w:right="828"/>
        <w:jc w:val="left"/>
        <w:outlineLvl w:val="0"/>
        <w:rPr>
          <w:lang w:val="en-GB"/>
        </w:rPr>
      </w:pPr>
    </w:p>
    <w:p w:rsidR="00472DC4" w:rsidRPr="00B5081D" w:rsidRDefault="00472DC4" w:rsidP="00B5081D">
      <w:pPr>
        <w:spacing w:after="0" w:line="300" w:lineRule="exact"/>
        <w:ind w:right="828"/>
        <w:jc w:val="left"/>
        <w:outlineLvl w:val="0"/>
        <w:rPr>
          <w:lang w:val="en-GB"/>
        </w:rPr>
      </w:pPr>
      <w:r w:rsidRPr="00B5081D">
        <w:rPr>
          <w:lang w:val="en-GB"/>
        </w:rPr>
        <w:t xml:space="preserve">In addition, most PSS networks have a number of fully mobile base station sites that can be quickly transported anywhere within the country to provide additional communications as and when required. </w:t>
      </w:r>
    </w:p>
    <w:p w:rsidR="00472DC4" w:rsidRPr="00B5081D" w:rsidRDefault="00472DC4" w:rsidP="00B5081D">
      <w:pPr>
        <w:spacing w:after="0" w:line="300" w:lineRule="exact"/>
        <w:ind w:right="828"/>
        <w:jc w:val="left"/>
        <w:outlineLvl w:val="0"/>
        <w:rPr>
          <w:lang w:val="en-GB"/>
        </w:rPr>
      </w:pPr>
    </w:p>
    <w:p w:rsidR="00472DC4" w:rsidRPr="00B5081D" w:rsidRDefault="00472DC4" w:rsidP="00B5081D">
      <w:pPr>
        <w:spacing w:after="0"/>
        <w:jc w:val="left"/>
        <w:rPr>
          <w:b/>
          <w:bCs/>
          <w:lang w:val="en-GB" w:eastAsia="sv-SE"/>
        </w:rPr>
      </w:pPr>
      <w:r w:rsidRPr="00B5081D">
        <w:rPr>
          <w:lang w:val="en-US" w:eastAsia="sv-SE"/>
        </w:rPr>
        <w:t>C</w:t>
      </w:r>
      <w:r w:rsidRPr="00B5081D">
        <w:rPr>
          <w:lang w:val="en-GB" w:eastAsia="sv-SE"/>
        </w:rPr>
        <w:t>ommercial mobile communication infrastructures are at their weakest, precisely at those moments when the police and emergency services need full reliable communication the most. In the event of a large-scale incident, commercial networks quickly become over-loaded, as a result of which communication is disrupted or even becomes impossible. It is precisely at such moments that the police and emergency services must be able to communicate in full force.</w:t>
      </w:r>
      <w:r w:rsidRPr="00B5081D">
        <w:rPr>
          <w:b/>
          <w:bCs/>
          <w:lang w:val="en-GB" w:eastAsia="sv-SE"/>
        </w:rPr>
        <w:t xml:space="preserve"> </w:t>
      </w:r>
    </w:p>
    <w:p w:rsidR="00472DC4" w:rsidRPr="00B5081D" w:rsidRDefault="00472DC4" w:rsidP="00B5081D">
      <w:pPr>
        <w:spacing w:after="0"/>
        <w:jc w:val="left"/>
        <w:rPr>
          <w:b/>
          <w:bCs/>
          <w:lang w:val="en-GB" w:eastAsia="sv-SE"/>
        </w:rPr>
      </w:pPr>
    </w:p>
    <w:p w:rsidR="00472DC4" w:rsidRPr="00B5081D" w:rsidRDefault="00472DC4" w:rsidP="00B5081D">
      <w:pPr>
        <w:spacing w:after="0"/>
        <w:jc w:val="left"/>
        <w:rPr>
          <w:lang w:val="en-GB"/>
        </w:rPr>
      </w:pPr>
      <w:r w:rsidRPr="00B5081D">
        <w:rPr>
          <w:lang w:val="en-GB" w:eastAsia="sv-SE"/>
        </w:rPr>
        <w:t xml:space="preserve">In order for a commercial operated network to meet the needs of PPDR, it must be designed and engineered for that purpose from the start and that becomes a very difficult business case for a commercial operator. </w:t>
      </w:r>
    </w:p>
    <w:p w:rsidR="00472DC4" w:rsidRPr="00B5081D" w:rsidRDefault="00472DC4" w:rsidP="00B5081D">
      <w:pPr>
        <w:spacing w:after="0"/>
        <w:jc w:val="left"/>
        <w:rPr>
          <w:lang w:val="en-GB"/>
        </w:rPr>
      </w:pPr>
    </w:p>
    <w:p w:rsidR="00472DC4" w:rsidRPr="00B5081D" w:rsidRDefault="00472DC4" w:rsidP="00B5081D">
      <w:pPr>
        <w:keepNext/>
        <w:spacing w:before="240" w:after="60"/>
        <w:jc w:val="left"/>
        <w:outlineLvl w:val="0"/>
        <w:rPr>
          <w:b/>
          <w:bCs/>
          <w:kern w:val="32"/>
          <w:sz w:val="24"/>
          <w:szCs w:val="24"/>
          <w:lang w:val="en-US" w:eastAsia="sv-SE"/>
        </w:rPr>
      </w:pPr>
      <w:r w:rsidRPr="00B5081D">
        <w:rPr>
          <w:b/>
          <w:bCs/>
          <w:kern w:val="32"/>
          <w:sz w:val="24"/>
          <w:szCs w:val="24"/>
          <w:lang w:val="en-US" w:eastAsia="sv-SE"/>
        </w:rPr>
        <w:t>Benefits of commercial mobile service</w:t>
      </w:r>
    </w:p>
    <w:p w:rsidR="00472DC4" w:rsidRPr="00B5081D" w:rsidRDefault="00472DC4" w:rsidP="00B5081D">
      <w:pPr>
        <w:spacing w:after="0"/>
        <w:jc w:val="left"/>
        <w:rPr>
          <w:b/>
          <w:bCs/>
          <w:lang w:val="en-GB"/>
        </w:rPr>
      </w:pPr>
    </w:p>
    <w:p w:rsidR="00472DC4" w:rsidRPr="00B5081D" w:rsidRDefault="00472DC4" w:rsidP="00B5081D">
      <w:pPr>
        <w:spacing w:after="0"/>
        <w:jc w:val="left"/>
        <w:rPr>
          <w:color w:val="000000"/>
          <w:lang w:val="en-US" w:eastAsia="sv-SE"/>
        </w:rPr>
      </w:pPr>
      <w:r w:rsidRPr="00B5081D">
        <w:rPr>
          <w:color w:val="000000"/>
          <w:lang w:val="en-US" w:eastAsia="sv-SE"/>
        </w:rPr>
        <w:t>We</w:t>
      </w:r>
      <w:r w:rsidRPr="00B5081D">
        <w:rPr>
          <w:color w:val="000000"/>
          <w:lang w:val="en-GB" w:eastAsia="sv-SE"/>
        </w:rPr>
        <w:t xml:space="preserve"> recognise</w:t>
      </w:r>
      <w:r w:rsidRPr="00B5081D">
        <w:rPr>
          <w:color w:val="000000"/>
          <w:lang w:val="en-US" w:eastAsia="sv-SE"/>
        </w:rPr>
        <w:t xml:space="preserve"> that subscription to a commercial mobile service provides some economical benefits and flexibility compared to a dedicated network, assuming that the operational requirements would be met, which unfortunately does not seem to be true for all mission critical services. In any case it is relatively easy to see some benefits from a subscription to a commercial carrier network, such as: </w:t>
      </w:r>
    </w:p>
    <w:p w:rsidR="00472DC4" w:rsidRPr="00B5081D" w:rsidRDefault="00472DC4" w:rsidP="00B5081D">
      <w:pPr>
        <w:spacing w:after="0"/>
        <w:jc w:val="left"/>
        <w:rPr>
          <w:color w:val="000000"/>
          <w:lang w:val="en-US" w:eastAsia="sv-SE"/>
        </w:rPr>
      </w:pPr>
    </w:p>
    <w:p w:rsidR="00472DC4" w:rsidRPr="00B5081D" w:rsidRDefault="00472DC4" w:rsidP="00B5081D">
      <w:pPr>
        <w:numPr>
          <w:ilvl w:val="0"/>
          <w:numId w:val="17"/>
        </w:numPr>
        <w:spacing w:after="0"/>
        <w:ind w:left="714" w:hanging="357"/>
        <w:jc w:val="left"/>
        <w:rPr>
          <w:color w:val="000000"/>
          <w:lang w:val="en-US" w:eastAsia="sv-SE"/>
        </w:rPr>
      </w:pPr>
      <w:r w:rsidRPr="00B5081D">
        <w:rPr>
          <w:color w:val="000000"/>
          <w:lang w:val="en-US" w:eastAsia="sv-SE"/>
        </w:rPr>
        <w:t>The service can be taken into use quickly</w:t>
      </w:r>
    </w:p>
    <w:p w:rsidR="00472DC4" w:rsidRPr="00B5081D" w:rsidRDefault="00472DC4" w:rsidP="00B5081D">
      <w:pPr>
        <w:numPr>
          <w:ilvl w:val="0"/>
          <w:numId w:val="17"/>
        </w:numPr>
        <w:spacing w:after="0"/>
        <w:ind w:left="714" w:hanging="357"/>
        <w:jc w:val="left"/>
        <w:rPr>
          <w:color w:val="000000"/>
          <w:lang w:val="en-US" w:eastAsia="sv-SE"/>
        </w:rPr>
      </w:pPr>
      <w:r w:rsidRPr="00B5081D">
        <w:rPr>
          <w:color w:val="000000"/>
          <w:lang w:val="en-US" w:eastAsia="sv-SE"/>
        </w:rPr>
        <w:t xml:space="preserve">The service can be taken into use without capital investment </w:t>
      </w:r>
    </w:p>
    <w:p w:rsidR="00472DC4" w:rsidRPr="00B5081D" w:rsidRDefault="00472DC4" w:rsidP="00B5081D">
      <w:pPr>
        <w:numPr>
          <w:ilvl w:val="0"/>
          <w:numId w:val="17"/>
        </w:numPr>
        <w:spacing w:after="0"/>
        <w:ind w:left="714" w:hanging="357"/>
        <w:jc w:val="left"/>
        <w:rPr>
          <w:color w:val="000000"/>
          <w:lang w:val="en-US" w:eastAsia="sv-SE"/>
        </w:rPr>
      </w:pPr>
      <w:r w:rsidRPr="00B5081D">
        <w:rPr>
          <w:color w:val="000000"/>
          <w:lang w:val="en-US" w:eastAsia="sv-SE"/>
        </w:rPr>
        <w:t>The service can be taken into use for a limited group of users at lower cost</w:t>
      </w:r>
    </w:p>
    <w:p w:rsidR="00472DC4" w:rsidRPr="00B5081D" w:rsidRDefault="00472DC4" w:rsidP="00B5081D">
      <w:pPr>
        <w:numPr>
          <w:ilvl w:val="0"/>
          <w:numId w:val="17"/>
        </w:numPr>
        <w:spacing w:after="0"/>
        <w:ind w:left="714" w:hanging="357"/>
        <w:jc w:val="left"/>
        <w:rPr>
          <w:color w:val="000000"/>
          <w:lang w:val="en-US" w:eastAsia="sv-SE"/>
        </w:rPr>
      </w:pPr>
      <w:r w:rsidRPr="00B5081D">
        <w:rPr>
          <w:color w:val="000000"/>
          <w:lang w:val="en-US" w:eastAsia="sv-SE"/>
        </w:rPr>
        <w:t>The service can be also cancelled equally easily if user experience is not satisfactory</w:t>
      </w:r>
    </w:p>
    <w:p w:rsidR="00472DC4" w:rsidRPr="00B5081D" w:rsidRDefault="00472DC4" w:rsidP="00B5081D">
      <w:pPr>
        <w:numPr>
          <w:ilvl w:val="0"/>
          <w:numId w:val="17"/>
        </w:numPr>
        <w:spacing w:after="0"/>
        <w:ind w:left="714" w:hanging="357"/>
        <w:jc w:val="left"/>
        <w:rPr>
          <w:color w:val="000000"/>
          <w:lang w:val="en-US" w:eastAsia="sv-SE"/>
        </w:rPr>
      </w:pPr>
      <w:r w:rsidRPr="00B5081D">
        <w:rPr>
          <w:color w:val="000000"/>
          <w:lang w:val="en-US" w:eastAsia="sv-SE"/>
        </w:rPr>
        <w:t>The service could be used for testing new data applications before a dedicated network is available</w:t>
      </w:r>
    </w:p>
    <w:p w:rsidR="00472DC4" w:rsidRPr="00B5081D" w:rsidRDefault="00472DC4" w:rsidP="00B5081D">
      <w:pPr>
        <w:numPr>
          <w:ilvl w:val="0"/>
          <w:numId w:val="17"/>
        </w:numPr>
        <w:spacing w:after="0"/>
        <w:jc w:val="left"/>
        <w:rPr>
          <w:color w:val="000000"/>
          <w:lang w:val="en-US" w:eastAsia="sv-SE"/>
        </w:rPr>
      </w:pPr>
      <w:r w:rsidRPr="00B5081D">
        <w:rPr>
          <w:color w:val="000000"/>
          <w:lang w:val="en-US" w:eastAsia="sv-SE"/>
        </w:rPr>
        <w:t xml:space="preserve">The service can be used as an interim data service before a dedicated network is available (this is actually happening now) </w:t>
      </w:r>
    </w:p>
    <w:p w:rsidR="00472DC4" w:rsidRPr="00B5081D" w:rsidRDefault="00472DC4" w:rsidP="00B5081D">
      <w:pPr>
        <w:numPr>
          <w:ilvl w:val="0"/>
          <w:numId w:val="17"/>
        </w:numPr>
        <w:spacing w:before="120" w:after="0"/>
        <w:ind w:left="714" w:hanging="357"/>
        <w:jc w:val="left"/>
        <w:rPr>
          <w:color w:val="000000"/>
          <w:lang w:val="en-US" w:eastAsia="sv-SE"/>
        </w:rPr>
      </w:pPr>
      <w:r w:rsidRPr="00B5081D">
        <w:rPr>
          <w:color w:val="000000"/>
          <w:lang w:val="en-US" w:eastAsia="sv-SE"/>
        </w:rPr>
        <w:t xml:space="preserve">The service can be also used to deliver non-mission critical data services in combination with the dedicated network on a longer term basis when that is seen beneficial </w:t>
      </w:r>
    </w:p>
    <w:p w:rsidR="00472DC4" w:rsidRPr="00B5081D" w:rsidRDefault="00472DC4" w:rsidP="00B5081D">
      <w:pPr>
        <w:spacing w:after="0"/>
        <w:jc w:val="left"/>
        <w:rPr>
          <w:b/>
          <w:bCs/>
          <w:sz w:val="24"/>
          <w:szCs w:val="24"/>
          <w:lang w:val="en-US" w:eastAsia="sv-SE"/>
        </w:rPr>
      </w:pPr>
    </w:p>
    <w:p w:rsidR="00472DC4" w:rsidRPr="00B5081D" w:rsidRDefault="00472DC4" w:rsidP="00B5081D">
      <w:pPr>
        <w:keepNext/>
        <w:spacing w:before="240" w:after="60"/>
        <w:jc w:val="left"/>
        <w:outlineLvl w:val="0"/>
        <w:rPr>
          <w:b/>
          <w:bCs/>
          <w:kern w:val="32"/>
          <w:sz w:val="24"/>
          <w:szCs w:val="24"/>
          <w:lang w:val="en-US" w:eastAsia="sv-SE"/>
        </w:rPr>
      </w:pPr>
      <w:r w:rsidRPr="00B5081D">
        <w:rPr>
          <w:b/>
          <w:bCs/>
          <w:kern w:val="32"/>
          <w:sz w:val="24"/>
          <w:szCs w:val="24"/>
          <w:lang w:val="en-US" w:eastAsia="sv-SE"/>
        </w:rPr>
        <w:t>Regulatory policy matters</w:t>
      </w:r>
    </w:p>
    <w:p w:rsidR="00472DC4" w:rsidRPr="00B5081D" w:rsidRDefault="00472DC4" w:rsidP="00B5081D">
      <w:pPr>
        <w:spacing w:after="0"/>
        <w:jc w:val="left"/>
        <w:rPr>
          <w:lang w:val="en-US" w:eastAsia="sv-SE"/>
        </w:rPr>
      </w:pPr>
    </w:p>
    <w:p w:rsidR="00472DC4" w:rsidRPr="00B5081D" w:rsidRDefault="00472DC4" w:rsidP="00B5081D">
      <w:pPr>
        <w:spacing w:after="0"/>
        <w:jc w:val="left"/>
        <w:rPr>
          <w:lang w:val="en-US" w:eastAsia="sv-SE"/>
        </w:rPr>
      </w:pPr>
      <w:r w:rsidRPr="00B5081D">
        <w:rPr>
          <w:lang w:val="en-US" w:eastAsia="sv-SE"/>
        </w:rPr>
        <w:t>Radio spectrum is primarily a matter of national decision making. When</w:t>
      </w:r>
      <w:r w:rsidRPr="00B5081D">
        <w:rPr>
          <w:lang w:val="en-GB" w:eastAsia="sv-SE"/>
        </w:rPr>
        <w:t xml:space="preserve"> harmonisation</w:t>
      </w:r>
      <w:r w:rsidRPr="00B5081D">
        <w:rPr>
          <w:lang w:val="en-US" w:eastAsia="sv-SE"/>
        </w:rPr>
        <w:t xml:space="preserve"> of radio spectrum is done by means of ECC Decisions, every member state has the possibility to implement the Decision or not to implement it. The fact that few member states would not see a need for spectrum harmonisation for PPDR would not change the situation in any way. </w:t>
      </w:r>
    </w:p>
    <w:p w:rsidR="00472DC4" w:rsidRPr="00B5081D" w:rsidRDefault="00472DC4" w:rsidP="00B5081D">
      <w:pPr>
        <w:spacing w:after="0"/>
        <w:jc w:val="left"/>
        <w:rPr>
          <w:lang w:val="en-US" w:eastAsia="sv-SE"/>
        </w:rPr>
      </w:pPr>
    </w:p>
    <w:p w:rsidR="00472DC4" w:rsidRPr="00B5081D" w:rsidRDefault="00472DC4" w:rsidP="00B5081D">
      <w:pPr>
        <w:spacing w:after="0"/>
        <w:jc w:val="left"/>
        <w:rPr>
          <w:lang w:val="en-US" w:eastAsia="sv-SE"/>
        </w:rPr>
      </w:pPr>
      <w:r w:rsidRPr="00B5081D">
        <w:rPr>
          <w:lang w:val="en-US" w:eastAsia="sv-SE"/>
        </w:rPr>
        <w:t xml:space="preserve">For example from the input of 18 member states to the CEPT PPDR workshop in March 2010 we know that there is a big number of member states calling for harmonisation of broadband PPDR frequencies. The width of the need is actually shown also in the JHA Council Recommendation from June 2009 that was signed by 27 ministers. </w:t>
      </w:r>
    </w:p>
    <w:p w:rsidR="00472DC4" w:rsidRPr="00B5081D" w:rsidRDefault="00472DC4" w:rsidP="00B5081D">
      <w:pPr>
        <w:spacing w:after="0"/>
        <w:jc w:val="left"/>
        <w:rPr>
          <w:lang w:val="en-US" w:eastAsia="sv-SE"/>
        </w:rPr>
      </w:pPr>
    </w:p>
    <w:p w:rsidR="00472DC4" w:rsidRPr="00B5081D" w:rsidRDefault="00472DC4" w:rsidP="00B5081D">
      <w:pPr>
        <w:spacing w:after="0"/>
        <w:jc w:val="left"/>
        <w:rPr>
          <w:lang w:val="en-US" w:eastAsia="sv-SE"/>
        </w:rPr>
      </w:pPr>
      <w:r w:rsidRPr="00B5081D">
        <w:rPr>
          <w:lang w:val="en-US" w:eastAsia="sv-SE"/>
        </w:rPr>
        <w:t xml:space="preserve">We strongly believe that there is a need for harmonised dedicated frequencies for broadband PPDR and encourage FM49 to continue efforts towards an ECC Decision on broadband PPDR. If there are member states who do not want to implement the decision immediately or perhaps ever, they would have full freedom to decide not to implement that decision. </w:t>
      </w:r>
    </w:p>
    <w:p w:rsidR="00472DC4" w:rsidRPr="00B5081D" w:rsidRDefault="00472DC4" w:rsidP="00B5081D">
      <w:pPr>
        <w:spacing w:after="0"/>
        <w:jc w:val="left"/>
        <w:rPr>
          <w:lang w:val="en-US" w:eastAsia="sv-SE"/>
        </w:rPr>
      </w:pPr>
    </w:p>
    <w:p w:rsidR="00472DC4" w:rsidRPr="00B5081D" w:rsidRDefault="00472DC4" w:rsidP="00B5081D">
      <w:pPr>
        <w:spacing w:after="0"/>
        <w:jc w:val="left"/>
        <w:rPr>
          <w:lang w:val="en-US" w:eastAsia="sv-SE"/>
        </w:rPr>
      </w:pPr>
      <w:r w:rsidRPr="00B5081D">
        <w:rPr>
          <w:lang w:val="en-US" w:eastAsia="sv-SE"/>
        </w:rPr>
        <w:t xml:space="preserve">We also want to point out that in the current ECC working model an impact assessment will most likely be needed and that would by definition cover the cost and benefit analyses of various service provision models. </w:t>
      </w:r>
    </w:p>
    <w:p w:rsidR="00472DC4" w:rsidRPr="00B5081D" w:rsidRDefault="00472DC4" w:rsidP="00B5081D">
      <w:pPr>
        <w:keepNext/>
        <w:spacing w:before="240" w:after="60"/>
        <w:jc w:val="left"/>
        <w:outlineLvl w:val="0"/>
        <w:rPr>
          <w:b/>
          <w:bCs/>
          <w:kern w:val="32"/>
          <w:sz w:val="24"/>
          <w:szCs w:val="24"/>
          <w:lang w:val="en-US" w:eastAsia="sv-SE"/>
        </w:rPr>
      </w:pPr>
    </w:p>
    <w:p w:rsidR="00472DC4" w:rsidRPr="00B5081D" w:rsidRDefault="00472DC4" w:rsidP="00B5081D">
      <w:pPr>
        <w:keepNext/>
        <w:spacing w:before="240" w:after="60"/>
        <w:jc w:val="left"/>
        <w:outlineLvl w:val="0"/>
        <w:rPr>
          <w:b/>
          <w:bCs/>
          <w:kern w:val="32"/>
          <w:sz w:val="24"/>
          <w:szCs w:val="24"/>
          <w:lang w:val="en-US" w:eastAsia="sv-SE"/>
        </w:rPr>
      </w:pPr>
      <w:r w:rsidRPr="00B5081D">
        <w:rPr>
          <w:b/>
          <w:bCs/>
          <w:kern w:val="32"/>
          <w:sz w:val="24"/>
          <w:szCs w:val="24"/>
          <w:lang w:val="en-US" w:eastAsia="sv-SE"/>
        </w:rPr>
        <w:t>The question of country specific differences</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It is true that the local conditions vary between countries in terms of topology, population density etc factors.  We could assume for example that there would be so scarcely populated areas in some countries that investment to a broadband network is not seen economically feasible or would be left for consideration in long term future. Those areas would also be the ones likely not served with commercial LTE networks either for a long time. Even if commercial LTE service were available in specific remote areas, if would not be mission critical grade, and therefore an alternative solution would be needed.</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For the cases where fully nationwide broadband PPDR network coverage is not seen economically feasible, we can offer a truly cost effective solution. The TETRA network coverage would in many cases be there anyway and upgrading the TETRA infrastructure to support TETRA Release 2 TEDS is much more economical than building a broadband network. In that scarcely populated areas the user densities will also be remarkably low and thus one can reach reasonable data rates even with a TEDS network.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Spectrum for that solution has also been sought by the PPDR operators for quite some time.</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p>
    <w:p w:rsidR="00472DC4" w:rsidRPr="00B5081D" w:rsidRDefault="00472DC4" w:rsidP="00B5081D">
      <w:pPr>
        <w:keepNext/>
        <w:spacing w:before="240" w:after="60"/>
        <w:jc w:val="left"/>
        <w:outlineLvl w:val="0"/>
        <w:rPr>
          <w:b/>
          <w:bCs/>
          <w:kern w:val="32"/>
          <w:sz w:val="24"/>
          <w:szCs w:val="24"/>
          <w:lang w:val="en-US" w:eastAsia="sv-SE"/>
        </w:rPr>
      </w:pPr>
      <w:r w:rsidRPr="00B5081D">
        <w:rPr>
          <w:b/>
          <w:bCs/>
          <w:kern w:val="32"/>
          <w:sz w:val="24"/>
          <w:szCs w:val="24"/>
          <w:lang w:val="en-US" w:eastAsia="sv-SE"/>
        </w:rPr>
        <w:t>Conclusions</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The PPDR community widely believes in LTE based technologies, we do not see a need for standards discussion in FM49</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 Every member state has full freedom to implement ECC Decisions or not, the fact that one or two member states do not see a need for an ECC Decision should not stop making one </w:t>
      </w:r>
    </w:p>
    <w:p w:rsidR="00472DC4" w:rsidRPr="00B5081D" w:rsidRDefault="00472DC4" w:rsidP="00B5081D">
      <w:pPr>
        <w:spacing w:after="0"/>
        <w:jc w:val="left"/>
        <w:rPr>
          <w:lang w:val="en-GB"/>
        </w:rPr>
      </w:pPr>
    </w:p>
    <w:p w:rsidR="00472DC4" w:rsidRPr="00B5081D" w:rsidRDefault="00472DC4" w:rsidP="00B5081D">
      <w:pPr>
        <w:spacing w:after="0"/>
        <w:jc w:val="left"/>
        <w:rPr>
          <w:lang w:val="en-GB"/>
        </w:rPr>
      </w:pPr>
      <w:r w:rsidRPr="00B5081D">
        <w:rPr>
          <w:lang w:val="en-GB"/>
        </w:rPr>
        <w:t xml:space="preserve">- The need for dedicated PPDR networks has been concluded to exist in so many study results and official documents that it is very difficult to try to imagine that the need would suddenly disappear </w:t>
      </w:r>
    </w:p>
    <w:p w:rsidR="00472DC4" w:rsidRPr="00B5081D" w:rsidRDefault="00472DC4" w:rsidP="00B5081D">
      <w:pPr>
        <w:spacing w:after="0"/>
        <w:jc w:val="left"/>
        <w:rPr>
          <w:lang w:val="en-GB"/>
        </w:rPr>
      </w:pPr>
    </w:p>
    <w:p w:rsidR="00472DC4" w:rsidRPr="00B5081D" w:rsidRDefault="00472DC4" w:rsidP="00B5081D">
      <w:pPr>
        <w:spacing w:after="0"/>
        <w:jc w:val="left"/>
      </w:pPr>
      <w:r w:rsidRPr="00B5081D">
        <w:rPr>
          <w:lang w:val="en-GB"/>
        </w:rPr>
        <w:t>- We expect also the usage of commercial mobile services by PPDR agencies to be increasing in the near future for non-mission critical applications, especially when no dedicated high speed data PPDR service is available</w:t>
      </w:r>
    </w:p>
    <w:sectPr w:rsidR="00472DC4" w:rsidRPr="00B5081D" w:rsidSect="008F677F">
      <w:footerReference w:type="even" r:id="rId8"/>
      <w:footerReference w:type="default" r:id="rId9"/>
      <w:pgSz w:w="11907" w:h="16840" w:code="9"/>
      <w:pgMar w:top="1134" w:right="1275" w:bottom="1134" w:left="1276"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DC4" w:rsidRDefault="00472DC4">
      <w:r>
        <w:separator/>
      </w:r>
    </w:p>
  </w:endnote>
  <w:endnote w:type="continuationSeparator" w:id="0">
    <w:p w:rsidR="00472DC4" w:rsidRDefault="00472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C4" w:rsidRDefault="00472DC4">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2DC4" w:rsidRDefault="00472D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DC4" w:rsidRDefault="00472DC4">
    <w:pPr>
      <w:framePr w:wrap="around"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7</w:t>
    </w:r>
    <w:r>
      <w:rPr>
        <w:rStyle w:val="PageNumber"/>
        <w:sz w:val="20"/>
        <w:szCs w:val="20"/>
      </w:rPr>
      <w:fldChar w:fldCharType="end"/>
    </w:r>
  </w:p>
  <w:p w:rsidR="00472DC4" w:rsidRDefault="00472D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DC4" w:rsidRDefault="00472DC4">
      <w:r>
        <w:separator/>
      </w:r>
    </w:p>
  </w:footnote>
  <w:footnote w:type="continuationSeparator" w:id="0">
    <w:p w:rsidR="00472DC4" w:rsidRDefault="00472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cs="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cs="Wingdings" w:hint="default"/>
      </w:rPr>
    </w:lvl>
    <w:lvl w:ilvl="3" w:tplc="04070001" w:tentative="1">
      <w:start w:val="1"/>
      <w:numFmt w:val="bullet"/>
      <w:lvlText w:val=""/>
      <w:lvlJc w:val="left"/>
      <w:pPr>
        <w:tabs>
          <w:tab w:val="num" w:pos="4294"/>
        </w:tabs>
        <w:ind w:left="4294" w:hanging="360"/>
      </w:pPr>
      <w:rPr>
        <w:rFonts w:ascii="Symbol" w:hAnsi="Symbol" w:cs="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cs="Wingdings" w:hint="default"/>
      </w:rPr>
    </w:lvl>
    <w:lvl w:ilvl="6" w:tplc="04070001" w:tentative="1">
      <w:start w:val="1"/>
      <w:numFmt w:val="bullet"/>
      <w:lvlText w:val=""/>
      <w:lvlJc w:val="left"/>
      <w:pPr>
        <w:tabs>
          <w:tab w:val="num" w:pos="6454"/>
        </w:tabs>
        <w:ind w:left="6454" w:hanging="360"/>
      </w:pPr>
      <w:rPr>
        <w:rFonts w:ascii="Symbol" w:hAnsi="Symbol" w:cs="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cs="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cs="Symbol"/>
        <w:sz w:val="22"/>
        <w:szCs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cs="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cs="Wingdings" w:hint="default"/>
      </w:rPr>
    </w:lvl>
    <w:lvl w:ilvl="3" w:tplc="04070001" w:tentative="1">
      <w:start w:val="1"/>
      <w:numFmt w:val="bullet"/>
      <w:lvlText w:val=""/>
      <w:lvlJc w:val="left"/>
      <w:pPr>
        <w:tabs>
          <w:tab w:val="num" w:pos="3731"/>
        </w:tabs>
        <w:ind w:left="3731" w:hanging="360"/>
      </w:pPr>
      <w:rPr>
        <w:rFonts w:ascii="Symbol" w:hAnsi="Symbol" w:cs="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cs="Wingdings" w:hint="default"/>
      </w:rPr>
    </w:lvl>
    <w:lvl w:ilvl="6" w:tplc="04070001" w:tentative="1">
      <w:start w:val="1"/>
      <w:numFmt w:val="bullet"/>
      <w:lvlText w:val=""/>
      <w:lvlJc w:val="left"/>
      <w:pPr>
        <w:tabs>
          <w:tab w:val="num" w:pos="5891"/>
        </w:tabs>
        <w:ind w:left="5891" w:hanging="360"/>
      </w:pPr>
      <w:rPr>
        <w:rFonts w:ascii="Symbol" w:hAnsi="Symbol" w:cs="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cs="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94A097F"/>
    <w:multiLevelType w:val="hybridMultilevel"/>
    <w:tmpl w:val="FF82E922"/>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0">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79EF299C"/>
    <w:multiLevelType w:val="hybridMultilevel"/>
    <w:tmpl w:val="1DEC5660"/>
    <w:lvl w:ilvl="0" w:tplc="D1927512">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7F913D92"/>
    <w:multiLevelType w:val="hybridMultilevel"/>
    <w:tmpl w:val="8EE4607C"/>
    <w:lvl w:ilvl="0" w:tplc="50B0FA68">
      <w:start w:val="1"/>
      <w:numFmt w:val="bullet"/>
      <w:lvlText w:val=""/>
      <w:lvlJc w:val="left"/>
      <w:pPr>
        <w:tabs>
          <w:tab w:val="num" w:pos="1440"/>
        </w:tabs>
        <w:ind w:left="144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0"/>
  </w:num>
  <w:num w:numId="3">
    <w:abstractNumId w:val="10"/>
  </w:num>
  <w:num w:numId="4">
    <w:abstractNumId w:val="10"/>
  </w:num>
  <w:num w:numId="5">
    <w:abstractNumId w:val="10"/>
  </w:num>
  <w:num w:numId="6">
    <w:abstractNumId w:val="8"/>
  </w:num>
  <w:num w:numId="7">
    <w:abstractNumId w:val="10"/>
  </w:num>
  <w:num w:numId="8">
    <w:abstractNumId w:val="10"/>
  </w:num>
  <w:num w:numId="9">
    <w:abstractNumId w:val="2"/>
  </w:num>
  <w:num w:numId="10">
    <w:abstractNumId w:val="5"/>
  </w:num>
  <w:num w:numId="11">
    <w:abstractNumId w:val="4"/>
  </w:num>
  <w:num w:numId="12">
    <w:abstractNumId w:val="6"/>
  </w:num>
  <w:num w:numId="13">
    <w:abstractNumId w:val="3"/>
  </w:num>
  <w:num w:numId="14">
    <w:abstractNumId w:val="1"/>
  </w:num>
  <w:num w:numId="15">
    <w:abstractNumId w:val="9"/>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attachedTemplate r:id="rId1"/>
  <w:stylePaneFormatFilter w:val="3F01"/>
  <w:defaultTabStop w:val="567"/>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0EE"/>
    <w:rsid w:val="000233C6"/>
    <w:rsid w:val="00033112"/>
    <w:rsid w:val="000364E2"/>
    <w:rsid w:val="00042E6D"/>
    <w:rsid w:val="000641A7"/>
    <w:rsid w:val="00086867"/>
    <w:rsid w:val="00095D52"/>
    <w:rsid w:val="00097E34"/>
    <w:rsid w:val="000B0905"/>
    <w:rsid w:val="000D0F3C"/>
    <w:rsid w:val="000E346F"/>
    <w:rsid w:val="000F1373"/>
    <w:rsid w:val="00103E2C"/>
    <w:rsid w:val="00106047"/>
    <w:rsid w:val="00113B49"/>
    <w:rsid w:val="00135FE7"/>
    <w:rsid w:val="00161D26"/>
    <w:rsid w:val="00162CBB"/>
    <w:rsid w:val="0016435A"/>
    <w:rsid w:val="001E0E49"/>
    <w:rsid w:val="001F2614"/>
    <w:rsid w:val="00215746"/>
    <w:rsid w:val="00222F7B"/>
    <w:rsid w:val="00254FD9"/>
    <w:rsid w:val="0025691B"/>
    <w:rsid w:val="00260D98"/>
    <w:rsid w:val="0026766F"/>
    <w:rsid w:val="00277BC1"/>
    <w:rsid w:val="0028051D"/>
    <w:rsid w:val="00294331"/>
    <w:rsid w:val="002A02A3"/>
    <w:rsid w:val="002B169D"/>
    <w:rsid w:val="002B47FC"/>
    <w:rsid w:val="002B683F"/>
    <w:rsid w:val="00314E5E"/>
    <w:rsid w:val="00346C62"/>
    <w:rsid w:val="00357A5F"/>
    <w:rsid w:val="0039030E"/>
    <w:rsid w:val="003A57CC"/>
    <w:rsid w:val="003B1654"/>
    <w:rsid w:val="003C2268"/>
    <w:rsid w:val="003C4848"/>
    <w:rsid w:val="003C53D0"/>
    <w:rsid w:val="003D778B"/>
    <w:rsid w:val="003E76E9"/>
    <w:rsid w:val="003F73E2"/>
    <w:rsid w:val="004002F7"/>
    <w:rsid w:val="00430369"/>
    <w:rsid w:val="00431D12"/>
    <w:rsid w:val="004369DC"/>
    <w:rsid w:val="00443C40"/>
    <w:rsid w:val="00457F7A"/>
    <w:rsid w:val="004648A4"/>
    <w:rsid w:val="004662F9"/>
    <w:rsid w:val="00472DC4"/>
    <w:rsid w:val="00486369"/>
    <w:rsid w:val="00493F86"/>
    <w:rsid w:val="004A099D"/>
    <w:rsid w:val="004A47FF"/>
    <w:rsid w:val="004B23D3"/>
    <w:rsid w:val="004F061E"/>
    <w:rsid w:val="004F2824"/>
    <w:rsid w:val="004F2E89"/>
    <w:rsid w:val="005269EA"/>
    <w:rsid w:val="0053015C"/>
    <w:rsid w:val="00533846"/>
    <w:rsid w:val="005348B2"/>
    <w:rsid w:val="005434C4"/>
    <w:rsid w:val="00554550"/>
    <w:rsid w:val="005549FF"/>
    <w:rsid w:val="00562E1E"/>
    <w:rsid w:val="005761BB"/>
    <w:rsid w:val="005F1C1F"/>
    <w:rsid w:val="00616265"/>
    <w:rsid w:val="0063524D"/>
    <w:rsid w:val="006542C3"/>
    <w:rsid w:val="0065588F"/>
    <w:rsid w:val="00664805"/>
    <w:rsid w:val="00684589"/>
    <w:rsid w:val="006845C9"/>
    <w:rsid w:val="006902F9"/>
    <w:rsid w:val="00690B4B"/>
    <w:rsid w:val="0069180A"/>
    <w:rsid w:val="006C4BCC"/>
    <w:rsid w:val="006D1EAC"/>
    <w:rsid w:val="006D7413"/>
    <w:rsid w:val="006E1FA9"/>
    <w:rsid w:val="0070740D"/>
    <w:rsid w:val="007538DB"/>
    <w:rsid w:val="0075560F"/>
    <w:rsid w:val="00782F34"/>
    <w:rsid w:val="007925CA"/>
    <w:rsid w:val="00793843"/>
    <w:rsid w:val="007A1831"/>
    <w:rsid w:val="007A49AD"/>
    <w:rsid w:val="00802521"/>
    <w:rsid w:val="00807AA2"/>
    <w:rsid w:val="00807F54"/>
    <w:rsid w:val="00820168"/>
    <w:rsid w:val="00884205"/>
    <w:rsid w:val="008A37BA"/>
    <w:rsid w:val="008D2718"/>
    <w:rsid w:val="008D763E"/>
    <w:rsid w:val="008F33D5"/>
    <w:rsid w:val="008F5596"/>
    <w:rsid w:val="008F5ECB"/>
    <w:rsid w:val="008F677F"/>
    <w:rsid w:val="009852E6"/>
    <w:rsid w:val="0098621D"/>
    <w:rsid w:val="00997A4D"/>
    <w:rsid w:val="009B3CB6"/>
    <w:rsid w:val="009C2F3B"/>
    <w:rsid w:val="009D242F"/>
    <w:rsid w:val="00A024A8"/>
    <w:rsid w:val="00A477F3"/>
    <w:rsid w:val="00A77E89"/>
    <w:rsid w:val="00A87C8C"/>
    <w:rsid w:val="00A95309"/>
    <w:rsid w:val="00AA26E7"/>
    <w:rsid w:val="00AA3CFD"/>
    <w:rsid w:val="00AA59E8"/>
    <w:rsid w:val="00AC0304"/>
    <w:rsid w:val="00AC345D"/>
    <w:rsid w:val="00AD241F"/>
    <w:rsid w:val="00AE7906"/>
    <w:rsid w:val="00B0161E"/>
    <w:rsid w:val="00B1073A"/>
    <w:rsid w:val="00B1660B"/>
    <w:rsid w:val="00B5081D"/>
    <w:rsid w:val="00B6512A"/>
    <w:rsid w:val="00B70CD3"/>
    <w:rsid w:val="00B90507"/>
    <w:rsid w:val="00BC2918"/>
    <w:rsid w:val="00BE4CC9"/>
    <w:rsid w:val="00BF2999"/>
    <w:rsid w:val="00C154C2"/>
    <w:rsid w:val="00C309B1"/>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34708"/>
    <w:rsid w:val="00D44060"/>
    <w:rsid w:val="00D53B5D"/>
    <w:rsid w:val="00D671A5"/>
    <w:rsid w:val="00DD08BA"/>
    <w:rsid w:val="00DD103C"/>
    <w:rsid w:val="00DE5E01"/>
    <w:rsid w:val="00DF2A80"/>
    <w:rsid w:val="00E232D3"/>
    <w:rsid w:val="00E2796D"/>
    <w:rsid w:val="00E27C6A"/>
    <w:rsid w:val="00E305FF"/>
    <w:rsid w:val="00E40873"/>
    <w:rsid w:val="00E55BB1"/>
    <w:rsid w:val="00E561B8"/>
    <w:rsid w:val="00E577A4"/>
    <w:rsid w:val="00E87AEF"/>
    <w:rsid w:val="00E93323"/>
    <w:rsid w:val="00E95CFE"/>
    <w:rsid w:val="00EE07DC"/>
    <w:rsid w:val="00EE6D93"/>
    <w:rsid w:val="00EF1568"/>
    <w:rsid w:val="00F05B26"/>
    <w:rsid w:val="00F22950"/>
    <w:rsid w:val="00F311FB"/>
    <w:rsid w:val="00F37A73"/>
    <w:rsid w:val="00F43BE8"/>
    <w:rsid w:val="00F53012"/>
    <w:rsid w:val="00FA0F68"/>
    <w:rsid w:val="00FA15BA"/>
    <w:rsid w:val="00FA6EBF"/>
    <w:rsid w:val="00FA7FC5"/>
    <w:rsid w:val="00FD0B6D"/>
    <w:rsid w:val="00FD7E46"/>
    <w:rsid w:val="00FE1DCB"/>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caption" w:uiPriority="35" w:qFormat="1"/>
    <w:lsdException w:name="table of figures" w:unhideWhenUsed="0"/>
    <w:lsdException w:name="footnote reference" w:unhideWhenUsed="0"/>
    <w:lsdException w:name="page number" w:unhideWhenUsed="0"/>
    <w:lsdException w:name="Lis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D5"/>
    <w:pPr>
      <w:spacing w:after="120"/>
      <w:jc w:val="both"/>
    </w:pPr>
    <w:rPr>
      <w:rFonts w:ascii="Arial" w:hAnsi="Arial" w:cs="Arial"/>
      <w:lang w:val="nb-NO"/>
    </w:rPr>
  </w:style>
  <w:style w:type="paragraph" w:styleId="Heading1">
    <w:name w:val="heading 1"/>
    <w:basedOn w:val="Normal"/>
    <w:next w:val="Normal"/>
    <w:link w:val="Heading1Char"/>
    <w:uiPriority w:val="99"/>
    <w:qFormat/>
    <w:rsid w:val="00D004D0"/>
    <w:pPr>
      <w:numPr>
        <w:numId w:val="3"/>
      </w:numPr>
      <w:tabs>
        <w:tab w:val="clear" w:pos="432"/>
        <w:tab w:val="left" w:pos="851"/>
      </w:tabs>
      <w:spacing w:before="360"/>
      <w:ind w:left="851" w:hanging="851"/>
      <w:jc w:val="left"/>
      <w:outlineLvl w:val="0"/>
    </w:pPr>
    <w:rPr>
      <w:b/>
      <w:bCs/>
      <w:sz w:val="28"/>
      <w:szCs w:val="28"/>
      <w:lang w:val="en-GB"/>
    </w:rPr>
  </w:style>
  <w:style w:type="paragraph" w:styleId="Heading2">
    <w:name w:val="heading 2"/>
    <w:basedOn w:val="Heading1"/>
    <w:next w:val="Normal"/>
    <w:link w:val="Heading2Char"/>
    <w:uiPriority w:val="99"/>
    <w:qFormat/>
    <w:rsid w:val="00D004D0"/>
    <w:pPr>
      <w:numPr>
        <w:ilvl w:val="1"/>
      </w:numPr>
      <w:tabs>
        <w:tab w:val="clear" w:pos="576"/>
      </w:tabs>
      <w:spacing w:before="120"/>
      <w:ind w:left="851" w:hanging="851"/>
      <w:outlineLvl w:val="1"/>
    </w:pPr>
    <w:rPr>
      <w:sz w:val="24"/>
      <w:szCs w:val="24"/>
    </w:rPr>
  </w:style>
  <w:style w:type="paragraph" w:styleId="Heading3">
    <w:name w:val="heading 3"/>
    <w:basedOn w:val="Heading2"/>
    <w:next w:val="Normal"/>
    <w:link w:val="Heading3Char"/>
    <w:uiPriority w:val="99"/>
    <w:qFormat/>
    <w:rsid w:val="00D004D0"/>
    <w:pPr>
      <w:numPr>
        <w:ilvl w:val="2"/>
      </w:numPr>
      <w:tabs>
        <w:tab w:val="clear" w:pos="720"/>
      </w:tabs>
      <w:ind w:left="851" w:hanging="851"/>
      <w:outlineLvl w:val="2"/>
    </w:pPr>
    <w:rPr>
      <w:i/>
      <w:iCs/>
      <w:sz w:val="22"/>
      <w:szCs w:val="22"/>
    </w:rPr>
  </w:style>
  <w:style w:type="paragraph" w:styleId="Heading4">
    <w:name w:val="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bCs/>
      <w:sz w:val="20"/>
      <w:szCs w:val="20"/>
    </w:rPr>
  </w:style>
  <w:style w:type="paragraph" w:styleId="Heading6">
    <w:name w:val="heading 6"/>
    <w:basedOn w:val="Normal"/>
    <w:next w:val="Normal"/>
    <w:link w:val="Heading6Char"/>
    <w:uiPriority w:val="99"/>
    <w:qFormat/>
    <w:rsid w:val="00D004D0"/>
    <w:pPr>
      <w:numPr>
        <w:ilvl w:val="5"/>
        <w:numId w:val="3"/>
      </w:numPr>
      <w:outlineLvl w:val="5"/>
    </w:pPr>
    <w:rPr>
      <w:sz w:val="20"/>
      <w:szCs w:val="20"/>
      <w:u w:val="single"/>
    </w:rPr>
  </w:style>
  <w:style w:type="paragraph" w:styleId="Heading7">
    <w:name w:val="heading 7"/>
    <w:basedOn w:val="Normal"/>
    <w:next w:val="Normal"/>
    <w:link w:val="Heading7Char"/>
    <w:uiPriority w:val="99"/>
    <w:qFormat/>
    <w:rsid w:val="00D004D0"/>
    <w:pPr>
      <w:numPr>
        <w:ilvl w:val="6"/>
        <w:numId w:val="3"/>
      </w:numPr>
      <w:outlineLvl w:val="6"/>
    </w:pPr>
    <w:rPr>
      <w:i/>
      <w:iCs/>
      <w:sz w:val="20"/>
      <w:szCs w:val="20"/>
    </w:rPr>
  </w:style>
  <w:style w:type="paragraph" w:styleId="Heading8">
    <w:name w:val="heading 8"/>
    <w:basedOn w:val="Normal"/>
    <w:next w:val="Normal"/>
    <w:link w:val="Heading8Char"/>
    <w:uiPriority w:val="99"/>
    <w:qFormat/>
    <w:rsid w:val="00D004D0"/>
    <w:pPr>
      <w:numPr>
        <w:ilvl w:val="7"/>
        <w:numId w:val="3"/>
      </w:numPr>
      <w:outlineLvl w:val="7"/>
    </w:pPr>
    <w:rPr>
      <w:i/>
      <w:iCs/>
      <w:sz w:val="20"/>
      <w:szCs w:val="20"/>
    </w:rPr>
  </w:style>
  <w:style w:type="paragraph" w:styleId="Heading9">
    <w:name w:val="heading 9"/>
    <w:basedOn w:val="Normal"/>
    <w:next w:val="Normal"/>
    <w:link w:val="Heading9Char"/>
    <w:uiPriority w:val="99"/>
    <w:qFormat/>
    <w:rsid w:val="00D004D0"/>
    <w:pPr>
      <w:numPr>
        <w:ilvl w:val="8"/>
        <w:numId w:val="3"/>
      </w:numPr>
      <w:outlineLvl w:val="8"/>
    </w:pPr>
    <w:rPr>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ED"/>
    <w:rPr>
      <w:rFonts w:asciiTheme="majorHAnsi" w:eastAsiaTheme="majorEastAsia" w:hAnsiTheme="majorHAnsi" w:cstheme="majorBidi"/>
      <w:b/>
      <w:bCs/>
      <w:kern w:val="32"/>
      <w:sz w:val="32"/>
      <w:szCs w:val="32"/>
      <w:lang w:val="nb-NO"/>
    </w:rPr>
  </w:style>
  <w:style w:type="character" w:customStyle="1" w:styleId="Heading2Char">
    <w:name w:val="Heading 2 Char"/>
    <w:basedOn w:val="DefaultParagraphFont"/>
    <w:link w:val="Heading2"/>
    <w:uiPriority w:val="9"/>
    <w:semiHidden/>
    <w:rsid w:val="00C163ED"/>
    <w:rPr>
      <w:rFonts w:asciiTheme="majorHAnsi" w:eastAsiaTheme="majorEastAsia" w:hAnsiTheme="majorHAnsi" w:cstheme="majorBidi"/>
      <w:b/>
      <w:bCs/>
      <w:i/>
      <w:iCs/>
      <w:sz w:val="28"/>
      <w:szCs w:val="28"/>
      <w:lang w:val="nb-NO"/>
    </w:rPr>
  </w:style>
  <w:style w:type="character" w:customStyle="1" w:styleId="Heading3Char">
    <w:name w:val="Heading 3 Char"/>
    <w:basedOn w:val="DefaultParagraphFont"/>
    <w:link w:val="Heading3"/>
    <w:uiPriority w:val="9"/>
    <w:semiHidden/>
    <w:rsid w:val="00C163ED"/>
    <w:rPr>
      <w:rFonts w:asciiTheme="majorHAnsi" w:eastAsiaTheme="majorEastAsia" w:hAnsiTheme="majorHAnsi" w:cstheme="majorBidi"/>
      <w:b/>
      <w:bCs/>
      <w:sz w:val="26"/>
      <w:szCs w:val="26"/>
      <w:lang w:val="nb-NO"/>
    </w:rPr>
  </w:style>
  <w:style w:type="character" w:customStyle="1" w:styleId="Heading4Char">
    <w:name w:val="Heading 4 Char"/>
    <w:basedOn w:val="DefaultParagraphFont"/>
    <w:link w:val="Heading4"/>
    <w:uiPriority w:val="9"/>
    <w:semiHidden/>
    <w:rsid w:val="00C163ED"/>
    <w:rPr>
      <w:rFonts w:asciiTheme="minorHAnsi" w:eastAsiaTheme="minorEastAsia" w:hAnsiTheme="minorHAnsi" w:cstheme="minorBidi"/>
      <w:b/>
      <w:bCs/>
      <w:sz w:val="28"/>
      <w:szCs w:val="28"/>
      <w:lang w:val="nb-NO"/>
    </w:rPr>
  </w:style>
  <w:style w:type="character" w:customStyle="1" w:styleId="Heading5Char">
    <w:name w:val="Heading 5 Char"/>
    <w:basedOn w:val="DefaultParagraphFont"/>
    <w:link w:val="Heading5"/>
    <w:uiPriority w:val="9"/>
    <w:semiHidden/>
    <w:rsid w:val="00C163ED"/>
    <w:rPr>
      <w:rFonts w:asciiTheme="minorHAnsi" w:eastAsiaTheme="minorEastAsia" w:hAnsiTheme="minorHAnsi" w:cstheme="minorBidi"/>
      <w:b/>
      <w:bCs/>
      <w:i/>
      <w:iCs/>
      <w:sz w:val="26"/>
      <w:szCs w:val="26"/>
      <w:lang w:val="nb-NO"/>
    </w:rPr>
  </w:style>
  <w:style w:type="character" w:customStyle="1" w:styleId="Heading6Char">
    <w:name w:val="Heading 6 Char"/>
    <w:basedOn w:val="DefaultParagraphFont"/>
    <w:link w:val="Heading6"/>
    <w:uiPriority w:val="9"/>
    <w:semiHidden/>
    <w:rsid w:val="00C163ED"/>
    <w:rPr>
      <w:rFonts w:asciiTheme="minorHAnsi" w:eastAsiaTheme="minorEastAsia" w:hAnsiTheme="minorHAnsi" w:cstheme="minorBidi"/>
      <w:b/>
      <w:bCs/>
      <w:lang w:val="nb-NO"/>
    </w:rPr>
  </w:style>
  <w:style w:type="character" w:customStyle="1" w:styleId="Heading7Char">
    <w:name w:val="Heading 7 Char"/>
    <w:basedOn w:val="DefaultParagraphFont"/>
    <w:link w:val="Heading7"/>
    <w:uiPriority w:val="9"/>
    <w:semiHidden/>
    <w:rsid w:val="00C163ED"/>
    <w:rPr>
      <w:rFonts w:asciiTheme="minorHAnsi" w:eastAsiaTheme="minorEastAsia" w:hAnsiTheme="minorHAnsi" w:cstheme="minorBidi"/>
      <w:sz w:val="24"/>
      <w:szCs w:val="24"/>
      <w:lang w:val="nb-NO"/>
    </w:rPr>
  </w:style>
  <w:style w:type="character" w:customStyle="1" w:styleId="Heading8Char">
    <w:name w:val="Heading 8 Char"/>
    <w:basedOn w:val="DefaultParagraphFont"/>
    <w:link w:val="Heading8"/>
    <w:uiPriority w:val="9"/>
    <w:semiHidden/>
    <w:rsid w:val="00C163ED"/>
    <w:rPr>
      <w:rFonts w:asciiTheme="minorHAnsi" w:eastAsiaTheme="minorEastAsia" w:hAnsiTheme="minorHAnsi" w:cstheme="minorBidi"/>
      <w:i/>
      <w:iCs/>
      <w:sz w:val="24"/>
      <w:szCs w:val="24"/>
      <w:lang w:val="nb-NO"/>
    </w:rPr>
  </w:style>
  <w:style w:type="character" w:customStyle="1" w:styleId="Heading9Char">
    <w:name w:val="Heading 9 Char"/>
    <w:basedOn w:val="DefaultParagraphFont"/>
    <w:link w:val="Heading9"/>
    <w:uiPriority w:val="9"/>
    <w:semiHidden/>
    <w:rsid w:val="00C163ED"/>
    <w:rPr>
      <w:rFonts w:asciiTheme="majorHAnsi" w:eastAsiaTheme="majorEastAsia" w:hAnsiTheme="majorHAnsi" w:cstheme="majorBidi"/>
      <w:lang w:val="nb-NO"/>
    </w:rPr>
  </w:style>
  <w:style w:type="paragraph" w:styleId="Header">
    <w:name w:val="header"/>
    <w:link w:val="HeaderChar"/>
    <w:uiPriority w:val="99"/>
    <w:rsid w:val="00215746"/>
    <w:pPr>
      <w:tabs>
        <w:tab w:val="center" w:pos="4536"/>
        <w:tab w:val="right" w:pos="9072"/>
      </w:tabs>
    </w:pPr>
    <w:rPr>
      <w:rFonts w:ascii="Arial" w:hAnsi="Arial" w:cs="Arial"/>
      <w:b/>
      <w:bCs/>
      <w:lang w:val="nb-NO"/>
    </w:rPr>
  </w:style>
  <w:style w:type="character" w:customStyle="1" w:styleId="HeaderChar">
    <w:name w:val="Header Char"/>
    <w:basedOn w:val="DefaultParagraphFont"/>
    <w:link w:val="Header"/>
    <w:uiPriority w:val="99"/>
    <w:semiHidden/>
    <w:rsid w:val="00C163ED"/>
    <w:rPr>
      <w:rFonts w:ascii="Arial" w:hAnsi="Arial" w:cs="Arial"/>
      <w:lang w:val="nb-NO"/>
    </w:rPr>
  </w:style>
  <w:style w:type="paragraph" w:styleId="List">
    <w:name w:val="List"/>
    <w:basedOn w:val="Normal"/>
    <w:uiPriority w:val="99"/>
    <w:rsid w:val="00135FE7"/>
    <w:pPr>
      <w:tabs>
        <w:tab w:val="left" w:pos="1418"/>
      </w:tabs>
      <w:ind w:left="1418" w:hanging="567"/>
    </w:pPr>
  </w:style>
  <w:style w:type="character" w:styleId="FootnoteReference">
    <w:name w:val="footnote reference"/>
    <w:basedOn w:val="DefaultParagraphFont"/>
    <w:uiPriority w:val="99"/>
    <w:semiHidden/>
    <w:rPr>
      <w:position w:val="6"/>
      <w:sz w:val="16"/>
      <w:szCs w:val="16"/>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sid w:val="00C163ED"/>
    <w:rPr>
      <w:rFonts w:ascii="Arial" w:hAnsi="Arial" w:cs="Arial"/>
      <w:sz w:val="20"/>
      <w:szCs w:val="20"/>
      <w:lang w:val="nb-NO"/>
    </w:rPr>
  </w:style>
  <w:style w:type="character" w:styleId="PageNumber">
    <w:name w:val="page number"/>
    <w:basedOn w:val="DefaultParagraphFont"/>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163ED"/>
    <w:rPr>
      <w:sz w:val="0"/>
      <w:szCs w:val="0"/>
      <w:lang w:val="nb-NO"/>
    </w:rPr>
  </w:style>
  <w:style w:type="paragraph" w:styleId="TableofFigures">
    <w:name w:val="table of figures"/>
    <w:basedOn w:val="Normal"/>
    <w:next w:val="Normal"/>
    <w:uiPriority w:val="99"/>
    <w:semiHidden/>
    <w:pPr>
      <w:ind w:left="400" w:hanging="400"/>
    </w:pPr>
    <w:rPr>
      <w:sz w:val="20"/>
      <w:szCs w:val="20"/>
      <w:lang w:val="de-DE"/>
    </w:rPr>
  </w:style>
  <w:style w:type="paragraph" w:styleId="Title">
    <w:name w:val="Title"/>
    <w:basedOn w:val="Normal"/>
    <w:link w:val="TitleChar"/>
    <w:uiPriority w:val="99"/>
    <w:qFormat/>
    <w:rsid w:val="00B70CD3"/>
    <w:pPr>
      <w:jc w:val="center"/>
    </w:pPr>
    <w:rPr>
      <w:b/>
      <w:bCs/>
      <w:sz w:val="28"/>
      <w:szCs w:val="28"/>
      <w:lang w:val="de-DE"/>
    </w:rPr>
  </w:style>
  <w:style w:type="character" w:customStyle="1" w:styleId="TitleChar">
    <w:name w:val="Title Char"/>
    <w:basedOn w:val="DefaultParagraphFont"/>
    <w:link w:val="Title"/>
    <w:uiPriority w:val="10"/>
    <w:rsid w:val="00C163ED"/>
    <w:rPr>
      <w:rFonts w:asciiTheme="majorHAnsi" w:eastAsiaTheme="majorEastAsia" w:hAnsiTheme="majorHAnsi" w:cstheme="majorBidi"/>
      <w:b/>
      <w:bCs/>
      <w:kern w:val="28"/>
      <w:sz w:val="32"/>
      <w:szCs w:val="32"/>
      <w:lang w:val="nb-NO"/>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color w:val="0000FF"/>
      <w:u w:val="single"/>
    </w:rPr>
  </w:style>
  <w:style w:type="paragraph" w:customStyle="1" w:styleId="Note">
    <w:name w:val="Note"/>
    <w:basedOn w:val="Normal"/>
    <w:next w:val="Normal"/>
    <w:uiPriority w:val="99"/>
    <w:rsid w:val="00DE5E01"/>
    <w:pPr>
      <w:tabs>
        <w:tab w:val="left" w:pos="851"/>
      </w:tabs>
      <w:ind w:left="851" w:hanging="851"/>
    </w:pPr>
    <w:rPr>
      <w:b/>
      <w:bCs/>
      <w:lang w:val="en-GB"/>
    </w:rPr>
  </w:style>
  <w:style w:type="paragraph" w:customStyle="1" w:styleId="Header1">
    <w:name w:val="Header1"/>
    <w:basedOn w:val="Header"/>
    <w:link w:val="HeaderZchnZchn"/>
    <w:uiPriority w:val="99"/>
    <w:rsid w:val="00493F86"/>
    <w:pPr>
      <w:spacing w:before="60"/>
    </w:pPr>
  </w:style>
  <w:style w:type="character" w:customStyle="1" w:styleId="HeaderZchnZchn">
    <w:name w:val="Header Zchn Zchn"/>
    <w:link w:val="Header1"/>
    <w:uiPriority w:val="99"/>
    <w:rsid w:val="00493F86"/>
    <w:rPr>
      <w:rFonts w:ascii="Arial" w:hAnsi="Arial" w:cs="Arial"/>
      <w:b/>
      <w:bCs/>
      <w:sz w:val="22"/>
      <w:szCs w:val="22"/>
      <w:lang w:val="nb-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FORM01_Input_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FORM01_Input_contribution.dot</Template>
  <TotalTime>0</TotalTime>
  <Pages>7</Pages>
  <Words>2376</Words>
  <Characters>14975</Characters>
  <Application>Microsoft Office Outlook</Application>
  <DocSecurity>0</DocSecurity>
  <Lines>0</Lines>
  <Paragraphs>0</Paragraphs>
  <ScaleCrop>false</ScaleCrop>
  <Company>BNetzA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Dominik Röske</dc:creator>
  <cp:keywords>ECC, CEPT, Template</cp:keywords>
  <dc:description/>
  <cp:lastModifiedBy>Dominik Röske</cp:lastModifiedBy>
  <cp:revision>2</cp:revision>
  <cp:lastPrinted>1999-09-27T14:20:00Z</cp:lastPrinted>
  <dcterms:created xsi:type="dcterms:W3CDTF">2011-11-11T08:36:00Z</dcterms:created>
  <dcterms:modified xsi:type="dcterms:W3CDTF">2011-11-11T08:36:00Z</dcterms:modified>
</cp:coreProperties>
</file>