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8" w:type="dxa"/>
        <w:tblLayout w:type="fixed"/>
        <w:tblLook w:val="0000"/>
      </w:tblPr>
      <w:tblGrid>
        <w:gridCol w:w="8"/>
        <w:gridCol w:w="3500"/>
        <w:gridCol w:w="300"/>
        <w:gridCol w:w="1262"/>
        <w:gridCol w:w="438"/>
        <w:gridCol w:w="360"/>
        <w:gridCol w:w="1840"/>
        <w:gridCol w:w="1900"/>
      </w:tblGrid>
      <w:tr w:rsidR="004017FB" w:rsidRPr="00456ED2" w:rsidTr="00CF613B">
        <w:tc>
          <w:tcPr>
            <w:tcW w:w="5070" w:type="dxa"/>
            <w:gridSpan w:val="4"/>
          </w:tcPr>
          <w:p w:rsidR="004017FB" w:rsidRPr="00456ED2" w:rsidRDefault="004017FB" w:rsidP="00C44DFE">
            <w:pPr>
              <w:jc w:val="both"/>
              <w:rPr>
                <w:rFonts w:ascii="Arial" w:hAnsi="Arial" w:cs="Arial"/>
                <w:b/>
                <w:lang w:val="en-GB" w:eastAsia="de-DE"/>
              </w:rPr>
            </w:pPr>
            <w:r w:rsidRPr="00E93A34">
              <w:rPr>
                <w:b/>
                <w:cap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23pt;height:72.75pt;visibility:visible">
                  <v:imagedata r:id="rId7" o:title=""/>
                </v:shape>
              </w:pict>
            </w:r>
          </w:p>
        </w:tc>
        <w:tc>
          <w:tcPr>
            <w:tcW w:w="2638" w:type="dxa"/>
            <w:gridSpan w:val="3"/>
          </w:tcPr>
          <w:p w:rsidR="004017FB" w:rsidRPr="00456ED2" w:rsidRDefault="004017FB" w:rsidP="00C44DFE">
            <w:pPr>
              <w:jc w:val="both"/>
              <w:rPr>
                <w:rFonts w:ascii="Arial" w:hAnsi="Arial" w:cs="Arial"/>
                <w:b/>
                <w:lang w:val="en-GB" w:eastAsia="de-DE"/>
              </w:rPr>
            </w:pPr>
          </w:p>
          <w:p w:rsidR="004017FB" w:rsidRPr="00456ED2" w:rsidRDefault="004017FB" w:rsidP="00C44DFE">
            <w:pPr>
              <w:jc w:val="both"/>
              <w:rPr>
                <w:rFonts w:ascii="Arial" w:hAnsi="Arial" w:cs="Arial"/>
                <w:b/>
                <w:lang w:val="en-GB" w:eastAsia="de-DE"/>
              </w:rPr>
            </w:pPr>
          </w:p>
          <w:p w:rsidR="004017FB" w:rsidRPr="00456ED2" w:rsidRDefault="004017FB" w:rsidP="00C44DFE">
            <w:pPr>
              <w:jc w:val="both"/>
              <w:rPr>
                <w:rFonts w:ascii="Arial" w:hAnsi="Arial" w:cs="Arial"/>
                <w:b/>
                <w:lang w:val="en-GB" w:eastAsia="de-DE"/>
              </w:rPr>
            </w:pPr>
          </w:p>
          <w:p w:rsidR="004017FB" w:rsidRPr="00456ED2" w:rsidRDefault="004017FB" w:rsidP="00C44DFE">
            <w:pPr>
              <w:jc w:val="both"/>
              <w:rPr>
                <w:rFonts w:ascii="Arial" w:hAnsi="Arial" w:cs="Arial"/>
                <w:b/>
                <w:lang w:val="en-GB" w:eastAsia="de-DE"/>
              </w:rPr>
            </w:pPr>
          </w:p>
        </w:tc>
        <w:tc>
          <w:tcPr>
            <w:tcW w:w="1900" w:type="dxa"/>
          </w:tcPr>
          <w:p w:rsidR="004017FB" w:rsidRPr="00456ED2" w:rsidRDefault="004017FB" w:rsidP="00C44DFE">
            <w:pPr>
              <w:jc w:val="right"/>
              <w:rPr>
                <w:rFonts w:ascii="Arial" w:hAnsi="Arial" w:cs="Arial"/>
                <w:b/>
                <w:lang w:val="en-GB" w:eastAsia="de-DE"/>
              </w:rPr>
            </w:pPr>
            <w:r w:rsidRPr="00456ED2">
              <w:rPr>
                <w:rFonts w:ascii="Arial" w:hAnsi="Arial" w:cs="Arial"/>
                <w:b/>
                <w:sz w:val="22"/>
                <w:lang w:val="en-GB" w:eastAsia="de-DE"/>
              </w:rPr>
              <w:t>FM50(11)</w:t>
            </w:r>
            <w:r>
              <w:rPr>
                <w:rFonts w:ascii="Arial" w:hAnsi="Arial" w:cs="Arial"/>
                <w:b/>
                <w:sz w:val="22"/>
                <w:lang w:val="en-GB" w:eastAsia="de-DE"/>
              </w:rPr>
              <w:t>032</w:t>
            </w:r>
          </w:p>
        </w:tc>
      </w:tr>
      <w:tr w:rsidR="004017FB" w:rsidRPr="00456ED2">
        <w:tc>
          <w:tcPr>
            <w:tcW w:w="9608" w:type="dxa"/>
            <w:gridSpan w:val="8"/>
          </w:tcPr>
          <w:p w:rsidR="004017FB" w:rsidRPr="00456ED2" w:rsidRDefault="004017FB" w:rsidP="00EE3899">
            <w:pPr>
              <w:rPr>
                <w:rFonts w:ascii="Arial" w:hAnsi="Arial" w:cs="Arial"/>
                <w:b/>
                <w:bCs/>
                <w:lang w:val="en-GB"/>
              </w:rPr>
            </w:pPr>
          </w:p>
          <w:p w:rsidR="004017FB" w:rsidRPr="00456ED2" w:rsidRDefault="004017FB" w:rsidP="00EE3899">
            <w:pPr>
              <w:rPr>
                <w:rFonts w:ascii="Arial" w:hAnsi="Arial" w:cs="Arial"/>
                <w:b/>
                <w:bCs/>
                <w:lang w:val="en-GB"/>
              </w:rPr>
            </w:pPr>
            <w:r w:rsidRPr="00456ED2">
              <w:rPr>
                <w:rFonts w:ascii="Arial" w:hAnsi="Arial" w:cs="Arial"/>
                <w:b/>
                <w:bCs/>
                <w:lang w:val="en-GB"/>
              </w:rPr>
              <w:t>2nd Meeting of FM50</w:t>
            </w:r>
          </w:p>
        </w:tc>
      </w:tr>
      <w:tr w:rsidR="004017FB" w:rsidRPr="00456ED2" w:rsidTr="00CF613B">
        <w:trPr>
          <w:trHeight w:val="360"/>
        </w:trPr>
        <w:tc>
          <w:tcPr>
            <w:tcW w:w="5070" w:type="dxa"/>
            <w:gridSpan w:val="4"/>
          </w:tcPr>
          <w:p w:rsidR="004017FB" w:rsidRPr="00456ED2" w:rsidRDefault="004017FB" w:rsidP="00CF613B">
            <w:pPr>
              <w:ind w:right="282"/>
              <w:rPr>
                <w:rFonts w:ascii="Arial" w:hAnsi="Arial" w:cs="Arial"/>
                <w:b/>
                <w:bCs/>
                <w:lang w:val="en-GB"/>
              </w:rPr>
            </w:pPr>
            <w:r w:rsidRPr="00456ED2">
              <w:rPr>
                <w:rFonts w:ascii="Arial" w:hAnsi="Arial" w:cs="Arial"/>
                <w:b/>
                <w:bCs/>
                <w:lang w:val="en-GB"/>
              </w:rPr>
              <w:t xml:space="preserve">20-22 September 2011, </w:t>
            </w:r>
            <w:smartTag w:uri="urn:schemas-microsoft-com:office:smarttags" w:element="place">
              <w:smartTag w:uri="urn:schemas-microsoft-com:office:smarttags" w:element="City">
                <w:r w:rsidRPr="00456ED2">
                  <w:rPr>
                    <w:rFonts w:ascii="Arial" w:hAnsi="Arial" w:cs="Arial"/>
                    <w:b/>
                    <w:bCs/>
                    <w:lang w:val="en-GB"/>
                  </w:rPr>
                  <w:t>Roma</w:t>
                </w:r>
              </w:smartTag>
              <w:r w:rsidRPr="00456ED2">
                <w:rPr>
                  <w:rFonts w:ascii="Arial" w:hAnsi="Arial" w:cs="Arial"/>
                  <w:b/>
                  <w:bCs/>
                  <w:lang w:val="en-GB"/>
                </w:rPr>
                <w:t xml:space="preserve">, </w:t>
              </w:r>
              <w:smartTag w:uri="urn:schemas-microsoft-com:office:smarttags" w:element="country-region">
                <w:r w:rsidRPr="00456ED2">
                  <w:rPr>
                    <w:rFonts w:ascii="Arial" w:hAnsi="Arial" w:cs="Arial"/>
                    <w:b/>
                    <w:bCs/>
                    <w:lang w:val="en-GB"/>
                  </w:rPr>
                  <w:t>Italy</w:t>
                </w:r>
              </w:smartTag>
            </w:smartTag>
          </w:p>
        </w:tc>
        <w:tc>
          <w:tcPr>
            <w:tcW w:w="4538" w:type="dxa"/>
            <w:gridSpan w:val="4"/>
          </w:tcPr>
          <w:p w:rsidR="004017FB" w:rsidRPr="00456ED2" w:rsidRDefault="004017FB" w:rsidP="00C44DFE">
            <w:pPr>
              <w:jc w:val="both"/>
              <w:rPr>
                <w:rFonts w:ascii="Arial" w:hAnsi="Arial" w:cs="Arial"/>
                <w:b/>
                <w:lang w:val="en-GB" w:eastAsia="de-DE"/>
              </w:rPr>
            </w:pPr>
          </w:p>
        </w:tc>
      </w:tr>
      <w:tr w:rsidR="004017FB" w:rsidRPr="00185973" w:rsidTr="00CF613B">
        <w:trPr>
          <w:cantSplit/>
          <w:trHeight w:val="1191"/>
        </w:trPr>
        <w:tc>
          <w:tcPr>
            <w:tcW w:w="9608" w:type="dxa"/>
            <w:gridSpan w:val="8"/>
          </w:tcPr>
          <w:p w:rsidR="004017FB" w:rsidRPr="00456ED2" w:rsidRDefault="004017FB" w:rsidP="00B04672">
            <w:pPr>
              <w:tabs>
                <w:tab w:val="left" w:pos="1582"/>
              </w:tabs>
              <w:outlineLvl w:val="0"/>
              <w:rPr>
                <w:rFonts w:ascii="Arial" w:hAnsi="Arial" w:cs="Arial"/>
                <w:b/>
                <w:lang w:val="en-GB" w:eastAsia="de-DE"/>
              </w:rPr>
            </w:pPr>
            <w:r w:rsidRPr="00456ED2">
              <w:rPr>
                <w:rFonts w:ascii="Arial" w:hAnsi="Arial" w:cs="Arial"/>
                <w:b/>
                <w:lang w:val="en-GB" w:eastAsia="de-DE"/>
              </w:rPr>
              <w:t>Date issued:</w:t>
            </w:r>
            <w:r w:rsidRPr="00456ED2">
              <w:rPr>
                <w:rFonts w:ascii="Arial" w:hAnsi="Arial" w:cs="Arial"/>
                <w:b/>
                <w:lang w:val="en-GB" w:eastAsia="de-DE"/>
              </w:rPr>
              <w:tab/>
            </w:r>
            <w:r>
              <w:rPr>
                <w:rFonts w:ascii="Arial" w:hAnsi="Arial" w:cs="Arial"/>
                <w:b/>
                <w:lang w:val="en-GB" w:eastAsia="de-DE"/>
              </w:rPr>
              <w:t>13</w:t>
            </w:r>
            <w:r w:rsidRPr="00185973">
              <w:rPr>
                <w:rFonts w:ascii="Arial" w:hAnsi="Arial" w:cs="Arial"/>
                <w:b/>
                <w:vertAlign w:val="superscript"/>
                <w:lang w:val="en-GB" w:eastAsia="de-DE"/>
              </w:rPr>
              <w:t>th</w:t>
            </w:r>
            <w:r>
              <w:rPr>
                <w:rFonts w:ascii="Arial" w:hAnsi="Arial" w:cs="Arial"/>
                <w:b/>
                <w:lang w:val="en-GB" w:eastAsia="de-DE"/>
              </w:rPr>
              <w:t xml:space="preserve"> September </w:t>
            </w:r>
            <w:r w:rsidRPr="00456ED2">
              <w:rPr>
                <w:rFonts w:ascii="Arial" w:hAnsi="Arial" w:cs="Arial"/>
                <w:b/>
                <w:lang w:val="en-GB" w:eastAsia="de-DE"/>
              </w:rPr>
              <w:t>2011</w:t>
            </w:r>
          </w:p>
          <w:p w:rsidR="004017FB" w:rsidRPr="00456ED2" w:rsidRDefault="004017FB" w:rsidP="00B04672">
            <w:pPr>
              <w:tabs>
                <w:tab w:val="left" w:pos="1582"/>
              </w:tabs>
              <w:spacing w:before="120"/>
              <w:outlineLvl w:val="0"/>
              <w:rPr>
                <w:rFonts w:ascii="Arial" w:hAnsi="Arial" w:cs="Arial"/>
                <w:b/>
                <w:lang w:val="en-GB" w:eastAsia="de-DE"/>
              </w:rPr>
            </w:pPr>
            <w:r w:rsidRPr="00456ED2">
              <w:rPr>
                <w:rFonts w:ascii="Arial" w:hAnsi="Arial" w:cs="Arial"/>
                <w:b/>
                <w:lang w:val="en-GB" w:eastAsia="de-DE"/>
              </w:rPr>
              <w:t>Source:</w:t>
            </w:r>
            <w:r w:rsidRPr="00456ED2">
              <w:rPr>
                <w:rFonts w:ascii="Arial" w:hAnsi="Arial" w:cs="Arial"/>
                <w:b/>
                <w:lang w:val="en-GB" w:eastAsia="de-DE"/>
              </w:rPr>
              <w:tab/>
              <w:t>UMTS Forum</w:t>
            </w:r>
          </w:p>
          <w:p w:rsidR="004017FB" w:rsidRPr="00456ED2" w:rsidRDefault="004017FB" w:rsidP="00B04672">
            <w:pPr>
              <w:tabs>
                <w:tab w:val="left" w:pos="1571"/>
              </w:tabs>
              <w:spacing w:before="120" w:after="120"/>
              <w:ind w:left="1620" w:hanging="1620"/>
              <w:outlineLvl w:val="0"/>
              <w:rPr>
                <w:rFonts w:ascii="Arial" w:hAnsi="Arial" w:cs="Arial"/>
                <w:b/>
                <w:lang w:val="en-GB" w:eastAsia="de-DE"/>
              </w:rPr>
            </w:pPr>
            <w:r w:rsidRPr="00456ED2">
              <w:rPr>
                <w:rFonts w:ascii="Arial" w:hAnsi="Arial" w:cs="Arial"/>
                <w:b/>
                <w:lang w:val="en-GB" w:eastAsia="de-DE"/>
              </w:rPr>
              <w:t>Subject:</w:t>
            </w:r>
            <w:r w:rsidRPr="00456ED2">
              <w:rPr>
                <w:rFonts w:ascii="Arial" w:hAnsi="Arial" w:cs="Arial"/>
                <w:b/>
                <w:lang w:val="en-GB" w:eastAsia="de-DE"/>
              </w:rPr>
              <w:tab/>
              <w:t>Support for a 40 MHz band plan for UMTS based mobile broadband technologies</w:t>
            </w:r>
          </w:p>
        </w:tc>
      </w:tr>
      <w:tr w:rsidR="004017FB" w:rsidRPr="00456ED2" w:rsidTr="00604D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2"/>
          <w:wBefore w:w="8" w:type="dxa"/>
          <w:wAfter w:w="3740" w:type="dxa"/>
        </w:trPr>
        <w:tc>
          <w:tcPr>
            <w:tcW w:w="3500" w:type="dxa"/>
            <w:tcBorders>
              <w:top w:val="nil"/>
              <w:left w:val="nil"/>
              <w:bottom w:val="nil"/>
            </w:tcBorders>
          </w:tcPr>
          <w:p w:rsidR="004017FB" w:rsidRPr="00456ED2" w:rsidRDefault="004017FB" w:rsidP="00C44DFE">
            <w:pPr>
              <w:tabs>
                <w:tab w:val="left" w:pos="2930"/>
              </w:tabs>
              <w:jc w:val="both"/>
              <w:rPr>
                <w:rFonts w:ascii="Arial" w:hAnsi="Arial" w:cs="Arial"/>
                <w:b/>
                <w:sz w:val="20"/>
                <w:lang w:val="en-GB" w:eastAsia="de-DE"/>
              </w:rPr>
            </w:pPr>
            <w:r w:rsidRPr="00456ED2">
              <w:rPr>
                <w:rFonts w:ascii="Arial" w:hAnsi="Arial" w:cs="Arial"/>
                <w:b/>
                <w:sz w:val="22"/>
                <w:lang w:val="en-GB" w:eastAsia="de-DE"/>
              </w:rPr>
              <w:t>Password protected:</w:t>
            </w:r>
            <w:r w:rsidRPr="00456ED2">
              <w:rPr>
                <w:rFonts w:ascii="Arial" w:hAnsi="Arial" w:cs="Arial"/>
                <w:b/>
                <w:sz w:val="22"/>
                <w:lang w:val="en-GB" w:eastAsia="de-DE"/>
              </w:rPr>
              <w:tab/>
              <w:t>yes</w:t>
            </w:r>
          </w:p>
        </w:tc>
        <w:tc>
          <w:tcPr>
            <w:tcW w:w="300" w:type="dxa"/>
          </w:tcPr>
          <w:p w:rsidR="004017FB" w:rsidRPr="00456ED2" w:rsidRDefault="004017FB" w:rsidP="00C44DFE">
            <w:pPr>
              <w:jc w:val="both"/>
              <w:rPr>
                <w:rFonts w:ascii="Arial" w:hAnsi="Arial" w:cs="Arial"/>
                <w:b/>
                <w:lang w:val="en-GB" w:eastAsia="de-DE"/>
              </w:rPr>
            </w:pPr>
          </w:p>
        </w:tc>
        <w:tc>
          <w:tcPr>
            <w:tcW w:w="1700" w:type="dxa"/>
            <w:gridSpan w:val="2"/>
            <w:tcBorders>
              <w:top w:val="nil"/>
              <w:bottom w:val="nil"/>
            </w:tcBorders>
          </w:tcPr>
          <w:p w:rsidR="004017FB" w:rsidRPr="00456ED2" w:rsidRDefault="004017FB" w:rsidP="00C44DFE">
            <w:pPr>
              <w:tabs>
                <w:tab w:val="left" w:pos="1130"/>
              </w:tabs>
              <w:jc w:val="both"/>
              <w:rPr>
                <w:rFonts w:ascii="Arial" w:hAnsi="Arial" w:cs="Arial"/>
                <w:b/>
                <w:lang w:val="en-GB" w:eastAsia="de-DE"/>
              </w:rPr>
            </w:pPr>
            <w:r w:rsidRPr="00456ED2">
              <w:rPr>
                <w:rFonts w:ascii="Arial" w:hAnsi="Arial" w:cs="Arial"/>
                <w:b/>
                <w:sz w:val="22"/>
                <w:lang w:val="en-GB" w:eastAsia="de-DE"/>
              </w:rPr>
              <w:tab/>
              <w:t>No</w:t>
            </w:r>
          </w:p>
        </w:tc>
        <w:tc>
          <w:tcPr>
            <w:tcW w:w="360" w:type="dxa"/>
          </w:tcPr>
          <w:p w:rsidR="004017FB" w:rsidRPr="00456ED2" w:rsidRDefault="004017FB" w:rsidP="00C44DFE">
            <w:pPr>
              <w:jc w:val="both"/>
              <w:rPr>
                <w:rFonts w:ascii="Arial" w:hAnsi="Arial" w:cs="Arial"/>
                <w:b/>
                <w:lang w:val="en-GB" w:eastAsia="de-DE"/>
              </w:rPr>
            </w:pPr>
            <w:r w:rsidRPr="00456ED2">
              <w:rPr>
                <w:rFonts w:ascii="Arial" w:hAnsi="Arial" w:cs="Arial"/>
                <w:b/>
                <w:sz w:val="22"/>
                <w:lang w:val="en-GB" w:eastAsia="de-DE"/>
              </w:rPr>
              <w:t>x</w:t>
            </w:r>
          </w:p>
        </w:tc>
      </w:tr>
    </w:tbl>
    <w:p w:rsidR="004017FB" w:rsidRPr="00456ED2" w:rsidRDefault="004017FB" w:rsidP="00C44DFE">
      <w:pPr>
        <w:jc w:val="both"/>
        <w:rPr>
          <w:sz w:val="22"/>
          <w:lang w:val="en-GB" w:eastAsia="de-DE"/>
        </w:rPr>
      </w:pPr>
      <w:bookmarkStart w:id="0" w:name="_GoBack"/>
      <w:bookmarkEnd w:id="0"/>
    </w:p>
    <w:p w:rsidR="004017FB" w:rsidRPr="00456ED2" w:rsidRDefault="004017FB" w:rsidP="00C44DFE">
      <w:pPr>
        <w:jc w:val="both"/>
        <w:rPr>
          <w:sz w:val="22"/>
          <w:lang w:val="en-GB" w:eastAsia="de-DE"/>
        </w:rPr>
      </w:pPr>
    </w:p>
    <w:tbl>
      <w:tblPr>
        <w:tblW w:w="96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0"/>
      </w:tblGrid>
      <w:tr w:rsidR="004017FB" w:rsidRPr="00185973">
        <w:tc>
          <w:tcPr>
            <w:tcW w:w="9600" w:type="dxa"/>
          </w:tcPr>
          <w:p w:rsidR="004017FB" w:rsidRPr="00456ED2" w:rsidRDefault="004017FB" w:rsidP="00C44DFE">
            <w:pPr>
              <w:rPr>
                <w:rFonts w:ascii="Arial" w:hAnsi="Arial" w:cs="Arial"/>
                <w:b/>
                <w:sz w:val="20"/>
                <w:szCs w:val="20"/>
                <w:lang w:val="en-GB" w:eastAsia="de-DE"/>
              </w:rPr>
            </w:pPr>
          </w:p>
          <w:p w:rsidR="004017FB" w:rsidRPr="00456ED2" w:rsidRDefault="004017FB" w:rsidP="00C44DFE">
            <w:pPr>
              <w:keepNext/>
              <w:outlineLvl w:val="2"/>
              <w:rPr>
                <w:rFonts w:ascii="Arial" w:hAnsi="Arial" w:cs="Arial"/>
                <w:b/>
                <w:szCs w:val="20"/>
                <w:lang w:val="en-GB" w:eastAsia="de-DE"/>
              </w:rPr>
            </w:pPr>
            <w:r w:rsidRPr="00456ED2">
              <w:rPr>
                <w:rFonts w:ascii="Arial" w:hAnsi="Arial" w:cs="Arial"/>
                <w:b/>
                <w:szCs w:val="20"/>
                <w:lang w:val="en-GB" w:eastAsia="de-DE"/>
              </w:rPr>
              <w:t>Summary</w:t>
            </w:r>
          </w:p>
          <w:p w:rsidR="004017FB" w:rsidRPr="00456ED2" w:rsidRDefault="004017FB">
            <w:pPr>
              <w:spacing w:before="60" w:after="60"/>
              <w:ind w:left="60"/>
              <w:rPr>
                <w:rFonts w:ascii="Arial" w:hAnsi="Arial" w:cs="Arial"/>
                <w:lang w:val="en-GB"/>
              </w:rPr>
            </w:pPr>
            <w:r w:rsidRPr="00456ED2">
              <w:rPr>
                <w:rFonts w:ascii="Arial" w:hAnsi="Arial" w:cs="Arial"/>
                <w:sz w:val="22"/>
                <w:szCs w:val="22"/>
                <w:lang w:val="en-GB"/>
              </w:rPr>
              <w:t>The socio-economical as well as the operational benefits, both at national and at European level, of the use of the L-band to any radiocommunication service will be linked to the level of corresponding usage and penetration. The UMTS Forum believes that the success of mobile broadband services in this band would depend on the emergence of a sizable usage and penetration. Such large scale usage requires the harmonisation and availability of the full 40 MHz for mobile broadband downlink at a pan-European level in order to support necessary additional capacity in combination with carriers operating on paired spectrum in other bands.</w:t>
            </w:r>
          </w:p>
          <w:p w:rsidR="004017FB" w:rsidRPr="00456ED2" w:rsidRDefault="004017FB" w:rsidP="00E72FC8">
            <w:pPr>
              <w:spacing w:before="60" w:after="60"/>
              <w:ind w:left="60"/>
              <w:rPr>
                <w:rFonts w:ascii="Arial" w:hAnsi="Arial" w:cs="Arial"/>
                <w:lang w:val="en-GB"/>
              </w:rPr>
            </w:pPr>
          </w:p>
          <w:p w:rsidR="004017FB" w:rsidRPr="00456ED2" w:rsidRDefault="004017FB" w:rsidP="001F3A55">
            <w:pPr>
              <w:keepNext/>
              <w:spacing w:before="60" w:after="60"/>
              <w:outlineLvl w:val="2"/>
              <w:rPr>
                <w:rFonts w:ascii="Arial" w:hAnsi="Arial" w:cs="Arial"/>
                <w:sz w:val="20"/>
                <w:szCs w:val="20"/>
                <w:lang w:val="en-GB" w:eastAsia="de-DE"/>
              </w:rPr>
            </w:pPr>
          </w:p>
        </w:tc>
      </w:tr>
      <w:tr w:rsidR="004017FB" w:rsidRPr="00185973" w:rsidTr="00EE3899">
        <w:tc>
          <w:tcPr>
            <w:tcW w:w="9600" w:type="dxa"/>
          </w:tcPr>
          <w:p w:rsidR="004017FB" w:rsidRPr="00456ED2" w:rsidRDefault="004017FB" w:rsidP="00EE3899">
            <w:pPr>
              <w:keepNext/>
              <w:outlineLvl w:val="2"/>
              <w:rPr>
                <w:rFonts w:ascii="Arial" w:hAnsi="Arial" w:cs="Arial"/>
                <w:b/>
                <w:szCs w:val="20"/>
                <w:lang w:val="en-GB" w:eastAsia="de-DE"/>
              </w:rPr>
            </w:pPr>
          </w:p>
          <w:p w:rsidR="004017FB" w:rsidRPr="00456ED2" w:rsidRDefault="004017FB" w:rsidP="00EE3899">
            <w:pPr>
              <w:keepNext/>
              <w:outlineLvl w:val="2"/>
              <w:rPr>
                <w:rFonts w:ascii="Arial" w:hAnsi="Arial" w:cs="Arial"/>
                <w:b/>
                <w:szCs w:val="20"/>
                <w:lang w:val="en-GB" w:eastAsia="de-DE"/>
              </w:rPr>
            </w:pPr>
            <w:r w:rsidRPr="00456ED2">
              <w:rPr>
                <w:rFonts w:ascii="Arial" w:hAnsi="Arial" w:cs="Arial"/>
                <w:b/>
                <w:szCs w:val="20"/>
                <w:lang w:val="en-GB" w:eastAsia="de-DE"/>
              </w:rPr>
              <w:t>Proposal</w:t>
            </w:r>
          </w:p>
          <w:p w:rsidR="004017FB" w:rsidRPr="00456ED2" w:rsidRDefault="004017FB" w:rsidP="00EE3899">
            <w:pPr>
              <w:keepNext/>
              <w:outlineLvl w:val="2"/>
              <w:rPr>
                <w:rFonts w:ascii="Arial" w:hAnsi="Arial" w:cs="Arial"/>
                <w:b/>
                <w:szCs w:val="20"/>
                <w:lang w:val="en-GB" w:eastAsia="de-DE"/>
              </w:rPr>
            </w:pPr>
          </w:p>
          <w:p w:rsidR="004017FB" w:rsidRPr="00456ED2" w:rsidRDefault="004017FB" w:rsidP="00E72FC8">
            <w:pPr>
              <w:spacing w:before="60" w:after="60"/>
              <w:ind w:left="60"/>
              <w:rPr>
                <w:rFonts w:ascii="Arial" w:hAnsi="Arial" w:cs="Arial"/>
                <w:lang w:val="en-GB"/>
              </w:rPr>
            </w:pPr>
            <w:r w:rsidRPr="00456ED2">
              <w:rPr>
                <w:rFonts w:ascii="Arial" w:hAnsi="Arial" w:cs="Arial"/>
                <w:sz w:val="22"/>
                <w:szCs w:val="22"/>
                <w:lang w:val="en-GB"/>
              </w:rPr>
              <w:t xml:space="preserve">The UMTS Forum proposes to develop a harmonised downlink band plan encompassing the whole 40 MHz in order to enable the emergence of an innovative mobile broadband eco-system in the band and to meet the demand for mobile broadband services in </w:t>
            </w:r>
            <w:smartTag w:uri="urn:schemas-microsoft-com:office:smarttags" w:element="place">
              <w:r w:rsidRPr="00456ED2">
                <w:rPr>
                  <w:rFonts w:ascii="Arial" w:hAnsi="Arial" w:cs="Arial"/>
                  <w:sz w:val="22"/>
                  <w:szCs w:val="22"/>
                  <w:lang w:val="en-GB"/>
                </w:rPr>
                <w:t>Europe</w:t>
              </w:r>
            </w:smartTag>
            <w:r w:rsidRPr="00456ED2">
              <w:rPr>
                <w:rFonts w:ascii="Arial" w:hAnsi="Arial" w:cs="Arial"/>
                <w:sz w:val="22"/>
                <w:szCs w:val="22"/>
                <w:lang w:val="en-GB"/>
              </w:rPr>
              <w:t>.</w:t>
            </w:r>
          </w:p>
          <w:p w:rsidR="004017FB" w:rsidRPr="00456ED2" w:rsidRDefault="004017FB" w:rsidP="00EE3899">
            <w:pPr>
              <w:rPr>
                <w:rFonts w:ascii="Arial" w:hAnsi="Arial" w:cs="Arial"/>
                <w:sz w:val="20"/>
                <w:szCs w:val="20"/>
                <w:lang w:val="en-GB" w:eastAsia="de-DE"/>
              </w:rPr>
            </w:pPr>
          </w:p>
          <w:p w:rsidR="004017FB" w:rsidRPr="00456ED2" w:rsidRDefault="004017FB" w:rsidP="00EE3899">
            <w:pPr>
              <w:keepNext/>
              <w:spacing w:line="276" w:lineRule="auto"/>
              <w:outlineLvl w:val="2"/>
              <w:rPr>
                <w:rFonts w:ascii="Arial" w:hAnsi="Arial" w:cs="Arial"/>
                <w:sz w:val="20"/>
                <w:szCs w:val="20"/>
                <w:lang w:val="en-GB" w:eastAsia="de-DE"/>
              </w:rPr>
            </w:pPr>
          </w:p>
        </w:tc>
      </w:tr>
      <w:tr w:rsidR="004017FB" w:rsidRPr="00185973" w:rsidTr="00EE3899">
        <w:tc>
          <w:tcPr>
            <w:tcW w:w="9600" w:type="dxa"/>
          </w:tcPr>
          <w:p w:rsidR="004017FB" w:rsidRPr="00456ED2" w:rsidRDefault="004017FB" w:rsidP="00EE3899">
            <w:pPr>
              <w:rPr>
                <w:rFonts w:ascii="Arial" w:hAnsi="Arial" w:cs="Arial"/>
                <w:sz w:val="20"/>
                <w:szCs w:val="20"/>
                <w:lang w:val="en-GB" w:eastAsia="de-DE"/>
              </w:rPr>
            </w:pPr>
          </w:p>
          <w:p w:rsidR="004017FB" w:rsidRPr="00456ED2" w:rsidRDefault="004017FB" w:rsidP="00EE3899">
            <w:pPr>
              <w:keepNext/>
              <w:outlineLvl w:val="2"/>
              <w:rPr>
                <w:rFonts w:ascii="Arial" w:hAnsi="Arial"/>
                <w:b/>
                <w:szCs w:val="20"/>
                <w:lang w:val="en-GB" w:eastAsia="de-DE"/>
              </w:rPr>
            </w:pPr>
            <w:r w:rsidRPr="00456ED2">
              <w:rPr>
                <w:rFonts w:ascii="Arial" w:hAnsi="Arial"/>
                <w:b/>
                <w:szCs w:val="20"/>
                <w:lang w:val="en-GB" w:eastAsia="de-DE"/>
              </w:rPr>
              <w:t>Background</w:t>
            </w:r>
          </w:p>
          <w:p w:rsidR="004017FB" w:rsidRPr="00456ED2" w:rsidRDefault="004017FB" w:rsidP="00EE3899">
            <w:pPr>
              <w:keepNext/>
              <w:outlineLvl w:val="2"/>
              <w:rPr>
                <w:rFonts w:ascii="Arial" w:hAnsi="Arial"/>
                <w:b/>
                <w:szCs w:val="20"/>
                <w:lang w:val="en-GB" w:eastAsia="de-DE"/>
              </w:rPr>
            </w:pPr>
          </w:p>
          <w:p w:rsidR="004017FB" w:rsidRPr="00456ED2" w:rsidRDefault="004017FB" w:rsidP="00300171">
            <w:pPr>
              <w:spacing w:before="60" w:after="60"/>
              <w:ind w:left="60"/>
              <w:rPr>
                <w:rFonts w:ascii="Arial" w:hAnsi="Arial" w:cs="Arial"/>
                <w:lang w:val="en-GB"/>
              </w:rPr>
            </w:pPr>
            <w:r w:rsidRPr="00456ED2">
              <w:rPr>
                <w:rFonts w:ascii="Arial" w:hAnsi="Arial" w:cs="Arial"/>
                <w:sz w:val="22"/>
                <w:szCs w:val="22"/>
                <w:lang w:val="en-GB"/>
              </w:rPr>
              <w:t>The RSPG stated in its opinion for the WRC-12 that “The Digital Agenda within Europe´s strategy 2020 calls that all EU citizens should have access to broadband at sufficient speed. This cannot be achieved without a significant role being played by wireless broadband networks and their spectrum resources should be able to cope with the expected growth of data traffic. Therefore, Member States should support agenda item(s) for WRC-16 addressing the allocation and/or further harmonisation of spectrum, as appropriate, to meet this need.” The L-band, which has already reached a certain level of harmonization, should be considered in the context of this overall European broadband strategy.</w:t>
            </w:r>
          </w:p>
          <w:p w:rsidR="004017FB" w:rsidRPr="00456ED2" w:rsidRDefault="004017FB" w:rsidP="00300171">
            <w:pPr>
              <w:spacing w:before="60" w:after="60"/>
              <w:ind w:left="60"/>
              <w:rPr>
                <w:rFonts w:ascii="Arial" w:hAnsi="Arial" w:cs="Arial"/>
                <w:lang w:val="en-GB"/>
              </w:rPr>
            </w:pPr>
          </w:p>
          <w:p w:rsidR="004017FB" w:rsidRPr="00456ED2" w:rsidRDefault="004017FB" w:rsidP="00300171">
            <w:pPr>
              <w:spacing w:before="60" w:after="60"/>
              <w:ind w:left="60"/>
              <w:rPr>
                <w:rFonts w:ascii="Arial" w:hAnsi="Arial" w:cs="Arial"/>
                <w:lang w:val="en-GB"/>
              </w:rPr>
            </w:pPr>
            <w:r w:rsidRPr="00456ED2">
              <w:rPr>
                <w:rFonts w:ascii="Arial" w:hAnsi="Arial" w:cs="Arial"/>
                <w:sz w:val="22"/>
                <w:szCs w:val="22"/>
                <w:lang w:val="en-GB"/>
              </w:rPr>
              <w:t>The UMTS based technologies HSPA (release 9 and beyond) and LTE (release 10 and beyond) include the capability of aggregating downlink channel blocks in different bands with an association uplink channel block. Therefore, these 3GPP technologies from the UMTS family could leverage the full 40 MHz of the L-band for downlink in order to contribute to the goals of the Digital Agenda.</w:t>
            </w:r>
          </w:p>
          <w:p w:rsidR="004017FB" w:rsidRPr="00456ED2" w:rsidRDefault="004017FB" w:rsidP="00300171">
            <w:pPr>
              <w:spacing w:before="60" w:after="60"/>
              <w:ind w:left="60"/>
              <w:rPr>
                <w:rFonts w:ascii="Arial" w:hAnsi="Arial" w:cs="Arial"/>
                <w:lang w:val="en-GB"/>
              </w:rPr>
            </w:pPr>
          </w:p>
          <w:p w:rsidR="004017FB" w:rsidRPr="00456ED2" w:rsidRDefault="004017FB" w:rsidP="00300171">
            <w:pPr>
              <w:spacing w:before="60" w:after="60"/>
              <w:ind w:left="60"/>
              <w:rPr>
                <w:rFonts w:ascii="Arial" w:hAnsi="Arial" w:cs="Arial"/>
                <w:lang w:val="en-GB"/>
              </w:rPr>
            </w:pPr>
            <w:r w:rsidRPr="00456ED2">
              <w:rPr>
                <w:rFonts w:ascii="Arial" w:hAnsi="Arial" w:cs="Arial"/>
                <w:sz w:val="22"/>
                <w:szCs w:val="22"/>
                <w:lang w:val="en-GB"/>
              </w:rPr>
              <w:t>In summary, UMTS Forum is of the firm view that the success of radiocommunication services in this band would depend on the emergence of a sizable user penetration, which requires the following three pre-conditions:</w:t>
            </w:r>
          </w:p>
          <w:p w:rsidR="004017FB" w:rsidRPr="00456ED2" w:rsidRDefault="004017FB" w:rsidP="00300171">
            <w:pPr>
              <w:numPr>
                <w:ilvl w:val="0"/>
                <w:numId w:val="14"/>
              </w:numPr>
              <w:spacing w:before="60" w:after="60"/>
              <w:rPr>
                <w:rFonts w:ascii="Arial" w:hAnsi="Arial" w:cs="Arial"/>
                <w:lang w:val="en-GB"/>
              </w:rPr>
            </w:pPr>
            <w:r w:rsidRPr="00456ED2">
              <w:rPr>
                <w:rFonts w:ascii="Arial" w:hAnsi="Arial" w:cs="Arial"/>
                <w:sz w:val="22"/>
                <w:szCs w:val="22"/>
                <w:lang w:val="en-GB"/>
              </w:rPr>
              <w:t>The harmonisation of the full 40MHz band for mobile broadband at pan-European level.</w:t>
            </w:r>
          </w:p>
          <w:p w:rsidR="004017FB" w:rsidRPr="00456ED2" w:rsidRDefault="004017FB">
            <w:pPr>
              <w:numPr>
                <w:ilvl w:val="0"/>
                <w:numId w:val="14"/>
              </w:numPr>
              <w:spacing w:before="60" w:after="60"/>
              <w:rPr>
                <w:rFonts w:ascii="Arial" w:hAnsi="Arial" w:cs="Arial"/>
                <w:lang w:val="en-GB"/>
              </w:rPr>
            </w:pPr>
            <w:r w:rsidRPr="00456ED2">
              <w:rPr>
                <w:rFonts w:ascii="Arial" w:hAnsi="Arial" w:cs="Arial"/>
                <w:sz w:val="22"/>
                <w:szCs w:val="22"/>
                <w:lang w:val="en-GB"/>
              </w:rPr>
              <w:t xml:space="preserve">The availability of the full 40 MHz for mobile broadband technologies in order to provide a significant additional downlink capacity for mobile broadband. </w:t>
            </w:r>
          </w:p>
          <w:p w:rsidR="004017FB" w:rsidRPr="00456ED2" w:rsidRDefault="004017FB">
            <w:pPr>
              <w:numPr>
                <w:ilvl w:val="0"/>
                <w:numId w:val="14"/>
              </w:numPr>
              <w:spacing w:before="60" w:after="60"/>
              <w:rPr>
                <w:rFonts w:ascii="Arial" w:hAnsi="Arial" w:cs="Arial"/>
                <w:lang w:val="en-GB"/>
              </w:rPr>
            </w:pPr>
            <w:r w:rsidRPr="00456ED2">
              <w:rPr>
                <w:rFonts w:ascii="Arial" w:hAnsi="Arial" w:cs="Arial"/>
                <w:sz w:val="22"/>
                <w:szCs w:val="22"/>
                <w:lang w:val="en-GB"/>
              </w:rPr>
              <w:t>A commonly agreed band plan for a harmonised downlink band which will trigger the standardisation work. This is required for the industry to be in the position to subsequently meet user demands in a timely manner.</w:t>
            </w:r>
          </w:p>
          <w:p w:rsidR="004017FB" w:rsidRPr="00456ED2" w:rsidRDefault="004017FB" w:rsidP="00300171">
            <w:pPr>
              <w:spacing w:before="60" w:after="60"/>
              <w:ind w:left="60"/>
              <w:rPr>
                <w:rFonts w:ascii="Arial" w:hAnsi="Arial" w:cs="Arial"/>
                <w:lang w:val="en-GB"/>
              </w:rPr>
            </w:pPr>
          </w:p>
          <w:p w:rsidR="004017FB" w:rsidRPr="00456ED2" w:rsidRDefault="004017FB" w:rsidP="00300171">
            <w:pPr>
              <w:spacing w:before="60" w:after="60"/>
              <w:ind w:left="60"/>
              <w:rPr>
                <w:rFonts w:ascii="Arial" w:hAnsi="Arial" w:cs="Arial"/>
                <w:lang w:val="en-GB"/>
              </w:rPr>
            </w:pPr>
          </w:p>
        </w:tc>
      </w:tr>
    </w:tbl>
    <w:p w:rsidR="004017FB" w:rsidRPr="00456ED2" w:rsidRDefault="004017FB" w:rsidP="00C44DFE">
      <w:pPr>
        <w:jc w:val="both"/>
        <w:rPr>
          <w:sz w:val="22"/>
          <w:lang w:val="en-GB" w:eastAsia="de-DE"/>
        </w:rPr>
      </w:pPr>
    </w:p>
    <w:p w:rsidR="004017FB" w:rsidRPr="00456ED2" w:rsidRDefault="004017FB" w:rsidP="00C44DFE">
      <w:pPr>
        <w:jc w:val="both"/>
        <w:rPr>
          <w:sz w:val="22"/>
          <w:lang w:val="en-GB" w:eastAsia="de-DE"/>
        </w:rPr>
      </w:pPr>
    </w:p>
    <w:p w:rsidR="004017FB" w:rsidRPr="00456ED2" w:rsidRDefault="004017FB" w:rsidP="00C44DFE">
      <w:pPr>
        <w:jc w:val="both"/>
        <w:rPr>
          <w:sz w:val="22"/>
          <w:lang w:val="en-GB" w:eastAsia="de-DE"/>
        </w:rPr>
      </w:pPr>
    </w:p>
    <w:p w:rsidR="004017FB" w:rsidRPr="00456ED2" w:rsidRDefault="004017FB" w:rsidP="00B64FFB">
      <w:pPr>
        <w:spacing w:after="200" w:line="276" w:lineRule="auto"/>
        <w:jc w:val="both"/>
        <w:rPr>
          <w:rFonts w:ascii="Arial" w:hAnsi="Arial"/>
          <w:lang w:val="en-GB"/>
        </w:rPr>
      </w:pPr>
    </w:p>
    <w:sectPr w:rsidR="004017FB" w:rsidRPr="00456ED2" w:rsidSect="00C44DF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7FB" w:rsidRDefault="004017FB" w:rsidP="001F3A55">
      <w:r>
        <w:separator/>
      </w:r>
    </w:p>
  </w:endnote>
  <w:endnote w:type="continuationSeparator" w:id="0">
    <w:p w:rsidR="004017FB" w:rsidRDefault="004017FB" w:rsidP="001F3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7FB" w:rsidRDefault="004017FB" w:rsidP="001F3A55">
      <w:r>
        <w:separator/>
      </w:r>
    </w:p>
  </w:footnote>
  <w:footnote w:type="continuationSeparator" w:id="0">
    <w:p w:rsidR="004017FB" w:rsidRDefault="004017FB" w:rsidP="001F3A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19467C2"/>
    <w:lvl w:ilvl="0">
      <w:numFmt w:val="decimal"/>
      <w:lvlText w:val="*"/>
      <w:lvlJc w:val="left"/>
      <w:rPr>
        <w:rFonts w:cs="Times New Roman"/>
      </w:rPr>
    </w:lvl>
  </w:abstractNum>
  <w:abstractNum w:abstractNumId="1">
    <w:nsid w:val="0B8A51B0"/>
    <w:multiLevelType w:val="hybridMultilevel"/>
    <w:tmpl w:val="282A1570"/>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2">
    <w:nsid w:val="0BEA4F39"/>
    <w:multiLevelType w:val="multilevel"/>
    <w:tmpl w:val="EFB6D65A"/>
    <w:lvl w:ilvl="0">
      <w:start w:val="4"/>
      <w:numFmt w:val="decimal"/>
      <w:lvlText w:val="%1"/>
      <w:lvlJc w:val="left"/>
      <w:pPr>
        <w:tabs>
          <w:tab w:val="num" w:pos="420"/>
        </w:tabs>
        <w:ind w:left="420" w:hanging="420"/>
      </w:pPr>
      <w:rPr>
        <w:rFonts w:cs="Times New Roman"/>
        <w:b/>
        <w:bCs/>
      </w:rPr>
    </w:lvl>
    <w:lvl w:ilvl="1">
      <w:start w:val="13"/>
      <w:numFmt w:val="decimal"/>
      <w:lvlText w:val="%1.%2"/>
      <w:lvlJc w:val="left"/>
      <w:pPr>
        <w:tabs>
          <w:tab w:val="num" w:pos="420"/>
        </w:tabs>
        <w:ind w:left="420" w:hanging="420"/>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3">
    <w:nsid w:val="18995409"/>
    <w:multiLevelType w:val="multilevel"/>
    <w:tmpl w:val="0410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92C6D6D"/>
    <w:multiLevelType w:val="multilevel"/>
    <w:tmpl w:val="D2EE72BE"/>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nsid w:val="201907F0"/>
    <w:multiLevelType w:val="hybridMultilevel"/>
    <w:tmpl w:val="0574A294"/>
    <w:lvl w:ilvl="0" w:tplc="15D617F2">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5B06DCE"/>
    <w:multiLevelType w:val="multilevel"/>
    <w:tmpl w:val="835C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4B1302"/>
    <w:multiLevelType w:val="hybridMultilevel"/>
    <w:tmpl w:val="8EB66762"/>
    <w:lvl w:ilvl="0" w:tplc="73EA536C">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nsid w:val="42DC3598"/>
    <w:multiLevelType w:val="multilevel"/>
    <w:tmpl w:val="74FC82BC"/>
    <w:lvl w:ilvl="0">
      <w:start w:val="4"/>
      <w:numFmt w:val="decimal"/>
      <w:lvlText w:val="%1"/>
      <w:lvlJc w:val="left"/>
      <w:pPr>
        <w:tabs>
          <w:tab w:val="num" w:pos="705"/>
        </w:tabs>
        <w:ind w:left="705" w:hanging="705"/>
      </w:pPr>
      <w:rPr>
        <w:rFonts w:cs="Times New Roman"/>
        <w:b/>
        <w:bCs/>
      </w:rPr>
    </w:lvl>
    <w:lvl w:ilvl="1">
      <w:start w:val="1"/>
      <w:numFmt w:val="decimal"/>
      <w:lvlText w:val="%1.%2"/>
      <w:lvlJc w:val="left"/>
      <w:pPr>
        <w:tabs>
          <w:tab w:val="num" w:pos="705"/>
        </w:tabs>
        <w:ind w:left="705" w:hanging="705"/>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9">
    <w:nsid w:val="4B567335"/>
    <w:multiLevelType w:val="hybridMultilevel"/>
    <w:tmpl w:val="6EBE034C"/>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0">
    <w:nsid w:val="657A4DE7"/>
    <w:multiLevelType w:val="multilevel"/>
    <w:tmpl w:val="0410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6CC104BF"/>
    <w:multiLevelType w:val="multilevel"/>
    <w:tmpl w:val="6A72EFD0"/>
    <w:lvl w:ilvl="0">
      <w:start w:val="1"/>
      <w:numFmt w:val="bullet"/>
      <w:lvlText w:val=""/>
      <w:lvlJc w:val="left"/>
      <w:pPr>
        <w:tabs>
          <w:tab w:val="num" w:pos="1065"/>
        </w:tabs>
        <w:ind w:left="1065" w:hanging="360"/>
      </w:pPr>
      <w:rPr>
        <w:rFonts w:ascii="Symbol" w:hAnsi="Symbol" w:hint="default"/>
      </w:rPr>
    </w:lvl>
    <w:lvl w:ilvl="1">
      <w:start w:val="1"/>
      <w:numFmt w:val="bullet"/>
      <w:lvlText w:val="o"/>
      <w:lvlJc w:val="left"/>
      <w:pPr>
        <w:tabs>
          <w:tab w:val="num" w:pos="1785"/>
        </w:tabs>
        <w:ind w:left="1785" w:hanging="360"/>
      </w:pPr>
      <w:rPr>
        <w:rFonts w:ascii="Courier New" w:hAnsi="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12">
    <w:nsid w:val="759E6FFE"/>
    <w:multiLevelType w:val="hybridMultilevel"/>
    <w:tmpl w:val="103C25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7E8915FE"/>
    <w:multiLevelType w:val="hybridMultilevel"/>
    <w:tmpl w:val="CE7E73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4"/>
  </w:num>
  <w:num w:numId="4">
    <w:abstractNumId w:val="3"/>
  </w:num>
  <w:num w:numId="5">
    <w:abstractNumId w:val="5"/>
  </w:num>
  <w:num w:numId="6">
    <w:abstractNumId w:val="13"/>
  </w:num>
  <w:num w:numId="7">
    <w:abstractNumId w:val="7"/>
  </w:num>
  <w:num w:numId="8">
    <w:abstractNumId w:val="6"/>
  </w:num>
  <w:num w:numId="9">
    <w:abstractNumId w:val="1"/>
  </w:num>
  <w:num w:numId="1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 w:ilvl="0">
        <w:numFmt w:val="bullet"/>
        <w:lvlText w:val=""/>
        <w:legacy w:legacy="1" w:legacySpace="0" w:legacyIndent="360"/>
        <w:lvlJc w:val="left"/>
        <w:pPr>
          <w:ind w:left="360" w:hanging="360"/>
        </w:pPr>
        <w:rPr>
          <w:rFonts w:ascii="Symbol" w:hAnsi="Symbol" w:hint="default"/>
        </w:rPr>
      </w:lvl>
    </w:lvlOverride>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734E"/>
    <w:rsid w:val="00031636"/>
    <w:rsid w:val="00041FAD"/>
    <w:rsid w:val="000F2932"/>
    <w:rsid w:val="0013427B"/>
    <w:rsid w:val="00145EBD"/>
    <w:rsid w:val="00185973"/>
    <w:rsid w:val="001C604F"/>
    <w:rsid w:val="001D6E28"/>
    <w:rsid w:val="001F3A55"/>
    <w:rsid w:val="00213B28"/>
    <w:rsid w:val="0026441B"/>
    <w:rsid w:val="00285F7F"/>
    <w:rsid w:val="002B28D6"/>
    <w:rsid w:val="00300171"/>
    <w:rsid w:val="00306A02"/>
    <w:rsid w:val="00336D21"/>
    <w:rsid w:val="003740AF"/>
    <w:rsid w:val="0037628F"/>
    <w:rsid w:val="0038387F"/>
    <w:rsid w:val="003F7B8C"/>
    <w:rsid w:val="004017FB"/>
    <w:rsid w:val="00456ED2"/>
    <w:rsid w:val="00481ADD"/>
    <w:rsid w:val="004D498B"/>
    <w:rsid w:val="0051454C"/>
    <w:rsid w:val="00530E1D"/>
    <w:rsid w:val="00592EDB"/>
    <w:rsid w:val="005C7409"/>
    <w:rsid w:val="005F3672"/>
    <w:rsid w:val="005F7530"/>
    <w:rsid w:val="00604D5B"/>
    <w:rsid w:val="00617428"/>
    <w:rsid w:val="006A0771"/>
    <w:rsid w:val="006C38E6"/>
    <w:rsid w:val="00735B0C"/>
    <w:rsid w:val="00770899"/>
    <w:rsid w:val="0079732B"/>
    <w:rsid w:val="007C1795"/>
    <w:rsid w:val="007D63B6"/>
    <w:rsid w:val="007E5E95"/>
    <w:rsid w:val="008125B7"/>
    <w:rsid w:val="008153BB"/>
    <w:rsid w:val="00820BFF"/>
    <w:rsid w:val="00844CEC"/>
    <w:rsid w:val="008552FC"/>
    <w:rsid w:val="00886EE0"/>
    <w:rsid w:val="00920B86"/>
    <w:rsid w:val="009713A4"/>
    <w:rsid w:val="009767FD"/>
    <w:rsid w:val="00981DAD"/>
    <w:rsid w:val="00A3734E"/>
    <w:rsid w:val="00AB3DC0"/>
    <w:rsid w:val="00AC620E"/>
    <w:rsid w:val="00B036EB"/>
    <w:rsid w:val="00B04672"/>
    <w:rsid w:val="00B6039D"/>
    <w:rsid w:val="00B64FFB"/>
    <w:rsid w:val="00B80619"/>
    <w:rsid w:val="00B85E85"/>
    <w:rsid w:val="00C44DFE"/>
    <w:rsid w:val="00C55941"/>
    <w:rsid w:val="00CA0259"/>
    <w:rsid w:val="00CC7721"/>
    <w:rsid w:val="00CF613B"/>
    <w:rsid w:val="00D33BCE"/>
    <w:rsid w:val="00D670E7"/>
    <w:rsid w:val="00D92CB2"/>
    <w:rsid w:val="00E04D75"/>
    <w:rsid w:val="00E51D71"/>
    <w:rsid w:val="00E72FC8"/>
    <w:rsid w:val="00E93A34"/>
    <w:rsid w:val="00EB58D7"/>
    <w:rsid w:val="00EE3899"/>
    <w:rsid w:val="00F040EF"/>
    <w:rsid w:val="00F124F8"/>
    <w:rsid w:val="00F35BEF"/>
    <w:rsid w:val="00F63DB7"/>
    <w:rsid w:val="00F67A89"/>
    <w:rsid w:val="00FC654B"/>
    <w:rsid w:val="00FF0110"/>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3B6"/>
    <w:rPr>
      <w:sz w:val="24"/>
      <w:szCs w:val="24"/>
    </w:rPr>
  </w:style>
  <w:style w:type="paragraph" w:styleId="Heading1">
    <w:name w:val="heading 1"/>
    <w:basedOn w:val="Normal"/>
    <w:next w:val="Normal"/>
    <w:link w:val="Heading1Char"/>
    <w:uiPriority w:val="99"/>
    <w:qFormat/>
    <w:rsid w:val="0079732B"/>
    <w:pPr>
      <w:keepNext/>
      <w:spacing w:before="240" w:after="60"/>
      <w:outlineLvl w:val="0"/>
    </w:pPr>
    <w:rPr>
      <w:rFonts w:ascii="Calibri" w:hAnsi="Calibri"/>
      <w:b/>
      <w:bCs/>
      <w:kern w:val="32"/>
      <w:sz w:val="32"/>
      <w:szCs w:val="32"/>
    </w:rPr>
  </w:style>
  <w:style w:type="paragraph" w:styleId="Heading3">
    <w:name w:val="heading 3"/>
    <w:basedOn w:val="Normal"/>
    <w:next w:val="Normal"/>
    <w:link w:val="Heading3Char"/>
    <w:uiPriority w:val="99"/>
    <w:qFormat/>
    <w:rsid w:val="0079732B"/>
    <w:pPr>
      <w:keepNext/>
      <w:spacing w:before="240" w:after="60"/>
      <w:outlineLvl w:val="2"/>
    </w:pPr>
    <w:rPr>
      <w:rFonts w:ascii="Calibri" w:hAnsi="Calibri"/>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732B"/>
    <w:rPr>
      <w:rFonts w:ascii="Calibri" w:hAnsi="Calibri" w:cs="Times New Roman"/>
      <w:b/>
      <w:kern w:val="32"/>
      <w:sz w:val="32"/>
      <w:lang w:val="fr-FR" w:eastAsia="fr-FR"/>
    </w:rPr>
  </w:style>
  <w:style w:type="character" w:customStyle="1" w:styleId="Heading3Char">
    <w:name w:val="Heading 3 Char"/>
    <w:basedOn w:val="DefaultParagraphFont"/>
    <w:link w:val="Heading3"/>
    <w:uiPriority w:val="99"/>
    <w:locked/>
    <w:rsid w:val="0079732B"/>
    <w:rPr>
      <w:rFonts w:ascii="Calibri" w:hAnsi="Calibri" w:cs="Times New Roman"/>
      <w:b/>
      <w:sz w:val="26"/>
      <w:lang w:val="fr-FR" w:eastAsia="fr-FR"/>
    </w:rPr>
  </w:style>
  <w:style w:type="paragraph" w:styleId="BodyText">
    <w:name w:val="Body Text"/>
    <w:aliases w:val="bt,heading3,Body Text - Level 2,Body,b,(Ctrl Shift B),Body Text Char1 Char,Body Text Char1 Char Char,NoticeText-List,Body Text Char Char Char,BT,GS,Heading 1 text,t1,taten_body"/>
    <w:basedOn w:val="Normal"/>
    <w:link w:val="BodyTextChar"/>
    <w:uiPriority w:val="99"/>
    <w:rsid w:val="0079732B"/>
    <w:pPr>
      <w:spacing w:before="120" w:after="120" w:line="288" w:lineRule="auto"/>
    </w:pPr>
    <w:rPr>
      <w:rFonts w:ascii="Arial" w:hAnsi="Arial"/>
      <w:lang w:val="en-GB" w:eastAsia="en-GB"/>
    </w:rPr>
  </w:style>
  <w:style w:type="character" w:customStyle="1" w:styleId="BodyTextChar">
    <w:name w:val="Body Text Char"/>
    <w:aliases w:val="bt Char,heading3 Char,Body Text - Level 2 Char,Body Char,b Char,(Ctrl Shift B) Char,Body Text Char1 Char Char1,Body Text Char1 Char Char Char,NoticeText-List Char,Body Text Char Char Char Char,BT Char,GS Char,Heading 1 text Char,t1 Char"/>
    <w:basedOn w:val="DefaultParagraphFont"/>
    <w:link w:val="BodyText"/>
    <w:uiPriority w:val="99"/>
    <w:locked/>
    <w:rsid w:val="0079732B"/>
    <w:rPr>
      <w:rFonts w:ascii="Arial" w:hAnsi="Arial" w:cs="Times New Roman"/>
      <w:sz w:val="24"/>
      <w:lang w:val="en-GB" w:eastAsia="en-GB"/>
    </w:rPr>
  </w:style>
  <w:style w:type="paragraph" w:customStyle="1" w:styleId="Elencoacolori-Colore11">
    <w:name w:val="Elenco a colori - Colore 11"/>
    <w:basedOn w:val="Normal"/>
    <w:uiPriority w:val="99"/>
    <w:rsid w:val="0079732B"/>
    <w:pPr>
      <w:spacing w:line="276" w:lineRule="auto"/>
      <w:ind w:left="720"/>
      <w:contextualSpacing/>
      <w:jc w:val="both"/>
    </w:pPr>
    <w:rPr>
      <w:rFonts w:ascii="Calibri" w:hAnsi="Calibri"/>
      <w:sz w:val="22"/>
      <w:szCs w:val="22"/>
      <w:lang w:val="en-GB" w:eastAsia="en-US"/>
    </w:rPr>
  </w:style>
  <w:style w:type="paragraph" w:styleId="BalloonText">
    <w:name w:val="Balloon Text"/>
    <w:basedOn w:val="Normal"/>
    <w:link w:val="BalloonTextChar"/>
    <w:uiPriority w:val="99"/>
    <w:rsid w:val="0079732B"/>
    <w:rPr>
      <w:rFonts w:ascii="Tahoma" w:hAnsi="Tahoma"/>
      <w:sz w:val="16"/>
      <w:szCs w:val="16"/>
    </w:rPr>
  </w:style>
  <w:style w:type="character" w:customStyle="1" w:styleId="BalloonTextChar">
    <w:name w:val="Balloon Text Char"/>
    <w:basedOn w:val="DefaultParagraphFont"/>
    <w:link w:val="BalloonText"/>
    <w:uiPriority w:val="99"/>
    <w:locked/>
    <w:rsid w:val="0079732B"/>
    <w:rPr>
      <w:rFonts w:ascii="Tahoma" w:hAnsi="Tahoma" w:cs="Times New Roman"/>
      <w:sz w:val="16"/>
      <w:lang w:val="fr-FR" w:eastAsia="fr-FR"/>
    </w:rPr>
  </w:style>
  <w:style w:type="character" w:styleId="Strong">
    <w:name w:val="Strong"/>
    <w:basedOn w:val="DefaultParagraphFont"/>
    <w:uiPriority w:val="99"/>
    <w:qFormat/>
    <w:rsid w:val="0079732B"/>
    <w:rPr>
      <w:rFonts w:cs="Times New Roman"/>
      <w:b/>
    </w:rPr>
  </w:style>
  <w:style w:type="character" w:styleId="Hyperlink">
    <w:name w:val="Hyperlink"/>
    <w:basedOn w:val="DefaultParagraphFont"/>
    <w:uiPriority w:val="99"/>
    <w:rsid w:val="0079732B"/>
    <w:rPr>
      <w:rFonts w:cs="Times New Roman"/>
      <w:color w:val="0000FF"/>
      <w:u w:val="single"/>
    </w:rPr>
  </w:style>
  <w:style w:type="paragraph" w:styleId="ListParagraph">
    <w:name w:val="List Paragraph"/>
    <w:basedOn w:val="Normal"/>
    <w:uiPriority w:val="99"/>
    <w:qFormat/>
    <w:rsid w:val="00B64FFB"/>
    <w:pPr>
      <w:ind w:left="1304"/>
    </w:pPr>
  </w:style>
  <w:style w:type="table" w:styleId="TableGrid">
    <w:name w:val="Table Grid"/>
    <w:basedOn w:val="TableNormal"/>
    <w:uiPriority w:val="99"/>
    <w:rsid w:val="001F3A55"/>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1F3A55"/>
    <w:pPr>
      <w:spacing w:after="200" w:line="276" w:lineRule="auto"/>
    </w:pPr>
    <w:rPr>
      <w:rFonts w:ascii="Calibri" w:hAnsi="Calibri"/>
      <w:sz w:val="20"/>
      <w:szCs w:val="20"/>
      <w:lang w:val="en-GB" w:eastAsia="en-GB"/>
    </w:rPr>
  </w:style>
  <w:style w:type="character" w:customStyle="1" w:styleId="FootnoteTextChar">
    <w:name w:val="Footnote Text Char"/>
    <w:basedOn w:val="DefaultParagraphFont"/>
    <w:link w:val="FootnoteText"/>
    <w:uiPriority w:val="99"/>
    <w:locked/>
    <w:rsid w:val="001F3A55"/>
    <w:rPr>
      <w:rFonts w:ascii="Calibri" w:hAnsi="Calibri" w:cs="Times New Roman"/>
      <w:lang w:val="en-GB" w:eastAsia="en-GB"/>
    </w:rPr>
  </w:style>
  <w:style w:type="character" w:styleId="FootnoteReference">
    <w:name w:val="footnote reference"/>
    <w:basedOn w:val="DefaultParagraphFont"/>
    <w:uiPriority w:val="99"/>
    <w:rsid w:val="001F3A55"/>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743940086">
      <w:marLeft w:val="0"/>
      <w:marRight w:val="0"/>
      <w:marTop w:val="0"/>
      <w:marBottom w:val="0"/>
      <w:divBdr>
        <w:top w:val="none" w:sz="0" w:space="0" w:color="auto"/>
        <w:left w:val="none" w:sz="0" w:space="0" w:color="auto"/>
        <w:bottom w:val="none" w:sz="0" w:space="0" w:color="auto"/>
        <w:right w:val="none" w:sz="0" w:space="0" w:color="auto"/>
      </w:divBdr>
    </w:div>
    <w:div w:id="17439400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451</Words>
  <Characters>2483</Characters>
  <Application>Microsoft Office Outlook</Application>
  <DocSecurity>0</DocSecurity>
  <Lines>0</Lines>
  <Paragraphs>0</Paragraphs>
  <ScaleCrop>false</ScaleCrop>
  <Company>Qualcomm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Hanns Wolter</dc:creator>
  <cp:keywords/>
  <dc:description/>
  <cp:lastModifiedBy>Deschamps</cp:lastModifiedBy>
  <cp:revision>4</cp:revision>
  <cp:lastPrinted>2011-07-08T12:52:00Z</cp:lastPrinted>
  <dcterms:created xsi:type="dcterms:W3CDTF">2011-09-13T14:23:00Z</dcterms:created>
  <dcterms:modified xsi:type="dcterms:W3CDTF">2011-09-13T14:55:00Z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-360259911</vt:i4>
  </property>
  <property fmtid="{D5CDD505-2E9C-101B-9397-08002B2CF9AE}" pid="3" name="_NewReviewCycle">
    <vt:lpwstr/>
  </property>
  <property fmtid="{D5CDD505-2E9C-101B-9397-08002B2CF9AE}" pid="4" name="_EmailSubject">
    <vt:lpwstr>UMTS Forum contribution to upcoming FM50</vt:lpwstr>
  </property>
  <property fmtid="{D5CDD505-2E9C-101B-9397-08002B2CF9AE}" pid="5" name="_AuthorEmail">
    <vt:lpwstr>glebrun@qualcomm.com</vt:lpwstr>
  </property>
  <property fmtid="{D5CDD505-2E9C-101B-9397-08002B2CF9AE}" pid="6" name="_AuthorEmailDisplayName">
    <vt:lpwstr>Lebrun, Guillaume</vt:lpwstr>
  </property>
  <property fmtid="{D5CDD505-2E9C-101B-9397-08002B2CF9AE}" pid="7" name="_ReviewingToolsShownOnce">
    <vt:lpwstr/>
  </property>
</Properties>
</file>