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1840"/>
        <w:gridCol w:w="1900"/>
      </w:tblGrid>
      <w:tr w:rsidR="00186E42" w:rsidRPr="00D33BCE" w:rsidTr="00CF613B">
        <w:tc>
          <w:tcPr>
            <w:tcW w:w="5070" w:type="dxa"/>
            <w:gridSpan w:val="4"/>
          </w:tcPr>
          <w:p w:rsidR="00186E42" w:rsidRPr="00D33BCE" w:rsidRDefault="00186E42" w:rsidP="00C44DFE">
            <w:pPr>
              <w:jc w:val="both"/>
              <w:rPr>
                <w:rFonts w:ascii="Arial" w:hAnsi="Arial" w:cs="Arial"/>
                <w:b/>
                <w:sz w:val="22"/>
                <w:lang w:val="en-GB" w:eastAsia="de-DE"/>
              </w:rPr>
            </w:pPr>
            <w:r w:rsidRPr="007C4428">
              <w:rPr>
                <w:b/>
                <w:caps/>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6.75pt;height:73.5pt;visibility:visible">
                  <v:imagedata r:id="rId7" o:title=""/>
                </v:shape>
              </w:pict>
            </w:r>
          </w:p>
        </w:tc>
        <w:tc>
          <w:tcPr>
            <w:tcW w:w="2638" w:type="dxa"/>
            <w:gridSpan w:val="3"/>
          </w:tcPr>
          <w:p w:rsidR="00186E42" w:rsidRPr="00D33BCE" w:rsidRDefault="00186E42" w:rsidP="00C44DFE">
            <w:pPr>
              <w:jc w:val="both"/>
              <w:rPr>
                <w:rFonts w:ascii="Arial" w:hAnsi="Arial" w:cs="Arial"/>
                <w:b/>
                <w:sz w:val="22"/>
                <w:lang w:val="en-GB" w:eastAsia="de-DE"/>
              </w:rPr>
            </w:pPr>
          </w:p>
          <w:p w:rsidR="00186E42" w:rsidRPr="00D33BCE" w:rsidRDefault="00186E42" w:rsidP="00C44DFE">
            <w:pPr>
              <w:jc w:val="both"/>
              <w:rPr>
                <w:rFonts w:ascii="Arial" w:hAnsi="Arial" w:cs="Arial"/>
                <w:b/>
                <w:sz w:val="22"/>
                <w:lang w:val="en-GB" w:eastAsia="de-DE"/>
              </w:rPr>
            </w:pPr>
          </w:p>
          <w:p w:rsidR="00186E42" w:rsidRPr="00D33BCE" w:rsidRDefault="00186E42" w:rsidP="00C44DFE">
            <w:pPr>
              <w:jc w:val="both"/>
              <w:rPr>
                <w:rFonts w:ascii="Arial" w:hAnsi="Arial" w:cs="Arial"/>
                <w:b/>
                <w:sz w:val="22"/>
                <w:lang w:val="en-GB" w:eastAsia="de-DE"/>
              </w:rPr>
            </w:pPr>
          </w:p>
          <w:p w:rsidR="00186E42" w:rsidRPr="00D33BCE" w:rsidRDefault="00186E42" w:rsidP="00C44DFE">
            <w:pPr>
              <w:jc w:val="both"/>
              <w:rPr>
                <w:rFonts w:ascii="Arial" w:hAnsi="Arial" w:cs="Arial"/>
                <w:b/>
                <w:sz w:val="22"/>
                <w:lang w:val="en-GB" w:eastAsia="de-DE"/>
              </w:rPr>
            </w:pPr>
          </w:p>
        </w:tc>
        <w:tc>
          <w:tcPr>
            <w:tcW w:w="1900" w:type="dxa"/>
          </w:tcPr>
          <w:p w:rsidR="00186E42" w:rsidRPr="00D33BCE" w:rsidRDefault="00186E42" w:rsidP="00C44DFE">
            <w:pPr>
              <w:jc w:val="right"/>
              <w:rPr>
                <w:rFonts w:ascii="Arial" w:hAnsi="Arial" w:cs="Arial"/>
                <w:b/>
                <w:sz w:val="22"/>
                <w:lang w:val="en-GB" w:eastAsia="de-DE"/>
              </w:rPr>
            </w:pPr>
            <w:r w:rsidRPr="00D33BCE">
              <w:rPr>
                <w:rFonts w:ascii="Arial" w:hAnsi="Arial" w:cs="Arial"/>
                <w:b/>
                <w:sz w:val="22"/>
                <w:lang w:val="en-GB" w:eastAsia="de-DE"/>
              </w:rPr>
              <w:t>FM50(11)</w:t>
            </w:r>
            <w:r>
              <w:rPr>
                <w:rFonts w:ascii="Arial" w:hAnsi="Arial" w:cs="Arial"/>
                <w:b/>
                <w:sz w:val="22"/>
                <w:lang w:val="en-GB" w:eastAsia="de-DE"/>
              </w:rPr>
              <w:t>033</w:t>
            </w:r>
          </w:p>
        </w:tc>
      </w:tr>
      <w:tr w:rsidR="00186E42" w:rsidRPr="00D33BCE">
        <w:tc>
          <w:tcPr>
            <w:tcW w:w="9608" w:type="dxa"/>
            <w:gridSpan w:val="8"/>
          </w:tcPr>
          <w:p w:rsidR="00186E42" w:rsidRDefault="00186E42" w:rsidP="00EE3899">
            <w:pPr>
              <w:rPr>
                <w:rFonts w:ascii="Arial" w:hAnsi="Arial" w:cs="Arial"/>
                <w:b/>
                <w:bCs/>
                <w:lang w:val="fi-FI"/>
              </w:rPr>
            </w:pPr>
          </w:p>
          <w:p w:rsidR="00186E42" w:rsidRPr="00CF613B" w:rsidRDefault="00186E42" w:rsidP="00EE3899">
            <w:pPr>
              <w:rPr>
                <w:rFonts w:ascii="Arial" w:hAnsi="Arial" w:cs="Arial"/>
                <w:b/>
                <w:bCs/>
                <w:lang w:val="fi-FI"/>
              </w:rPr>
            </w:pPr>
            <w:r w:rsidRPr="00CF613B">
              <w:rPr>
                <w:rFonts w:ascii="Arial" w:hAnsi="Arial" w:cs="Arial"/>
                <w:b/>
                <w:bCs/>
                <w:lang w:val="fi-FI"/>
              </w:rPr>
              <w:t>2nd Meeting of FM50</w:t>
            </w:r>
          </w:p>
        </w:tc>
      </w:tr>
      <w:tr w:rsidR="00186E42" w:rsidRPr="00D33BCE" w:rsidTr="00CF613B">
        <w:trPr>
          <w:trHeight w:val="360"/>
        </w:trPr>
        <w:tc>
          <w:tcPr>
            <w:tcW w:w="5070" w:type="dxa"/>
            <w:gridSpan w:val="4"/>
          </w:tcPr>
          <w:p w:rsidR="00186E42" w:rsidRPr="00CF613B" w:rsidRDefault="00186E42" w:rsidP="00CF613B">
            <w:pPr>
              <w:ind w:right="282"/>
              <w:rPr>
                <w:rFonts w:ascii="Arial" w:hAnsi="Arial" w:cs="Arial"/>
                <w:b/>
                <w:bCs/>
                <w:lang w:val="fi-FI"/>
              </w:rPr>
            </w:pPr>
            <w:r w:rsidRPr="00CF613B">
              <w:rPr>
                <w:rFonts w:ascii="Arial" w:hAnsi="Arial" w:cs="Arial"/>
                <w:b/>
                <w:bCs/>
                <w:lang w:val="fi-FI"/>
              </w:rPr>
              <w:t>20-22 September 2011, Roma, Italy</w:t>
            </w:r>
          </w:p>
        </w:tc>
        <w:tc>
          <w:tcPr>
            <w:tcW w:w="4538" w:type="dxa"/>
            <w:gridSpan w:val="4"/>
          </w:tcPr>
          <w:p w:rsidR="00186E42" w:rsidRPr="00CF613B" w:rsidRDefault="00186E42" w:rsidP="00C44DFE">
            <w:pPr>
              <w:jc w:val="both"/>
              <w:rPr>
                <w:rFonts w:ascii="Arial" w:hAnsi="Arial" w:cs="Arial"/>
                <w:b/>
                <w:lang w:val="en-GB" w:eastAsia="de-DE"/>
              </w:rPr>
            </w:pPr>
          </w:p>
        </w:tc>
      </w:tr>
      <w:tr w:rsidR="00186E42" w:rsidRPr="002A160D" w:rsidTr="00CF613B">
        <w:trPr>
          <w:cantSplit/>
          <w:trHeight w:val="1191"/>
        </w:trPr>
        <w:tc>
          <w:tcPr>
            <w:tcW w:w="9608" w:type="dxa"/>
            <w:gridSpan w:val="8"/>
          </w:tcPr>
          <w:p w:rsidR="00186E42" w:rsidRPr="00CF613B" w:rsidRDefault="00186E42" w:rsidP="00C44DFE">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Pr>
                <w:rFonts w:ascii="Arial" w:hAnsi="Arial" w:cs="Arial"/>
                <w:b/>
                <w:lang w:val="en-GB" w:eastAsia="de-DE"/>
              </w:rPr>
              <w:t>13 09 2011</w:t>
            </w:r>
          </w:p>
          <w:p w:rsidR="00186E42" w:rsidRPr="00DB2C54" w:rsidRDefault="00186E42" w:rsidP="00C44DFE">
            <w:pPr>
              <w:tabs>
                <w:tab w:val="left" w:pos="1582"/>
              </w:tabs>
              <w:spacing w:before="120"/>
              <w:jc w:val="both"/>
              <w:outlineLvl w:val="0"/>
              <w:rPr>
                <w:rFonts w:ascii="Arial" w:hAnsi="Arial" w:cs="Arial"/>
                <w:b/>
                <w:lang w:val="en-US" w:eastAsia="de-DE"/>
              </w:rPr>
            </w:pPr>
            <w:r w:rsidRPr="00DB2C54">
              <w:rPr>
                <w:rFonts w:ascii="Arial" w:hAnsi="Arial" w:cs="Arial"/>
                <w:b/>
                <w:lang w:val="en-US" w:eastAsia="de-DE"/>
              </w:rPr>
              <w:t>Source:</w:t>
            </w:r>
            <w:r w:rsidRPr="00DB2C54">
              <w:rPr>
                <w:rFonts w:ascii="Arial" w:hAnsi="Arial" w:cs="Arial"/>
                <w:b/>
                <w:lang w:val="en-US" w:eastAsia="de-DE"/>
              </w:rPr>
              <w:tab/>
              <w:t>Ericsson, Huawei Technologies, Qualcomm</w:t>
            </w:r>
          </w:p>
          <w:p w:rsidR="00186E42" w:rsidRPr="00CF613B" w:rsidRDefault="00186E42" w:rsidP="00DD1BFD">
            <w:pPr>
              <w:tabs>
                <w:tab w:val="left" w:pos="1571"/>
              </w:tabs>
              <w:spacing w:before="120" w:after="120"/>
              <w:jc w:val="both"/>
              <w:outlineLvl w:val="0"/>
              <w:rPr>
                <w:rFonts w:ascii="Arial" w:hAnsi="Arial" w:cs="Arial"/>
                <w:b/>
                <w:lang w:val="en-GB" w:eastAsia="de-DE"/>
              </w:rPr>
            </w:pPr>
            <w:r w:rsidRPr="00CF613B">
              <w:rPr>
                <w:rFonts w:ascii="Arial" w:hAnsi="Arial" w:cs="Arial"/>
                <w:b/>
                <w:lang w:val="en-GB" w:eastAsia="de-DE"/>
              </w:rPr>
              <w:t>Subject:</w:t>
            </w:r>
            <w:r w:rsidRPr="00CF613B">
              <w:rPr>
                <w:rFonts w:ascii="Arial" w:hAnsi="Arial" w:cs="Arial"/>
                <w:b/>
                <w:lang w:val="en-GB" w:eastAsia="de-DE"/>
              </w:rPr>
              <w:tab/>
            </w:r>
            <w:r>
              <w:rPr>
                <w:rFonts w:ascii="Arial" w:hAnsi="Arial" w:cs="Arial"/>
                <w:b/>
                <w:lang w:val="en-GB" w:eastAsia="de-DE"/>
              </w:rPr>
              <w:t>Requirement for harmonised band plan for the availability of products and emergence of mass-market.</w:t>
            </w:r>
          </w:p>
        </w:tc>
      </w:tr>
      <w:tr w:rsidR="00186E42" w:rsidRPr="00DB2C54"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740" w:type="dxa"/>
        </w:trPr>
        <w:tc>
          <w:tcPr>
            <w:tcW w:w="3500" w:type="dxa"/>
            <w:tcBorders>
              <w:top w:val="nil"/>
              <w:left w:val="nil"/>
              <w:bottom w:val="nil"/>
            </w:tcBorders>
          </w:tcPr>
          <w:p w:rsidR="00186E42" w:rsidRPr="00D33BCE" w:rsidRDefault="00186E42" w:rsidP="00C44DFE">
            <w:pPr>
              <w:tabs>
                <w:tab w:val="left" w:pos="2930"/>
              </w:tabs>
              <w:jc w:val="both"/>
              <w:rPr>
                <w:rFonts w:ascii="Arial" w:hAnsi="Arial" w:cs="Arial"/>
                <w:b/>
                <w:sz w:val="20"/>
                <w:lang w:val="en-GB" w:eastAsia="de-DE"/>
              </w:rPr>
            </w:pPr>
            <w:r w:rsidRPr="00D33BCE">
              <w:rPr>
                <w:rFonts w:ascii="Arial" w:hAnsi="Arial" w:cs="Arial"/>
                <w:b/>
                <w:sz w:val="22"/>
                <w:lang w:val="en-GB" w:eastAsia="de-DE"/>
              </w:rPr>
              <w:t>Password protected:</w:t>
            </w:r>
            <w:r w:rsidRPr="00D33BCE">
              <w:rPr>
                <w:rFonts w:ascii="Arial" w:hAnsi="Arial" w:cs="Arial"/>
                <w:b/>
                <w:sz w:val="22"/>
                <w:lang w:val="en-GB" w:eastAsia="de-DE"/>
              </w:rPr>
              <w:tab/>
              <w:t>yes</w:t>
            </w:r>
          </w:p>
        </w:tc>
        <w:tc>
          <w:tcPr>
            <w:tcW w:w="300" w:type="dxa"/>
          </w:tcPr>
          <w:p w:rsidR="00186E42" w:rsidRPr="00D33BCE" w:rsidRDefault="00186E42" w:rsidP="00C44DFE">
            <w:pPr>
              <w:jc w:val="both"/>
              <w:rPr>
                <w:rFonts w:ascii="Arial" w:hAnsi="Arial" w:cs="Arial"/>
                <w:b/>
                <w:sz w:val="22"/>
                <w:lang w:val="en-GB" w:eastAsia="de-DE"/>
              </w:rPr>
            </w:pPr>
          </w:p>
        </w:tc>
        <w:tc>
          <w:tcPr>
            <w:tcW w:w="1700" w:type="dxa"/>
            <w:gridSpan w:val="2"/>
            <w:tcBorders>
              <w:top w:val="nil"/>
              <w:bottom w:val="nil"/>
            </w:tcBorders>
          </w:tcPr>
          <w:p w:rsidR="00186E42" w:rsidRPr="00D33BCE" w:rsidRDefault="00186E42" w:rsidP="00C44DFE">
            <w:pPr>
              <w:tabs>
                <w:tab w:val="left" w:pos="1130"/>
              </w:tabs>
              <w:jc w:val="both"/>
              <w:rPr>
                <w:rFonts w:ascii="Arial" w:hAnsi="Arial" w:cs="Arial"/>
                <w:b/>
                <w:sz w:val="22"/>
                <w:lang w:val="en-GB" w:eastAsia="de-DE"/>
              </w:rPr>
            </w:pPr>
            <w:r w:rsidRPr="00D33BCE">
              <w:rPr>
                <w:rFonts w:ascii="Arial" w:hAnsi="Arial" w:cs="Arial"/>
                <w:b/>
                <w:sz w:val="22"/>
                <w:lang w:val="en-GB" w:eastAsia="de-DE"/>
              </w:rPr>
              <w:tab/>
              <w:t>No</w:t>
            </w:r>
          </w:p>
        </w:tc>
        <w:tc>
          <w:tcPr>
            <w:tcW w:w="360" w:type="dxa"/>
          </w:tcPr>
          <w:p w:rsidR="00186E42" w:rsidRPr="00D33BCE" w:rsidRDefault="00186E42" w:rsidP="00C44DFE">
            <w:pPr>
              <w:jc w:val="both"/>
              <w:rPr>
                <w:rFonts w:ascii="Arial" w:hAnsi="Arial" w:cs="Arial"/>
                <w:b/>
                <w:sz w:val="22"/>
                <w:lang w:val="en-GB" w:eastAsia="de-DE"/>
              </w:rPr>
            </w:pPr>
            <w:r w:rsidRPr="00D33BCE">
              <w:rPr>
                <w:rFonts w:ascii="Arial" w:hAnsi="Arial" w:cs="Arial"/>
                <w:b/>
                <w:sz w:val="22"/>
                <w:lang w:val="en-GB" w:eastAsia="de-DE"/>
              </w:rPr>
              <w:t>x</w:t>
            </w:r>
          </w:p>
        </w:tc>
      </w:tr>
    </w:tbl>
    <w:p w:rsidR="00186E42" w:rsidRPr="00D33BCE" w:rsidRDefault="00186E42" w:rsidP="00C44DFE">
      <w:pPr>
        <w:jc w:val="both"/>
        <w:rPr>
          <w:sz w:val="22"/>
          <w:lang w:val="en-GB" w:eastAsia="de-DE"/>
        </w:rPr>
      </w:pPr>
    </w:p>
    <w:p w:rsidR="00186E42" w:rsidRPr="00D33BCE" w:rsidRDefault="00186E42"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186E42" w:rsidRPr="002A160D">
        <w:tc>
          <w:tcPr>
            <w:tcW w:w="9600" w:type="dxa"/>
          </w:tcPr>
          <w:p w:rsidR="00186E42" w:rsidRPr="007F6BB9" w:rsidRDefault="00186E42" w:rsidP="00C44DFE">
            <w:pPr>
              <w:rPr>
                <w:rFonts w:ascii="Arial" w:hAnsi="Arial" w:cs="Arial"/>
                <w:b/>
                <w:sz w:val="20"/>
                <w:szCs w:val="20"/>
                <w:lang w:val="en-GB" w:eastAsia="de-DE"/>
              </w:rPr>
            </w:pPr>
          </w:p>
          <w:p w:rsidR="00186E42" w:rsidRPr="007F6BB9" w:rsidRDefault="00186E42" w:rsidP="00C44DFE">
            <w:pPr>
              <w:keepNext/>
              <w:outlineLvl w:val="2"/>
              <w:rPr>
                <w:rFonts w:ascii="Arial" w:hAnsi="Arial" w:cs="Arial"/>
                <w:b/>
                <w:szCs w:val="20"/>
                <w:lang w:val="en-GB" w:eastAsia="de-DE"/>
              </w:rPr>
            </w:pPr>
            <w:r>
              <w:rPr>
                <w:rFonts w:ascii="Arial" w:hAnsi="Arial" w:cs="Arial"/>
                <w:b/>
                <w:szCs w:val="20"/>
                <w:lang w:val="en-GB" w:eastAsia="de-DE"/>
              </w:rPr>
              <w:t>Summary</w:t>
            </w:r>
          </w:p>
          <w:p w:rsidR="00186E42" w:rsidRPr="007F6BB9" w:rsidRDefault="00186E42" w:rsidP="00CF613B">
            <w:pPr>
              <w:rPr>
                <w:rFonts w:ascii="Arial" w:hAnsi="Arial" w:cs="Arial"/>
                <w:sz w:val="22"/>
                <w:szCs w:val="22"/>
                <w:lang w:val="en-GB"/>
              </w:rPr>
            </w:pPr>
          </w:p>
          <w:p w:rsidR="00186E42" w:rsidRPr="007F6BB9" w:rsidRDefault="00186E42" w:rsidP="00827005">
            <w:pPr>
              <w:spacing w:before="60" w:after="60"/>
              <w:ind w:left="60"/>
              <w:rPr>
                <w:rFonts w:ascii="Arial" w:hAnsi="Arial" w:cs="Arial"/>
                <w:sz w:val="22"/>
                <w:szCs w:val="22"/>
                <w:lang w:val="en-GB"/>
              </w:rPr>
            </w:pPr>
            <w:r w:rsidRPr="00D54124">
              <w:rPr>
                <w:rFonts w:ascii="Arial" w:hAnsi="Arial" w:cs="Arial"/>
                <w:sz w:val="22"/>
                <w:szCs w:val="22"/>
                <w:lang w:val="en-GB"/>
              </w:rPr>
              <w:t>The success of a wireless service relies mainly on the demand for such service</w:t>
            </w:r>
            <w:r>
              <w:rPr>
                <w:rFonts w:ascii="Arial" w:hAnsi="Arial" w:cs="Arial"/>
                <w:sz w:val="22"/>
                <w:szCs w:val="22"/>
                <w:lang w:val="en-GB"/>
              </w:rPr>
              <w:t>, the economies of scale driven by spectrum harmonisation</w:t>
            </w:r>
            <w:r w:rsidRPr="00D54124">
              <w:rPr>
                <w:rFonts w:ascii="Arial" w:hAnsi="Arial" w:cs="Arial"/>
                <w:sz w:val="22"/>
                <w:szCs w:val="22"/>
                <w:lang w:val="en-GB"/>
              </w:rPr>
              <w:t xml:space="preserve"> and the innovative nature of the service. The demand</w:t>
            </w:r>
            <w:r>
              <w:rPr>
                <w:rFonts w:ascii="Arial" w:hAnsi="Arial" w:cs="Arial"/>
                <w:sz w:val="22"/>
                <w:szCs w:val="22"/>
                <w:lang w:val="en-GB"/>
              </w:rPr>
              <w:t>s</w:t>
            </w:r>
            <w:r w:rsidRPr="00D54124">
              <w:rPr>
                <w:rFonts w:ascii="Arial" w:hAnsi="Arial" w:cs="Arial"/>
                <w:sz w:val="22"/>
                <w:szCs w:val="22"/>
                <w:lang w:val="en-GB"/>
              </w:rPr>
              <w:t xml:space="preserve"> for </w:t>
            </w:r>
            <w:r>
              <w:rPr>
                <w:rFonts w:ascii="Arial" w:hAnsi="Arial" w:cs="Arial"/>
                <w:sz w:val="22"/>
                <w:szCs w:val="22"/>
                <w:lang w:val="en-GB"/>
              </w:rPr>
              <w:t xml:space="preserve">multimedia services over </w:t>
            </w:r>
            <w:r w:rsidRPr="00D54124">
              <w:rPr>
                <w:rFonts w:ascii="Arial" w:hAnsi="Arial" w:cs="Arial"/>
                <w:sz w:val="22"/>
                <w:szCs w:val="22"/>
                <w:lang w:val="en-GB"/>
              </w:rPr>
              <w:t xml:space="preserve">mobile broadband </w:t>
            </w:r>
            <w:r>
              <w:rPr>
                <w:rFonts w:ascii="Arial" w:hAnsi="Arial" w:cs="Arial"/>
                <w:sz w:val="22"/>
                <w:szCs w:val="22"/>
                <w:lang w:val="en-GB"/>
              </w:rPr>
              <w:t xml:space="preserve">are </w:t>
            </w:r>
            <w:r w:rsidRPr="00D54124">
              <w:rPr>
                <w:rFonts w:ascii="Arial" w:hAnsi="Arial" w:cs="Arial"/>
                <w:sz w:val="22"/>
                <w:szCs w:val="22"/>
                <w:lang w:val="en-GB"/>
              </w:rPr>
              <w:t>growing exponentially as demonstrated by the rise of mobile traffic. Supplemental Downlink</w:t>
            </w:r>
            <w:r>
              <w:rPr>
                <w:rFonts w:ascii="Arial" w:hAnsi="Arial" w:cs="Arial"/>
                <w:sz w:val="22"/>
                <w:szCs w:val="22"/>
                <w:lang w:val="en-GB"/>
              </w:rPr>
              <w:t>, a new innovative technology,</w:t>
            </w:r>
            <w:r w:rsidRPr="00D54124">
              <w:rPr>
                <w:rFonts w:ascii="Arial" w:hAnsi="Arial" w:cs="Arial"/>
                <w:sz w:val="22"/>
                <w:szCs w:val="22"/>
                <w:lang w:val="en-GB"/>
              </w:rPr>
              <w:t xml:space="preserve"> brings innovation to mobile broadband</w:t>
            </w:r>
            <w:r>
              <w:rPr>
                <w:rFonts w:ascii="Arial" w:hAnsi="Arial" w:cs="Arial"/>
                <w:sz w:val="22"/>
                <w:szCs w:val="22"/>
                <w:lang w:val="en-GB"/>
              </w:rPr>
              <w:t xml:space="preserve"> </w:t>
            </w:r>
            <w:r w:rsidRPr="00D54124">
              <w:rPr>
                <w:rFonts w:ascii="Arial" w:hAnsi="Arial" w:cs="Arial"/>
                <w:sz w:val="22"/>
                <w:szCs w:val="22"/>
                <w:lang w:val="en-GB"/>
              </w:rPr>
              <w:t>in order to respond to the rise of</w:t>
            </w:r>
            <w:r>
              <w:rPr>
                <w:rFonts w:ascii="Arial" w:hAnsi="Arial" w:cs="Arial"/>
                <w:sz w:val="22"/>
                <w:szCs w:val="22"/>
                <w:lang w:val="en-GB"/>
              </w:rPr>
              <w:t xml:space="preserve"> mobile multimedia</w:t>
            </w:r>
            <w:r w:rsidRPr="00D54124">
              <w:rPr>
                <w:rFonts w:ascii="Arial" w:hAnsi="Arial" w:cs="Arial"/>
                <w:sz w:val="22"/>
                <w:szCs w:val="22"/>
                <w:lang w:val="en-GB"/>
              </w:rPr>
              <w:t xml:space="preserve"> traffic. As such, mobile broadband products supporting </w:t>
            </w:r>
            <w:r>
              <w:rPr>
                <w:rFonts w:ascii="Arial" w:hAnsi="Arial" w:cs="Arial"/>
                <w:sz w:val="22"/>
                <w:szCs w:val="22"/>
                <w:lang w:val="en-GB"/>
              </w:rPr>
              <w:t xml:space="preserve">using the L band for </w:t>
            </w:r>
            <w:r w:rsidRPr="00D54124">
              <w:rPr>
                <w:rFonts w:ascii="Arial" w:hAnsi="Arial" w:cs="Arial"/>
                <w:sz w:val="22"/>
                <w:szCs w:val="22"/>
                <w:lang w:val="en-GB"/>
              </w:rPr>
              <w:t>supplemental downlink respond to a clear market need for such products.</w:t>
            </w:r>
            <w:r>
              <w:rPr>
                <w:rFonts w:ascii="Arial" w:hAnsi="Arial" w:cs="Arial"/>
                <w:sz w:val="22"/>
                <w:szCs w:val="22"/>
                <w:lang w:val="en-GB"/>
              </w:rPr>
              <w:t xml:space="preserve"> This hasn’t been the case for broadcasting based multimedia technologies that were envisaged in the band when </w:t>
            </w:r>
            <w:r w:rsidRPr="009D0705">
              <w:rPr>
                <w:rFonts w:ascii="Arial" w:hAnsi="Arial" w:cs="Arial"/>
                <w:sz w:val="22"/>
                <w:szCs w:val="22"/>
                <w:lang w:val="en-GB"/>
              </w:rPr>
              <w:t>the revision of the Maastrich</w:t>
            </w:r>
            <w:r>
              <w:rPr>
                <w:rFonts w:ascii="Arial" w:hAnsi="Arial" w:cs="Arial"/>
                <w:sz w:val="22"/>
                <w:szCs w:val="22"/>
                <w:lang w:val="en-GB"/>
              </w:rPr>
              <w:t>t Agreement in 2007 (MA 02CO07)</w:t>
            </w:r>
            <w:r w:rsidRPr="009D0705">
              <w:rPr>
                <w:rFonts w:ascii="Arial" w:hAnsi="Arial" w:cs="Arial"/>
                <w:sz w:val="22"/>
                <w:szCs w:val="22"/>
                <w:lang w:val="en-GB"/>
              </w:rPr>
              <w:t xml:space="preserve"> </w:t>
            </w:r>
            <w:r>
              <w:rPr>
                <w:rFonts w:ascii="Arial" w:hAnsi="Arial" w:cs="Arial"/>
                <w:sz w:val="22"/>
                <w:szCs w:val="22"/>
                <w:lang w:val="en-GB"/>
              </w:rPr>
              <w:t xml:space="preserve">took place. </w:t>
            </w:r>
          </w:p>
          <w:p w:rsidR="00186E42" w:rsidRPr="007F6BB9" w:rsidRDefault="00186E42" w:rsidP="00CF613B">
            <w:pPr>
              <w:rPr>
                <w:rFonts w:ascii="Arial" w:hAnsi="Arial" w:cs="Arial"/>
                <w:sz w:val="22"/>
                <w:szCs w:val="22"/>
                <w:lang w:val="en-GB"/>
              </w:rPr>
            </w:pPr>
          </w:p>
          <w:p w:rsidR="00186E42" w:rsidRDefault="00186E42" w:rsidP="00827005">
            <w:pPr>
              <w:spacing w:before="60" w:after="60"/>
              <w:ind w:left="60"/>
              <w:rPr>
                <w:rFonts w:ascii="Arial" w:hAnsi="Arial" w:cs="Arial"/>
                <w:sz w:val="22"/>
                <w:szCs w:val="22"/>
                <w:lang w:val="en-GB"/>
              </w:rPr>
            </w:pPr>
            <w:r w:rsidRPr="00D54124">
              <w:rPr>
                <w:rFonts w:ascii="Arial" w:hAnsi="Arial" w:cs="Arial"/>
                <w:sz w:val="22"/>
                <w:szCs w:val="22"/>
                <w:lang w:val="en-GB"/>
              </w:rPr>
              <w:t xml:space="preserve">Given the existing market need, the emergence of a mass market and the availability of products supporting a specific frequency band are strongly correlated to the availability of a harmonised band plan (i.e. </w:t>
            </w:r>
            <w:r>
              <w:rPr>
                <w:rFonts w:ascii="Arial" w:hAnsi="Arial" w:cs="Arial"/>
                <w:sz w:val="22"/>
                <w:szCs w:val="22"/>
                <w:lang w:val="en-GB"/>
              </w:rPr>
              <w:t>channelling</w:t>
            </w:r>
            <w:r w:rsidRPr="00D54124">
              <w:rPr>
                <w:rFonts w:ascii="Arial" w:hAnsi="Arial" w:cs="Arial"/>
                <w:sz w:val="22"/>
                <w:szCs w:val="22"/>
                <w:lang w:val="en-GB"/>
              </w:rPr>
              <w:t xml:space="preserve"> arrangement) and harmonised technical spectrum usage rules for the band. This lesson is easily drawn from the examination of product availability in the 800 and 900 MHz bands.</w:t>
            </w:r>
          </w:p>
          <w:p w:rsidR="00186E42" w:rsidRPr="007F6BB9" w:rsidRDefault="00186E42" w:rsidP="00827005">
            <w:pPr>
              <w:spacing w:before="60" w:after="60"/>
              <w:ind w:left="60"/>
              <w:rPr>
                <w:rFonts w:ascii="Arial" w:hAnsi="Arial" w:cs="Arial"/>
                <w:sz w:val="22"/>
                <w:szCs w:val="22"/>
                <w:lang w:val="en-GB"/>
              </w:rPr>
            </w:pPr>
          </w:p>
          <w:p w:rsidR="00186E42" w:rsidRDefault="00186E42">
            <w:pPr>
              <w:spacing w:before="60" w:after="60"/>
              <w:ind w:left="60"/>
              <w:rPr>
                <w:rFonts w:ascii="Arial" w:hAnsi="Arial" w:cs="Arial"/>
                <w:sz w:val="20"/>
                <w:szCs w:val="20"/>
                <w:lang w:val="en-GB" w:eastAsia="de-DE"/>
              </w:rPr>
            </w:pPr>
            <w:r w:rsidRPr="00D54124">
              <w:rPr>
                <w:rFonts w:ascii="Arial" w:hAnsi="Arial" w:cs="Arial"/>
                <w:sz w:val="22"/>
                <w:szCs w:val="22"/>
                <w:lang w:val="en-GB"/>
              </w:rPr>
              <w:t xml:space="preserve">The foreseen harmonised </w:t>
            </w:r>
            <w:r>
              <w:rPr>
                <w:rFonts w:ascii="Arial" w:hAnsi="Arial" w:cs="Arial"/>
                <w:sz w:val="22"/>
                <w:szCs w:val="22"/>
                <w:lang w:val="en-GB"/>
              </w:rPr>
              <w:t>channelling</w:t>
            </w:r>
            <w:r w:rsidRPr="00D54124">
              <w:rPr>
                <w:rFonts w:ascii="Arial" w:hAnsi="Arial" w:cs="Arial"/>
                <w:sz w:val="22"/>
                <w:szCs w:val="22"/>
                <w:lang w:val="en-GB"/>
              </w:rPr>
              <w:t xml:space="preserve"> arrangement</w:t>
            </w:r>
            <w:r>
              <w:rPr>
                <w:rFonts w:ascii="Arial" w:hAnsi="Arial" w:cs="Arial"/>
                <w:sz w:val="22"/>
                <w:szCs w:val="22"/>
                <w:lang w:val="en-GB"/>
              </w:rPr>
              <w:t xml:space="preserve"> in 1452-1492 MHz</w:t>
            </w:r>
            <w:r w:rsidRPr="00D54124">
              <w:rPr>
                <w:rFonts w:ascii="Arial" w:hAnsi="Arial" w:cs="Arial"/>
                <w:sz w:val="22"/>
                <w:szCs w:val="22"/>
                <w:lang w:val="en-GB"/>
              </w:rPr>
              <w:t xml:space="preserve"> </w:t>
            </w:r>
            <w:r>
              <w:rPr>
                <w:rFonts w:ascii="Arial" w:hAnsi="Arial" w:cs="Arial"/>
                <w:sz w:val="22"/>
                <w:szCs w:val="22"/>
                <w:lang w:val="en-GB"/>
              </w:rPr>
              <w:t xml:space="preserve">for wide band mobile technologies (i.e. based on 5 MHz blocks) </w:t>
            </w:r>
            <w:r w:rsidRPr="00D54124">
              <w:rPr>
                <w:rFonts w:ascii="Arial" w:hAnsi="Arial" w:cs="Arial"/>
                <w:sz w:val="22"/>
                <w:szCs w:val="22"/>
                <w:lang w:val="en-GB"/>
              </w:rPr>
              <w:t>can be adopted in addition to the  Maastricht Agreement (MA 02CO07)</w:t>
            </w:r>
            <w:r>
              <w:rPr>
                <w:rFonts w:ascii="Arial" w:hAnsi="Arial" w:cs="Arial"/>
                <w:sz w:val="22"/>
                <w:szCs w:val="22"/>
                <w:lang w:val="en-GB"/>
              </w:rPr>
              <w:t xml:space="preserve"> that allows the deployment of mobile multimedia downlink. This would not automatically require</w:t>
            </w:r>
            <w:r w:rsidRPr="00D54124">
              <w:rPr>
                <w:rFonts w:ascii="Arial" w:hAnsi="Arial" w:cs="Arial"/>
                <w:sz w:val="22"/>
                <w:szCs w:val="22"/>
                <w:lang w:val="en-GB"/>
              </w:rPr>
              <w:t xml:space="preserve"> the abrogation of the Maastricht Agreement</w:t>
            </w:r>
            <w:r>
              <w:rPr>
                <w:rFonts w:ascii="Arial" w:hAnsi="Arial" w:cs="Arial"/>
                <w:sz w:val="22"/>
                <w:szCs w:val="22"/>
                <w:lang w:val="en-GB"/>
              </w:rPr>
              <w:t xml:space="preserve"> but it uses the embedded flexibility in the agreement to change the plan whenever required.</w:t>
            </w:r>
          </w:p>
        </w:tc>
      </w:tr>
      <w:tr w:rsidR="00186E42" w:rsidRPr="002A160D" w:rsidTr="00EE3899">
        <w:tc>
          <w:tcPr>
            <w:tcW w:w="9600" w:type="dxa"/>
          </w:tcPr>
          <w:p w:rsidR="00186E42" w:rsidRPr="007F6BB9" w:rsidRDefault="00186E42" w:rsidP="00EE3899">
            <w:pPr>
              <w:keepNext/>
              <w:outlineLvl w:val="2"/>
              <w:rPr>
                <w:rFonts w:ascii="Arial" w:hAnsi="Arial" w:cs="Arial"/>
                <w:b/>
                <w:szCs w:val="20"/>
                <w:lang w:val="en-GB" w:eastAsia="de-DE"/>
              </w:rPr>
            </w:pPr>
          </w:p>
          <w:p w:rsidR="00186E42" w:rsidRPr="007F6BB9" w:rsidRDefault="00186E42" w:rsidP="00EE3899">
            <w:pPr>
              <w:keepNext/>
              <w:outlineLvl w:val="2"/>
              <w:rPr>
                <w:rFonts w:ascii="Arial" w:hAnsi="Arial" w:cs="Arial"/>
                <w:b/>
                <w:szCs w:val="20"/>
                <w:lang w:val="en-GB" w:eastAsia="de-DE"/>
              </w:rPr>
            </w:pPr>
            <w:r>
              <w:rPr>
                <w:rFonts w:ascii="Arial" w:hAnsi="Arial" w:cs="Arial"/>
                <w:b/>
                <w:szCs w:val="20"/>
                <w:lang w:val="en-GB" w:eastAsia="de-DE"/>
              </w:rPr>
              <w:t>Proposal</w:t>
            </w:r>
          </w:p>
          <w:p w:rsidR="00186E42" w:rsidRPr="007F6BB9" w:rsidRDefault="00186E42" w:rsidP="00EE3899">
            <w:pPr>
              <w:keepNext/>
              <w:outlineLvl w:val="2"/>
              <w:rPr>
                <w:rFonts w:ascii="Arial" w:hAnsi="Arial" w:cs="Arial"/>
                <w:b/>
                <w:szCs w:val="20"/>
                <w:lang w:val="en-GB" w:eastAsia="de-DE"/>
              </w:rPr>
            </w:pPr>
          </w:p>
          <w:p w:rsidR="00186E42" w:rsidRPr="007F6BB9" w:rsidRDefault="00186E42" w:rsidP="00CF0355">
            <w:pPr>
              <w:spacing w:before="60" w:after="60"/>
              <w:rPr>
                <w:rFonts w:ascii="Arial" w:hAnsi="Arial" w:cs="Arial"/>
                <w:sz w:val="22"/>
                <w:szCs w:val="22"/>
                <w:lang w:val="en-GB"/>
              </w:rPr>
            </w:pPr>
            <w:r w:rsidRPr="00D54124">
              <w:rPr>
                <w:rFonts w:ascii="Arial" w:hAnsi="Arial" w:cs="Arial"/>
                <w:sz w:val="22"/>
                <w:szCs w:val="22"/>
                <w:lang w:val="en-GB"/>
              </w:rPr>
              <w:t>In order to enable the development of Mobile Multimedia Downlink</w:t>
            </w:r>
            <w:r>
              <w:rPr>
                <w:rFonts w:ascii="Arial" w:hAnsi="Arial" w:cs="Arial"/>
                <w:sz w:val="22"/>
                <w:szCs w:val="22"/>
                <w:lang w:val="en-GB"/>
              </w:rPr>
              <w:t xml:space="preserve"> services</w:t>
            </w:r>
            <w:r w:rsidRPr="00D54124">
              <w:rPr>
                <w:rFonts w:ascii="Arial" w:hAnsi="Arial" w:cs="Arial"/>
                <w:sz w:val="22"/>
                <w:szCs w:val="22"/>
                <w:lang w:val="en-GB"/>
              </w:rPr>
              <w:t xml:space="preserve"> in the band</w:t>
            </w:r>
            <w:r>
              <w:rPr>
                <w:rFonts w:ascii="Arial" w:hAnsi="Arial" w:cs="Arial"/>
                <w:sz w:val="22"/>
                <w:szCs w:val="22"/>
                <w:lang w:val="en-GB"/>
              </w:rPr>
              <w:t xml:space="preserve"> 1452-1492 MHz</w:t>
            </w:r>
            <w:r w:rsidRPr="00D54124">
              <w:rPr>
                <w:rFonts w:ascii="Arial" w:hAnsi="Arial" w:cs="Arial"/>
                <w:sz w:val="22"/>
                <w:szCs w:val="22"/>
                <w:lang w:val="en-GB"/>
              </w:rPr>
              <w:t>, a harmonised downlink band plan</w:t>
            </w:r>
            <w:r>
              <w:rPr>
                <w:rFonts w:ascii="Arial" w:hAnsi="Arial" w:cs="Arial"/>
                <w:sz w:val="22"/>
                <w:szCs w:val="22"/>
                <w:lang w:val="en-GB"/>
              </w:rPr>
              <w:t xml:space="preserve"> (channelling arrangement)</w:t>
            </w:r>
            <w:r w:rsidRPr="00D54124">
              <w:rPr>
                <w:rFonts w:ascii="Arial" w:hAnsi="Arial" w:cs="Arial"/>
                <w:sz w:val="22"/>
                <w:szCs w:val="22"/>
                <w:lang w:val="en-GB"/>
              </w:rPr>
              <w:t xml:space="preserve"> covering the whole 40 MHz with associated Least Restrictive Technical Conditions (LRTC) is required. This will enable the emergence and healthy growth of a mobile broadband eco-system in the band for the benefits of European economies and consumers </w:t>
            </w:r>
          </w:p>
          <w:p w:rsidR="00186E42" w:rsidRPr="007F6BB9" w:rsidRDefault="00186E42" w:rsidP="00EE3899">
            <w:pPr>
              <w:rPr>
                <w:rFonts w:ascii="Arial" w:hAnsi="Arial" w:cs="Arial"/>
                <w:sz w:val="20"/>
                <w:szCs w:val="20"/>
                <w:lang w:val="en-GB" w:eastAsia="de-DE"/>
              </w:rPr>
            </w:pPr>
            <w:r w:rsidRPr="006638FE">
              <w:rPr>
                <w:rFonts w:ascii="Arial" w:hAnsi="Arial" w:cs="Arial"/>
                <w:sz w:val="22"/>
                <w:szCs w:val="22"/>
                <w:lang w:val="en-GB"/>
              </w:rPr>
              <w:t xml:space="preserve">The foreseen harmonised </w:t>
            </w:r>
            <w:r>
              <w:rPr>
                <w:rFonts w:ascii="Arial" w:hAnsi="Arial" w:cs="Arial"/>
                <w:sz w:val="22"/>
                <w:szCs w:val="22"/>
                <w:lang w:val="en-GB"/>
              </w:rPr>
              <w:t>channelling</w:t>
            </w:r>
            <w:r w:rsidRPr="006638FE">
              <w:rPr>
                <w:rFonts w:ascii="Arial" w:hAnsi="Arial" w:cs="Arial"/>
                <w:sz w:val="22"/>
                <w:szCs w:val="22"/>
                <w:lang w:val="en-GB"/>
              </w:rPr>
              <w:t xml:space="preserve"> arrangement</w:t>
            </w:r>
            <w:r>
              <w:rPr>
                <w:rFonts w:ascii="Arial" w:hAnsi="Arial" w:cs="Arial"/>
                <w:sz w:val="22"/>
                <w:szCs w:val="22"/>
                <w:lang w:val="en-GB"/>
              </w:rPr>
              <w:t xml:space="preserve"> in 1452-1492 MHz</w:t>
            </w:r>
            <w:r w:rsidRPr="006638FE">
              <w:rPr>
                <w:rFonts w:ascii="Arial" w:hAnsi="Arial" w:cs="Arial"/>
                <w:sz w:val="22"/>
                <w:szCs w:val="22"/>
                <w:lang w:val="en-GB"/>
              </w:rPr>
              <w:t xml:space="preserve"> </w:t>
            </w:r>
            <w:r>
              <w:rPr>
                <w:rFonts w:ascii="Arial" w:hAnsi="Arial" w:cs="Arial"/>
                <w:sz w:val="22"/>
                <w:szCs w:val="22"/>
                <w:lang w:val="en-GB"/>
              </w:rPr>
              <w:t xml:space="preserve">for wide band mobile technologies (i.e. based on 5 MHz blocks) </w:t>
            </w:r>
            <w:r w:rsidRPr="006638FE">
              <w:rPr>
                <w:rFonts w:ascii="Arial" w:hAnsi="Arial" w:cs="Arial"/>
                <w:sz w:val="22"/>
                <w:szCs w:val="22"/>
                <w:lang w:val="en-GB"/>
              </w:rPr>
              <w:t>can be adopted in addition to the  Maastricht Agreement (MA 02CO07)</w:t>
            </w:r>
            <w:r>
              <w:rPr>
                <w:rFonts w:ascii="Arial" w:hAnsi="Arial" w:cs="Arial"/>
                <w:sz w:val="22"/>
                <w:szCs w:val="22"/>
                <w:lang w:val="en-GB"/>
              </w:rPr>
              <w:t xml:space="preserve"> that allows the deployment of mobile multimedia downlink. This would not require</w:t>
            </w:r>
            <w:r w:rsidRPr="006638FE">
              <w:rPr>
                <w:rFonts w:ascii="Arial" w:hAnsi="Arial" w:cs="Arial"/>
                <w:sz w:val="22"/>
                <w:szCs w:val="22"/>
                <w:lang w:val="en-GB"/>
              </w:rPr>
              <w:t xml:space="preserve"> the abrogation of the Maastricht Agreement</w:t>
            </w:r>
            <w:r>
              <w:rPr>
                <w:rFonts w:ascii="Arial" w:hAnsi="Arial" w:cs="Arial"/>
                <w:sz w:val="22"/>
                <w:szCs w:val="22"/>
                <w:lang w:val="en-GB"/>
              </w:rPr>
              <w:t xml:space="preserve"> but it uses the embedded flexibility in the agreement to change the plan whenever required. .</w:t>
            </w:r>
          </w:p>
          <w:p w:rsidR="00186E42" w:rsidRPr="007F6BB9" w:rsidRDefault="00186E42" w:rsidP="00EE3899">
            <w:pPr>
              <w:keepNext/>
              <w:spacing w:line="276" w:lineRule="auto"/>
              <w:outlineLvl w:val="2"/>
              <w:rPr>
                <w:rFonts w:ascii="Arial" w:hAnsi="Arial" w:cs="Arial"/>
                <w:sz w:val="20"/>
                <w:szCs w:val="20"/>
                <w:lang w:val="en-GB" w:eastAsia="de-DE"/>
              </w:rPr>
            </w:pPr>
          </w:p>
        </w:tc>
      </w:tr>
      <w:tr w:rsidR="00186E42" w:rsidRPr="002A160D" w:rsidTr="00EE3899">
        <w:tc>
          <w:tcPr>
            <w:tcW w:w="9600" w:type="dxa"/>
          </w:tcPr>
          <w:p w:rsidR="00186E42" w:rsidRPr="007F6BB9" w:rsidRDefault="00186E42" w:rsidP="00EE3899">
            <w:pPr>
              <w:rPr>
                <w:rFonts w:ascii="Arial" w:hAnsi="Arial" w:cs="Arial"/>
                <w:sz w:val="20"/>
                <w:szCs w:val="20"/>
                <w:lang w:val="en-GB" w:eastAsia="de-DE"/>
              </w:rPr>
            </w:pPr>
          </w:p>
          <w:p w:rsidR="00186E42" w:rsidRPr="007F6BB9" w:rsidRDefault="00186E42" w:rsidP="00EE3899">
            <w:pPr>
              <w:keepNext/>
              <w:outlineLvl w:val="2"/>
              <w:rPr>
                <w:rFonts w:ascii="Arial" w:hAnsi="Arial"/>
                <w:b/>
                <w:szCs w:val="20"/>
                <w:lang w:val="en-GB" w:eastAsia="de-DE"/>
              </w:rPr>
            </w:pPr>
            <w:r>
              <w:rPr>
                <w:rFonts w:ascii="Arial" w:hAnsi="Arial"/>
                <w:b/>
                <w:szCs w:val="20"/>
                <w:lang w:val="en-GB" w:eastAsia="de-DE"/>
              </w:rPr>
              <w:t>Background</w:t>
            </w:r>
          </w:p>
          <w:p w:rsidR="00186E42" w:rsidRPr="007F6BB9" w:rsidRDefault="00186E42" w:rsidP="00EE3899">
            <w:pPr>
              <w:keepNext/>
              <w:outlineLvl w:val="2"/>
              <w:rPr>
                <w:rFonts w:ascii="Arial" w:hAnsi="Arial"/>
                <w:b/>
                <w:szCs w:val="20"/>
                <w:lang w:val="en-GB" w:eastAsia="de-DE"/>
              </w:rPr>
            </w:pPr>
          </w:p>
          <w:p w:rsidR="00186E42" w:rsidRPr="007F6BB9" w:rsidRDefault="00186E42" w:rsidP="00A61969">
            <w:pPr>
              <w:spacing w:before="60" w:after="60"/>
              <w:rPr>
                <w:rFonts w:ascii="Arial" w:hAnsi="Arial" w:cs="Arial"/>
                <w:sz w:val="22"/>
                <w:szCs w:val="22"/>
                <w:lang w:val="en-GB"/>
              </w:rPr>
            </w:pPr>
            <w:r w:rsidRPr="00D54124">
              <w:rPr>
                <w:rFonts w:ascii="Arial" w:hAnsi="Arial" w:cs="Arial"/>
                <w:sz w:val="22"/>
                <w:szCs w:val="22"/>
                <w:lang w:val="en-GB"/>
              </w:rPr>
              <w:t xml:space="preserve">The CEPT is reviewing the future use of the 1452-1492 MHz band. </w:t>
            </w:r>
          </w:p>
          <w:p w:rsidR="00186E42" w:rsidRDefault="00186E42" w:rsidP="003122C0">
            <w:pPr>
              <w:spacing w:before="60" w:after="60"/>
              <w:ind w:left="60"/>
              <w:rPr>
                <w:rFonts w:ascii="Arial" w:hAnsi="Arial" w:cs="Arial"/>
                <w:sz w:val="22"/>
                <w:szCs w:val="22"/>
                <w:lang w:val="en-GB"/>
              </w:rPr>
            </w:pPr>
          </w:p>
          <w:p w:rsidR="00186E42" w:rsidRPr="007F6BB9" w:rsidRDefault="00186E42" w:rsidP="003122C0">
            <w:pPr>
              <w:spacing w:before="60" w:after="60"/>
              <w:ind w:left="60"/>
              <w:rPr>
                <w:rFonts w:ascii="Arial" w:hAnsi="Arial" w:cs="Arial"/>
                <w:sz w:val="22"/>
                <w:szCs w:val="22"/>
                <w:lang w:val="en-GB"/>
              </w:rPr>
            </w:pPr>
            <w:r w:rsidRPr="009D0705">
              <w:rPr>
                <w:rFonts w:ascii="Arial" w:hAnsi="Arial" w:cs="Arial"/>
                <w:sz w:val="22"/>
                <w:szCs w:val="22"/>
                <w:lang w:val="en-GB"/>
              </w:rPr>
              <w:t>The success of a wireless service relies mainly on the demand for such service</w:t>
            </w:r>
            <w:r>
              <w:rPr>
                <w:rFonts w:ascii="Arial" w:hAnsi="Arial" w:cs="Arial"/>
                <w:sz w:val="22"/>
                <w:szCs w:val="22"/>
                <w:lang w:val="en-GB"/>
              </w:rPr>
              <w:t>, the economies of scale driven by spectrum harmonisation</w:t>
            </w:r>
            <w:r w:rsidRPr="009D0705">
              <w:rPr>
                <w:rFonts w:ascii="Arial" w:hAnsi="Arial" w:cs="Arial"/>
                <w:sz w:val="22"/>
                <w:szCs w:val="22"/>
                <w:lang w:val="en-GB"/>
              </w:rPr>
              <w:t xml:space="preserve"> and the innovative nature of the service. The demand for </w:t>
            </w:r>
            <w:r>
              <w:rPr>
                <w:rFonts w:ascii="Arial" w:hAnsi="Arial" w:cs="Arial"/>
                <w:sz w:val="22"/>
                <w:szCs w:val="22"/>
                <w:lang w:val="en-GB"/>
              </w:rPr>
              <w:t>multimedia services over mobile broadband are</w:t>
            </w:r>
            <w:r w:rsidRPr="009D0705">
              <w:rPr>
                <w:rFonts w:ascii="Arial" w:hAnsi="Arial" w:cs="Arial"/>
                <w:sz w:val="22"/>
                <w:szCs w:val="22"/>
                <w:lang w:val="en-GB"/>
              </w:rPr>
              <w:t xml:space="preserve"> growing exponentially as demonstrated by the rise of mobile traffic. Supplemental Downlink brings innovation to mobile broadband in order to respond to the rise of</w:t>
            </w:r>
            <w:r>
              <w:rPr>
                <w:rFonts w:ascii="Arial" w:hAnsi="Arial" w:cs="Arial"/>
                <w:sz w:val="22"/>
                <w:szCs w:val="22"/>
                <w:lang w:val="en-GB"/>
              </w:rPr>
              <w:t xml:space="preserve"> mobile multimedia</w:t>
            </w:r>
            <w:r w:rsidRPr="009D0705">
              <w:rPr>
                <w:rFonts w:ascii="Arial" w:hAnsi="Arial" w:cs="Arial"/>
                <w:sz w:val="22"/>
                <w:szCs w:val="22"/>
                <w:lang w:val="en-GB"/>
              </w:rPr>
              <w:t xml:space="preserve"> traffic. As such, mobile broadband products supporting </w:t>
            </w:r>
            <w:r>
              <w:rPr>
                <w:rFonts w:ascii="Arial" w:hAnsi="Arial" w:cs="Arial"/>
                <w:sz w:val="22"/>
                <w:szCs w:val="22"/>
                <w:lang w:val="en-GB"/>
              </w:rPr>
              <w:t xml:space="preserve">using the L band for </w:t>
            </w:r>
            <w:r w:rsidRPr="009D0705">
              <w:rPr>
                <w:rFonts w:ascii="Arial" w:hAnsi="Arial" w:cs="Arial"/>
                <w:sz w:val="22"/>
                <w:szCs w:val="22"/>
                <w:lang w:val="en-GB"/>
              </w:rPr>
              <w:t>supplemental downlink respond to a clear market need for such products.</w:t>
            </w:r>
            <w:r>
              <w:rPr>
                <w:rFonts w:ascii="Arial" w:hAnsi="Arial" w:cs="Arial"/>
                <w:sz w:val="22"/>
                <w:szCs w:val="22"/>
                <w:lang w:val="en-GB"/>
              </w:rPr>
              <w:t xml:space="preserve"> This hasn’t been the case for broadcasting based multimedia technologies that were envisaged in the band when </w:t>
            </w:r>
            <w:r w:rsidRPr="009D0705">
              <w:rPr>
                <w:rFonts w:ascii="Arial" w:hAnsi="Arial" w:cs="Arial"/>
                <w:sz w:val="22"/>
                <w:szCs w:val="22"/>
                <w:lang w:val="en-GB"/>
              </w:rPr>
              <w:t>the revision of the Maastrich</w:t>
            </w:r>
            <w:r>
              <w:rPr>
                <w:rFonts w:ascii="Arial" w:hAnsi="Arial" w:cs="Arial"/>
                <w:sz w:val="22"/>
                <w:szCs w:val="22"/>
                <w:lang w:val="en-GB"/>
              </w:rPr>
              <w:t>t Agreement in 2007 (MA 02CO07)</w:t>
            </w:r>
            <w:r w:rsidRPr="009D0705">
              <w:rPr>
                <w:rFonts w:ascii="Arial" w:hAnsi="Arial" w:cs="Arial"/>
                <w:sz w:val="22"/>
                <w:szCs w:val="22"/>
                <w:lang w:val="en-GB"/>
              </w:rPr>
              <w:t xml:space="preserve"> </w:t>
            </w:r>
            <w:r>
              <w:rPr>
                <w:rFonts w:ascii="Arial" w:hAnsi="Arial" w:cs="Arial"/>
                <w:sz w:val="22"/>
                <w:szCs w:val="22"/>
                <w:lang w:val="en-GB"/>
              </w:rPr>
              <w:t xml:space="preserve">took place. </w:t>
            </w:r>
          </w:p>
          <w:p w:rsidR="00186E42" w:rsidRPr="007F6BB9" w:rsidRDefault="00186E42" w:rsidP="00A61969">
            <w:pPr>
              <w:spacing w:before="60" w:after="60"/>
              <w:rPr>
                <w:rFonts w:ascii="Arial" w:hAnsi="Arial" w:cs="Arial"/>
                <w:sz w:val="22"/>
                <w:szCs w:val="22"/>
                <w:lang w:val="en-GB"/>
              </w:rPr>
            </w:pPr>
          </w:p>
          <w:p w:rsidR="00186E42" w:rsidRPr="007F6BB9" w:rsidRDefault="00186E42" w:rsidP="00A61969">
            <w:pPr>
              <w:spacing w:before="60" w:after="60"/>
              <w:rPr>
                <w:rFonts w:ascii="Arial" w:hAnsi="Arial" w:cs="Arial"/>
                <w:sz w:val="22"/>
                <w:szCs w:val="22"/>
                <w:lang w:val="en-GB"/>
              </w:rPr>
            </w:pPr>
            <w:r w:rsidRPr="00827005">
              <w:rPr>
                <w:rFonts w:ascii="Arial" w:hAnsi="Arial" w:cs="Arial"/>
                <w:sz w:val="22"/>
                <w:szCs w:val="22"/>
                <w:lang w:val="en-GB"/>
              </w:rPr>
              <w:t>In this context, Ericsson</w:t>
            </w:r>
            <w:r>
              <w:rPr>
                <w:rFonts w:ascii="Arial" w:hAnsi="Arial" w:cs="Arial"/>
                <w:sz w:val="22"/>
                <w:szCs w:val="22"/>
                <w:lang w:val="en-GB"/>
              </w:rPr>
              <w:t>,</w:t>
            </w:r>
            <w:r w:rsidRPr="00827005">
              <w:rPr>
                <w:rFonts w:ascii="Arial" w:hAnsi="Arial" w:cs="Arial"/>
                <w:sz w:val="22"/>
                <w:szCs w:val="22"/>
                <w:lang w:val="en-GB"/>
              </w:rPr>
              <w:t xml:space="preserve"> Huawei </w:t>
            </w:r>
            <w:r w:rsidRPr="00940CFE">
              <w:rPr>
                <w:rFonts w:ascii="Arial" w:hAnsi="Arial" w:cs="Arial"/>
                <w:sz w:val="22"/>
                <w:szCs w:val="22"/>
                <w:lang w:val="en-US" w:eastAsia="de-DE"/>
              </w:rPr>
              <w:t>Technologies</w:t>
            </w:r>
            <w:r w:rsidRPr="00827005">
              <w:rPr>
                <w:rFonts w:ascii="Arial" w:hAnsi="Arial" w:cs="Arial"/>
                <w:sz w:val="22"/>
                <w:szCs w:val="22"/>
                <w:lang w:val="en-GB"/>
              </w:rPr>
              <w:t xml:space="preserve"> and Qualcomm support</w:t>
            </w:r>
            <w:r w:rsidRPr="00D54124">
              <w:rPr>
                <w:rFonts w:ascii="Arial" w:hAnsi="Arial" w:cs="Arial"/>
                <w:sz w:val="22"/>
                <w:szCs w:val="22"/>
                <w:lang w:val="en-GB"/>
              </w:rPr>
              <w:t xml:space="preserve"> the harmonisation of the band as supplemental downlink for Mobile Multimedia </w:t>
            </w:r>
            <w:r>
              <w:rPr>
                <w:rFonts w:ascii="Arial" w:hAnsi="Arial" w:cs="Arial"/>
                <w:sz w:val="22"/>
                <w:szCs w:val="22"/>
                <w:lang w:val="en-GB"/>
              </w:rPr>
              <w:t>Downlink. The</w:t>
            </w:r>
            <w:r w:rsidRPr="00D54124">
              <w:rPr>
                <w:rFonts w:ascii="Arial" w:hAnsi="Arial" w:cs="Arial"/>
                <w:sz w:val="22"/>
                <w:szCs w:val="22"/>
                <w:lang w:val="en-GB"/>
              </w:rPr>
              <w:t xml:space="preserve"> 1452-1479.5 MHz band is currently governed by the Maastricht Special Arrangement which already allows the deployment of Mobile Multimedia Downlink</w:t>
            </w:r>
            <w:r>
              <w:rPr>
                <w:rFonts w:ascii="Arial" w:hAnsi="Arial" w:cs="Arial"/>
                <w:sz w:val="22"/>
                <w:szCs w:val="22"/>
                <w:lang w:val="en-GB"/>
              </w:rPr>
              <w:t xml:space="preserve"> (MMD)</w:t>
            </w:r>
            <w:r w:rsidRPr="00D54124">
              <w:rPr>
                <w:rFonts w:ascii="Arial" w:hAnsi="Arial" w:cs="Arial"/>
                <w:sz w:val="22"/>
                <w:szCs w:val="22"/>
                <w:lang w:val="en-GB"/>
              </w:rPr>
              <w:t>, as concluded by FM45 in December 2010. The success of any service in the band is directly related to the timely availability of equipment. Therefore, it is legitimate to identify what is further required to enable the development of a market for mobile broadband equipment supporting the 1452-1492 MHz band.</w:t>
            </w:r>
          </w:p>
          <w:p w:rsidR="00186E42" w:rsidRPr="007F6BB9" w:rsidRDefault="00186E42" w:rsidP="00A61969">
            <w:pPr>
              <w:spacing w:before="60" w:after="60"/>
              <w:rPr>
                <w:rFonts w:ascii="Arial" w:hAnsi="Arial" w:cs="Arial"/>
                <w:sz w:val="22"/>
                <w:szCs w:val="22"/>
                <w:lang w:val="en-GB"/>
              </w:rPr>
            </w:pPr>
          </w:p>
          <w:p w:rsidR="00186E42" w:rsidRPr="007F6BB9" w:rsidRDefault="00186E42" w:rsidP="00A61969">
            <w:pPr>
              <w:spacing w:before="60" w:after="60"/>
              <w:rPr>
                <w:rFonts w:ascii="Arial" w:hAnsi="Arial" w:cs="Arial"/>
                <w:sz w:val="22"/>
                <w:szCs w:val="22"/>
                <w:lang w:val="en-GB"/>
              </w:rPr>
            </w:pPr>
            <w:r w:rsidRPr="00D54124">
              <w:rPr>
                <w:rFonts w:ascii="Arial" w:hAnsi="Arial" w:cs="Arial"/>
                <w:sz w:val="22"/>
                <w:szCs w:val="22"/>
                <w:lang w:val="en-GB"/>
              </w:rPr>
              <w:t xml:space="preserve">The L-band, as governed by the </w:t>
            </w:r>
            <w:r>
              <w:rPr>
                <w:rFonts w:ascii="Arial" w:hAnsi="Arial" w:cs="Arial"/>
                <w:sz w:val="22"/>
                <w:szCs w:val="22"/>
                <w:lang w:val="en-GB"/>
              </w:rPr>
              <w:t>Maastricht</w:t>
            </w:r>
            <w:r w:rsidRPr="00D54124">
              <w:rPr>
                <w:rFonts w:ascii="Arial" w:hAnsi="Arial" w:cs="Arial"/>
                <w:sz w:val="22"/>
                <w:szCs w:val="22"/>
                <w:lang w:val="en-GB"/>
              </w:rPr>
              <w:t xml:space="preserve"> Special Arrangement, presents many similarities with the 470-862 MHz band, as governed by the Ge06 Agreement. In both cases the band is harmonised across </w:t>
            </w:r>
            <w:smartTag w:uri="urn:schemas-microsoft-com:office:smarttags" w:element="place">
              <w:r w:rsidRPr="00D54124">
                <w:rPr>
                  <w:rFonts w:ascii="Arial" w:hAnsi="Arial" w:cs="Arial"/>
                  <w:sz w:val="22"/>
                  <w:szCs w:val="22"/>
                  <w:lang w:val="en-GB"/>
                </w:rPr>
                <w:t>Europe</w:t>
              </w:r>
            </w:smartTag>
            <w:r w:rsidRPr="00D54124">
              <w:rPr>
                <w:rFonts w:ascii="Arial" w:hAnsi="Arial" w:cs="Arial"/>
                <w:sz w:val="22"/>
                <w:szCs w:val="22"/>
                <w:lang w:val="en-GB"/>
              </w:rPr>
              <w:t xml:space="preserve"> with another service as primary intention (respectively terrestrial Digital Audio Broadcasting and terrestrial Digital Video Broadcasting) but the regulatory </w:t>
            </w:r>
            <w:r>
              <w:rPr>
                <w:rFonts w:ascii="Arial" w:hAnsi="Arial" w:cs="Arial"/>
                <w:sz w:val="22"/>
                <w:szCs w:val="22"/>
                <w:lang w:val="en-GB"/>
              </w:rPr>
              <w:t>agreement</w:t>
            </w:r>
            <w:r w:rsidRPr="00D54124">
              <w:rPr>
                <w:rFonts w:ascii="Arial" w:hAnsi="Arial" w:cs="Arial"/>
                <w:sz w:val="22"/>
                <w:szCs w:val="22"/>
                <w:lang w:val="en-GB"/>
              </w:rPr>
              <w:t xml:space="preserve"> is flexible enough to accommodate the introduction of mobile broadband </w:t>
            </w:r>
            <w:r>
              <w:rPr>
                <w:rFonts w:ascii="Arial" w:hAnsi="Arial" w:cs="Arial"/>
                <w:sz w:val="22"/>
                <w:szCs w:val="22"/>
                <w:lang w:val="en-GB"/>
              </w:rPr>
              <w:t xml:space="preserve">downlink </w:t>
            </w:r>
            <w:r w:rsidRPr="00D54124">
              <w:rPr>
                <w:rFonts w:ascii="Arial" w:hAnsi="Arial" w:cs="Arial"/>
                <w:sz w:val="22"/>
                <w:szCs w:val="22"/>
                <w:lang w:val="en-GB"/>
              </w:rPr>
              <w:t>services in the band.</w:t>
            </w:r>
          </w:p>
          <w:p w:rsidR="00186E42" w:rsidRPr="007F6BB9" w:rsidRDefault="00186E42" w:rsidP="00A61969">
            <w:pPr>
              <w:spacing w:before="60" w:after="60"/>
              <w:rPr>
                <w:rFonts w:ascii="Arial" w:hAnsi="Arial" w:cs="Arial"/>
                <w:sz w:val="22"/>
                <w:szCs w:val="22"/>
                <w:lang w:val="en-GB"/>
              </w:rPr>
            </w:pPr>
            <w:r w:rsidRPr="00D54124">
              <w:rPr>
                <w:rFonts w:ascii="Arial" w:hAnsi="Arial" w:cs="Arial"/>
                <w:sz w:val="22"/>
                <w:szCs w:val="22"/>
                <w:lang w:val="en-GB"/>
              </w:rPr>
              <w:t xml:space="preserve">However, the success of any service is predicated on the timely availability of </w:t>
            </w:r>
            <w:r>
              <w:rPr>
                <w:rFonts w:ascii="Arial" w:hAnsi="Arial" w:cs="Arial"/>
                <w:sz w:val="22"/>
                <w:szCs w:val="22"/>
                <w:lang w:val="en-GB"/>
              </w:rPr>
              <w:t>equipments</w:t>
            </w:r>
            <w:r w:rsidRPr="00D54124">
              <w:rPr>
                <w:rFonts w:ascii="Arial" w:hAnsi="Arial" w:cs="Arial"/>
                <w:sz w:val="22"/>
                <w:szCs w:val="22"/>
                <w:lang w:val="en-GB"/>
              </w:rPr>
              <w:t>, which presupposes standardisation and adoption by mass market.</w:t>
            </w:r>
          </w:p>
          <w:p w:rsidR="00186E42" w:rsidRPr="007F6BB9" w:rsidRDefault="00186E42" w:rsidP="00A61969">
            <w:pPr>
              <w:spacing w:before="60" w:after="60"/>
              <w:rPr>
                <w:rFonts w:ascii="Arial" w:hAnsi="Arial" w:cs="Arial"/>
                <w:sz w:val="22"/>
                <w:szCs w:val="22"/>
                <w:lang w:val="en-GB"/>
              </w:rPr>
            </w:pPr>
            <w:r w:rsidRPr="00D54124">
              <w:rPr>
                <w:rFonts w:ascii="Arial" w:hAnsi="Arial" w:cs="Arial"/>
                <w:sz w:val="22"/>
                <w:szCs w:val="22"/>
                <w:lang w:val="en-GB"/>
              </w:rPr>
              <w:t>Some lessons can be drawn from the introduction of mobile broadband systems in the 800 and 900 MHz bands. These two examples correspond to concrete example where:</w:t>
            </w:r>
          </w:p>
          <w:p w:rsidR="00186E42" w:rsidRDefault="00186E42">
            <w:pPr>
              <w:numPr>
                <w:ilvl w:val="0"/>
                <w:numId w:val="16"/>
              </w:numPr>
              <w:spacing w:before="60" w:after="60"/>
              <w:rPr>
                <w:rFonts w:ascii="Arial" w:hAnsi="Arial" w:cs="Arial"/>
                <w:sz w:val="22"/>
                <w:szCs w:val="22"/>
                <w:lang w:val="en-GB"/>
              </w:rPr>
            </w:pPr>
            <w:r w:rsidRPr="00D54124">
              <w:rPr>
                <w:rFonts w:ascii="Arial" w:hAnsi="Arial" w:cs="Arial"/>
                <w:sz w:val="22"/>
                <w:szCs w:val="22"/>
                <w:lang w:val="en-GB"/>
              </w:rPr>
              <w:t>innovative systems are introduced in a band</w:t>
            </w:r>
            <w:r>
              <w:rPr>
                <w:rFonts w:ascii="Arial" w:hAnsi="Arial" w:cs="Arial"/>
                <w:sz w:val="22"/>
                <w:szCs w:val="22"/>
                <w:lang w:val="en-GB"/>
              </w:rPr>
              <w:t xml:space="preserve"> (UMTS900)</w:t>
            </w:r>
            <w:r w:rsidRPr="00D54124">
              <w:rPr>
                <w:rFonts w:ascii="Arial" w:hAnsi="Arial" w:cs="Arial"/>
                <w:sz w:val="22"/>
                <w:szCs w:val="22"/>
                <w:lang w:val="en-GB"/>
              </w:rPr>
              <w:t>,</w:t>
            </w:r>
          </w:p>
          <w:p w:rsidR="00186E42" w:rsidRDefault="00186E42">
            <w:pPr>
              <w:numPr>
                <w:ilvl w:val="0"/>
                <w:numId w:val="16"/>
              </w:numPr>
              <w:spacing w:before="60" w:after="60"/>
              <w:rPr>
                <w:rFonts w:ascii="Arial" w:hAnsi="Arial" w:cs="Arial"/>
                <w:sz w:val="22"/>
                <w:szCs w:val="22"/>
                <w:lang w:val="en-GB"/>
              </w:rPr>
            </w:pPr>
            <w:r w:rsidRPr="00D54124">
              <w:rPr>
                <w:rFonts w:ascii="Arial" w:hAnsi="Arial" w:cs="Arial"/>
                <w:sz w:val="22"/>
                <w:szCs w:val="22"/>
                <w:lang w:val="en-GB"/>
              </w:rPr>
              <w:t>there is a significant market demand for such services.</w:t>
            </w:r>
          </w:p>
          <w:p w:rsidR="00186E42" w:rsidRDefault="00186E42">
            <w:pPr>
              <w:numPr>
                <w:ilvl w:val="0"/>
                <w:numId w:val="16"/>
              </w:numPr>
              <w:spacing w:before="60" w:after="60"/>
              <w:rPr>
                <w:rFonts w:ascii="Arial" w:hAnsi="Arial" w:cs="Arial"/>
                <w:sz w:val="22"/>
                <w:szCs w:val="22"/>
                <w:lang w:val="en-GB"/>
              </w:rPr>
            </w:pPr>
            <w:r>
              <w:rPr>
                <w:rFonts w:ascii="Arial" w:hAnsi="Arial" w:cs="Arial"/>
                <w:sz w:val="22"/>
                <w:szCs w:val="22"/>
                <w:lang w:val="en-GB"/>
              </w:rPr>
              <w:t>the physical propagation characteristic of the frequency band are attractive.</w:t>
            </w:r>
          </w:p>
          <w:p w:rsidR="00186E42" w:rsidRPr="007F6BB9" w:rsidRDefault="00186E42" w:rsidP="00A61969">
            <w:pPr>
              <w:spacing w:before="60" w:after="60"/>
              <w:rPr>
                <w:rFonts w:ascii="Arial" w:hAnsi="Arial" w:cs="Arial"/>
                <w:sz w:val="22"/>
                <w:szCs w:val="22"/>
                <w:lang w:val="en-GB"/>
              </w:rPr>
            </w:pPr>
            <w:r w:rsidRPr="00D54124">
              <w:rPr>
                <w:rFonts w:ascii="Arial" w:hAnsi="Arial" w:cs="Arial"/>
                <w:sz w:val="22"/>
                <w:szCs w:val="22"/>
                <w:lang w:val="en-GB"/>
              </w:rPr>
              <w:t xml:space="preserve">These </w:t>
            </w:r>
            <w:r>
              <w:rPr>
                <w:rFonts w:ascii="Arial" w:hAnsi="Arial" w:cs="Arial"/>
                <w:sz w:val="22"/>
                <w:szCs w:val="22"/>
                <w:lang w:val="en-GB"/>
              </w:rPr>
              <w:t xml:space="preserve">two </w:t>
            </w:r>
            <w:r w:rsidRPr="00D54124">
              <w:rPr>
                <w:rFonts w:ascii="Arial" w:hAnsi="Arial" w:cs="Arial"/>
                <w:sz w:val="22"/>
                <w:szCs w:val="22"/>
                <w:lang w:val="en-GB"/>
              </w:rPr>
              <w:t>examples will be helpful in order to identify the required regulatory steps that enable a mass market to emerge.</w:t>
            </w:r>
          </w:p>
          <w:p w:rsidR="00186E42" w:rsidRPr="007F6BB9" w:rsidRDefault="00186E42" w:rsidP="00A61969">
            <w:pPr>
              <w:spacing w:before="60" w:after="60"/>
              <w:rPr>
                <w:rFonts w:ascii="Arial" w:hAnsi="Arial" w:cs="Arial"/>
                <w:sz w:val="22"/>
                <w:szCs w:val="22"/>
                <w:lang w:val="en-GB"/>
              </w:rPr>
            </w:pPr>
            <w:r w:rsidRPr="00D54124">
              <w:rPr>
                <w:rFonts w:ascii="Arial" w:hAnsi="Arial" w:cs="Arial"/>
                <w:sz w:val="22"/>
                <w:szCs w:val="22"/>
                <w:lang w:val="en-GB"/>
              </w:rPr>
              <w:t>As demonstrated in the 800MHz case, Standardisation Development Organisations (SDOs) such as 3GPP only consider standardisation following the adoption of harmonised band plan and LRTCs for the introduction of the corresponding products in the band. For example, in the case of the 800MHz band, the 3GPP triggered the development of the corresponding standard immediately following the adoption by the CEPT of both a harmonised band plan and LRTCs for the band (ECC Decision ECC/DEC(09)03 of 30</w:t>
            </w:r>
            <w:r w:rsidRPr="00D54124">
              <w:rPr>
                <w:rFonts w:ascii="Arial" w:hAnsi="Arial" w:cs="Arial"/>
                <w:sz w:val="22"/>
                <w:szCs w:val="22"/>
                <w:vertAlign w:val="superscript"/>
                <w:lang w:val="en-GB"/>
              </w:rPr>
              <w:t>th</w:t>
            </w:r>
            <w:r w:rsidRPr="00D54124">
              <w:rPr>
                <w:rFonts w:ascii="Arial" w:hAnsi="Arial" w:cs="Arial"/>
                <w:sz w:val="22"/>
                <w:szCs w:val="22"/>
                <w:lang w:val="en-GB"/>
              </w:rPr>
              <w:t xml:space="preserve"> October 2009)</w:t>
            </w:r>
            <w:r>
              <w:rPr>
                <w:rFonts w:ascii="Arial" w:hAnsi="Arial" w:cs="Arial"/>
                <w:sz w:val="22"/>
                <w:szCs w:val="22"/>
                <w:lang w:val="en-GB"/>
              </w:rPr>
              <w:t>. This resulted in the fast availability of products as can be observed in the market.</w:t>
            </w:r>
            <w:r w:rsidRPr="00D54124">
              <w:rPr>
                <w:rFonts w:ascii="Arial" w:hAnsi="Arial" w:cs="Arial"/>
                <w:sz w:val="22"/>
                <w:szCs w:val="22"/>
                <w:lang w:val="en-GB"/>
              </w:rPr>
              <w:t xml:space="preserve"> </w:t>
            </w:r>
          </w:p>
          <w:p w:rsidR="00186E42" w:rsidRPr="007F6BB9" w:rsidRDefault="00186E42" w:rsidP="00A61969">
            <w:pPr>
              <w:spacing w:before="60" w:after="60"/>
              <w:rPr>
                <w:rFonts w:ascii="Arial" w:hAnsi="Arial" w:cs="Arial"/>
                <w:sz w:val="22"/>
                <w:szCs w:val="22"/>
                <w:lang w:val="en-GB"/>
              </w:rPr>
            </w:pPr>
            <w:r w:rsidRPr="00D54124">
              <w:rPr>
                <w:rFonts w:ascii="Arial" w:hAnsi="Arial" w:cs="Arial"/>
                <w:sz w:val="22"/>
                <w:szCs w:val="22"/>
                <w:lang w:val="en-GB"/>
              </w:rPr>
              <w:t>Three important aspects emerge from this example:</w:t>
            </w:r>
          </w:p>
          <w:p w:rsidR="00186E42" w:rsidRPr="007F6BB9" w:rsidRDefault="00186E42" w:rsidP="00A33221">
            <w:pPr>
              <w:numPr>
                <w:ilvl w:val="0"/>
                <w:numId w:val="14"/>
              </w:numPr>
              <w:spacing w:before="60" w:after="60"/>
              <w:rPr>
                <w:rFonts w:ascii="Arial" w:hAnsi="Arial" w:cs="Arial"/>
                <w:sz w:val="22"/>
                <w:szCs w:val="22"/>
                <w:lang w:val="en-GB"/>
              </w:rPr>
            </w:pPr>
            <w:r w:rsidRPr="00D54124">
              <w:rPr>
                <w:rFonts w:ascii="Arial" w:hAnsi="Arial" w:cs="Arial"/>
                <w:sz w:val="22"/>
                <w:szCs w:val="22"/>
                <w:lang w:val="en-GB"/>
              </w:rPr>
              <w:t xml:space="preserve">the 3GPP did not work on the 800MHz band prior to the adoption by the ECC of a harmonised band plan and LRTCs, even though the GE06 Agreement allowed the introduction of mobile broadband in the UHF band and the 790-862MHz sub-band had been allocated to mobile during the WRC07. </w:t>
            </w:r>
          </w:p>
          <w:p w:rsidR="00186E42" w:rsidRPr="007F6BB9" w:rsidRDefault="00186E42" w:rsidP="00A33221">
            <w:pPr>
              <w:numPr>
                <w:ilvl w:val="0"/>
                <w:numId w:val="14"/>
              </w:numPr>
              <w:spacing w:before="60" w:after="60"/>
              <w:rPr>
                <w:rFonts w:ascii="Arial" w:hAnsi="Arial" w:cs="Arial"/>
                <w:sz w:val="22"/>
                <w:szCs w:val="22"/>
                <w:lang w:val="en-GB"/>
              </w:rPr>
            </w:pPr>
            <w:r w:rsidRPr="00D54124">
              <w:rPr>
                <w:rFonts w:ascii="Arial" w:hAnsi="Arial" w:cs="Arial"/>
                <w:sz w:val="22"/>
                <w:szCs w:val="22"/>
                <w:lang w:val="en-GB"/>
              </w:rPr>
              <w:t>SDOs can easily and swiftly a</w:t>
            </w:r>
            <w:r>
              <w:rPr>
                <w:rFonts w:ascii="Arial" w:hAnsi="Arial" w:cs="Arial"/>
                <w:sz w:val="22"/>
                <w:szCs w:val="22"/>
                <w:lang w:val="en-GB"/>
              </w:rPr>
              <w:t>d</w:t>
            </w:r>
            <w:r w:rsidRPr="00D54124">
              <w:rPr>
                <w:rFonts w:ascii="Arial" w:hAnsi="Arial" w:cs="Arial"/>
                <w:sz w:val="22"/>
                <w:szCs w:val="22"/>
                <w:lang w:val="en-GB"/>
              </w:rPr>
              <w:t xml:space="preserve">d support of a new band to </w:t>
            </w:r>
            <w:r>
              <w:rPr>
                <w:rFonts w:ascii="Arial" w:hAnsi="Arial" w:cs="Arial"/>
                <w:sz w:val="22"/>
                <w:szCs w:val="22"/>
                <w:lang w:val="en-GB"/>
              </w:rPr>
              <w:t>existing</w:t>
            </w:r>
            <w:r w:rsidRPr="00D54124">
              <w:rPr>
                <w:rFonts w:ascii="Arial" w:hAnsi="Arial" w:cs="Arial"/>
                <w:sz w:val="22"/>
                <w:szCs w:val="22"/>
                <w:lang w:val="en-GB"/>
              </w:rPr>
              <w:t xml:space="preserve"> products, provided a harmonised band plan and LRTCs are available.</w:t>
            </w:r>
          </w:p>
          <w:p w:rsidR="00186E42" w:rsidRPr="007F6BB9" w:rsidRDefault="00186E42" w:rsidP="00A33221">
            <w:pPr>
              <w:numPr>
                <w:ilvl w:val="0"/>
                <w:numId w:val="14"/>
              </w:numPr>
              <w:spacing w:before="60" w:after="60"/>
              <w:rPr>
                <w:rFonts w:ascii="Arial" w:hAnsi="Arial" w:cs="Arial"/>
                <w:sz w:val="22"/>
                <w:szCs w:val="22"/>
                <w:lang w:val="en-GB"/>
              </w:rPr>
            </w:pPr>
            <w:r w:rsidRPr="00D54124">
              <w:rPr>
                <w:rFonts w:ascii="Arial" w:hAnsi="Arial" w:cs="Arial"/>
                <w:sz w:val="22"/>
                <w:szCs w:val="22"/>
                <w:lang w:val="en-GB"/>
              </w:rPr>
              <w:t xml:space="preserve">the 3GPP work items started immediately following the adoption of the ECC Decision and did not wait for the adoption of an EC decision.  </w:t>
            </w:r>
          </w:p>
          <w:p w:rsidR="00186E42" w:rsidRPr="007F6BB9" w:rsidRDefault="00186E42" w:rsidP="00A61969">
            <w:pPr>
              <w:spacing w:before="60" w:after="60"/>
              <w:rPr>
                <w:rFonts w:ascii="Arial" w:hAnsi="Arial" w:cs="Arial"/>
                <w:sz w:val="22"/>
                <w:szCs w:val="22"/>
                <w:lang w:val="en-GB"/>
              </w:rPr>
            </w:pPr>
            <w:r w:rsidRPr="00D54124">
              <w:rPr>
                <w:rFonts w:ascii="Arial" w:hAnsi="Arial" w:cs="Arial"/>
                <w:sz w:val="22"/>
                <w:szCs w:val="22"/>
                <w:lang w:val="en-GB"/>
              </w:rPr>
              <w:t xml:space="preserve"> </w:t>
            </w:r>
          </w:p>
          <w:p w:rsidR="00186E42" w:rsidRPr="007F6BB9" w:rsidRDefault="00186E42" w:rsidP="00A33221">
            <w:pPr>
              <w:spacing w:before="60" w:after="60"/>
              <w:rPr>
                <w:rFonts w:ascii="Arial" w:hAnsi="Arial" w:cs="Arial"/>
                <w:sz w:val="22"/>
                <w:szCs w:val="22"/>
                <w:lang w:val="en-GB"/>
              </w:rPr>
            </w:pPr>
            <w:r w:rsidRPr="00D54124">
              <w:rPr>
                <w:rFonts w:ascii="Arial" w:hAnsi="Arial" w:cs="Arial"/>
                <w:sz w:val="22"/>
                <w:szCs w:val="22"/>
                <w:lang w:val="en-GB"/>
              </w:rPr>
              <w:t xml:space="preserve">Finally, the availability of products in the 900MHz demonstrates that terminal availability can pre-date the regulatory framework, provided that the appropriate band plan and LRTCs are in place. The technical conditions for the introduction of UMTS services in the band were finalised by the CEPT in 2006 through the ECC Report 82 and the ECC Decision ECC/DEC/(06)13. From a pure regulatory standpoint, the band was still subject to the European Council Directive 87/372/EEC (and </w:t>
            </w:r>
            <w:r>
              <w:rPr>
                <w:rFonts w:ascii="Arial" w:hAnsi="Arial" w:cs="Arial"/>
                <w:sz w:val="22"/>
                <w:szCs w:val="22"/>
                <w:lang w:val="en-GB"/>
              </w:rPr>
              <w:t>therefore</w:t>
            </w:r>
            <w:r w:rsidRPr="00D54124">
              <w:rPr>
                <w:rFonts w:ascii="Arial" w:hAnsi="Arial" w:cs="Arial"/>
                <w:sz w:val="22"/>
                <w:szCs w:val="22"/>
                <w:lang w:val="en-GB"/>
              </w:rPr>
              <w:t xml:space="preserve"> reserved for GSM) until its amendment by the Directive 2009/114/EC of the European Parliament and of the Council of 16 September 2009. However, the UMTS900 support in terminal was already widespread before September 2009, as demonstrated by the Figure below.</w:t>
            </w:r>
          </w:p>
          <w:p w:rsidR="00186E42" w:rsidRPr="007F6BB9" w:rsidRDefault="00186E42" w:rsidP="00D81FBC">
            <w:pPr>
              <w:spacing w:before="60" w:after="60"/>
              <w:ind w:left="60"/>
              <w:jc w:val="center"/>
              <w:rPr>
                <w:rFonts w:ascii="Arial" w:hAnsi="Arial" w:cs="Arial"/>
                <w:noProof/>
                <w:sz w:val="22"/>
                <w:szCs w:val="22"/>
                <w:lang w:val="en-GB" w:eastAsia="en-US"/>
              </w:rPr>
            </w:pPr>
            <w:r w:rsidRPr="007C4428">
              <w:rPr>
                <w:rFonts w:ascii="Arial" w:hAnsi="Arial" w:cs="Arial"/>
                <w:noProof/>
                <w:sz w:val="22"/>
                <w:szCs w:val="22"/>
              </w:rPr>
              <w:pict>
                <v:shape id="Picture 4" o:spid="_x0000_i1026" type="#_x0000_t75" style="width:284.25pt;height:207.75pt;visibility:visible">
                  <v:imagedata r:id="rId8" o:title=""/>
                </v:shape>
              </w:pict>
            </w:r>
          </w:p>
          <w:p w:rsidR="00186E42" w:rsidRPr="00827005" w:rsidRDefault="00186E42" w:rsidP="00827005">
            <w:pPr>
              <w:keepNext/>
              <w:spacing w:before="60" w:after="60"/>
              <w:ind w:left="60"/>
              <w:jc w:val="center"/>
              <w:outlineLvl w:val="0"/>
              <w:rPr>
                <w:rFonts w:ascii="Arial" w:hAnsi="Arial" w:cs="Arial"/>
                <w:b/>
                <w:noProof/>
                <w:sz w:val="22"/>
                <w:szCs w:val="22"/>
                <w:lang w:val="en-GB" w:eastAsia="en-US"/>
              </w:rPr>
            </w:pPr>
            <w:r w:rsidRPr="00D54124">
              <w:rPr>
                <w:b/>
                <w:lang w:val="en-GB"/>
              </w:rPr>
              <w:t>Percentage of UMTS900 enabled terminals in monthly sales – EU5</w:t>
            </w:r>
            <w:r w:rsidRPr="00D54124">
              <w:rPr>
                <w:rStyle w:val="FootnoteReference"/>
                <w:rFonts w:ascii="Arial" w:hAnsi="Arial" w:cs="Arial"/>
                <w:b/>
                <w:noProof/>
                <w:sz w:val="22"/>
                <w:szCs w:val="22"/>
                <w:lang w:val="en-GB" w:eastAsia="en-US"/>
              </w:rPr>
              <w:footnoteReference w:id="1"/>
            </w:r>
          </w:p>
          <w:p w:rsidR="00186E42" w:rsidRPr="007F6BB9" w:rsidRDefault="00186E42" w:rsidP="00827005">
            <w:pPr>
              <w:spacing w:before="60" w:after="60"/>
              <w:ind w:left="60"/>
              <w:rPr>
                <w:rFonts w:ascii="Arial" w:hAnsi="Arial" w:cs="Arial"/>
                <w:sz w:val="22"/>
                <w:szCs w:val="22"/>
                <w:lang w:val="en-GB"/>
              </w:rPr>
            </w:pPr>
            <w:r w:rsidRPr="00D54124">
              <w:rPr>
                <w:rFonts w:ascii="Arial" w:hAnsi="Arial" w:cs="Arial"/>
                <w:sz w:val="22"/>
                <w:szCs w:val="22"/>
                <w:lang w:val="en-GB"/>
              </w:rPr>
              <w:t>In conclusion, the review of product availability for comparable bands in the past indicate that terminals and products are readily available</w:t>
            </w:r>
            <w:r>
              <w:rPr>
                <w:rFonts w:ascii="Arial" w:hAnsi="Arial" w:cs="Arial"/>
                <w:sz w:val="22"/>
                <w:szCs w:val="22"/>
                <w:lang w:val="en-GB"/>
              </w:rPr>
              <w:t xml:space="preserve"> quickly</w:t>
            </w:r>
            <w:r w:rsidRPr="00D54124">
              <w:rPr>
                <w:rFonts w:ascii="Arial" w:hAnsi="Arial" w:cs="Arial"/>
                <w:sz w:val="22"/>
                <w:szCs w:val="22"/>
                <w:lang w:val="en-GB"/>
              </w:rPr>
              <w:t xml:space="preserve"> following the adoption of a harmonised band plan and LRTCs, but are not available when these regulatory elements are missing.</w:t>
            </w:r>
          </w:p>
        </w:tc>
      </w:tr>
    </w:tbl>
    <w:p w:rsidR="00186E42" w:rsidRPr="00B64FFB" w:rsidRDefault="00186E42" w:rsidP="00827005">
      <w:pPr>
        <w:spacing w:after="200" w:line="276" w:lineRule="auto"/>
        <w:jc w:val="both"/>
        <w:rPr>
          <w:rFonts w:ascii="Arial" w:hAnsi="Arial"/>
          <w:lang w:val="en-US"/>
        </w:rPr>
      </w:pPr>
    </w:p>
    <w:sectPr w:rsidR="00186E42" w:rsidRPr="00B64FFB"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42" w:rsidRDefault="00186E42" w:rsidP="001F3A55">
      <w:r>
        <w:separator/>
      </w:r>
    </w:p>
  </w:endnote>
  <w:endnote w:type="continuationSeparator" w:id="0">
    <w:p w:rsidR="00186E42" w:rsidRDefault="00186E42"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42" w:rsidRDefault="00186E42" w:rsidP="001F3A55">
      <w:r>
        <w:separator/>
      </w:r>
    </w:p>
  </w:footnote>
  <w:footnote w:type="continuationSeparator" w:id="0">
    <w:p w:rsidR="00186E42" w:rsidRDefault="00186E42" w:rsidP="001F3A55">
      <w:r>
        <w:continuationSeparator/>
      </w:r>
    </w:p>
  </w:footnote>
  <w:footnote w:id="1">
    <w:p w:rsidR="00186E42" w:rsidRDefault="00186E42">
      <w:pPr>
        <w:pStyle w:val="FootnoteText"/>
      </w:pPr>
      <w:r>
        <w:rPr>
          <w:rStyle w:val="FootnoteReference"/>
        </w:rPr>
        <w:footnoteRef/>
      </w:r>
      <w:r>
        <w:t xml:space="preserve"> </w:t>
      </w:r>
      <w:r>
        <w:rPr>
          <w:lang w:val="en-US"/>
        </w:rPr>
        <w:t>Source: GFK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9467C2"/>
    <w:lvl w:ilvl="0">
      <w:numFmt w:val="decimal"/>
      <w:lvlText w:val="*"/>
      <w:lvlJc w:val="left"/>
      <w:rPr>
        <w:rFonts w:cs="Times New Roman"/>
      </w:rPr>
    </w:lvl>
  </w:abstractNum>
  <w:abstractNum w:abstractNumId="1">
    <w:nsid w:val="0316089F"/>
    <w:multiLevelType w:val="hybridMultilevel"/>
    <w:tmpl w:val="C46E44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ACD7BB7"/>
    <w:multiLevelType w:val="hybridMultilevel"/>
    <w:tmpl w:val="F096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4">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5">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1">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nsid w:val="51C95F24"/>
    <w:multiLevelType w:val="hybridMultilevel"/>
    <w:tmpl w:val="7582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5">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6"/>
  </w:num>
  <w:num w:numId="4">
    <w:abstractNumId w:val="5"/>
  </w:num>
  <w:num w:numId="5">
    <w:abstractNumId w:val="7"/>
  </w:num>
  <w:num w:numId="6">
    <w:abstractNumId w:val="15"/>
  </w:num>
  <w:num w:numId="7">
    <w:abstractNumId w:val="9"/>
  </w:num>
  <w:num w:numId="8">
    <w:abstractNumId w:val="8"/>
  </w:num>
  <w:num w:numId="9">
    <w:abstractNumId w:val="3"/>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abstractNumId w:val="12"/>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033A5"/>
    <w:rsid w:val="00036074"/>
    <w:rsid w:val="00041FAD"/>
    <w:rsid w:val="000C6600"/>
    <w:rsid w:val="00186E42"/>
    <w:rsid w:val="001964C3"/>
    <w:rsid w:val="001C604F"/>
    <w:rsid w:val="001F3A55"/>
    <w:rsid w:val="002142A2"/>
    <w:rsid w:val="00214719"/>
    <w:rsid w:val="002A160D"/>
    <w:rsid w:val="00302FB0"/>
    <w:rsid w:val="003122C0"/>
    <w:rsid w:val="00315993"/>
    <w:rsid w:val="00321F18"/>
    <w:rsid w:val="00336D21"/>
    <w:rsid w:val="00343FEF"/>
    <w:rsid w:val="00350870"/>
    <w:rsid w:val="0037628F"/>
    <w:rsid w:val="0039595B"/>
    <w:rsid w:val="003D7856"/>
    <w:rsid w:val="0051454C"/>
    <w:rsid w:val="00592EDB"/>
    <w:rsid w:val="005954BE"/>
    <w:rsid w:val="005A3D65"/>
    <w:rsid w:val="005C7409"/>
    <w:rsid w:val="005F3E5C"/>
    <w:rsid w:val="00604D5B"/>
    <w:rsid w:val="0060536A"/>
    <w:rsid w:val="00615160"/>
    <w:rsid w:val="006638FE"/>
    <w:rsid w:val="0069226D"/>
    <w:rsid w:val="006A0771"/>
    <w:rsid w:val="00723CAC"/>
    <w:rsid w:val="007654C6"/>
    <w:rsid w:val="00770899"/>
    <w:rsid w:val="007C1795"/>
    <w:rsid w:val="007C4428"/>
    <w:rsid w:val="007E5E95"/>
    <w:rsid w:val="007F6BB9"/>
    <w:rsid w:val="00815C49"/>
    <w:rsid w:val="00827005"/>
    <w:rsid w:val="00863663"/>
    <w:rsid w:val="00886EE0"/>
    <w:rsid w:val="00896E14"/>
    <w:rsid w:val="008D7845"/>
    <w:rsid w:val="008F7E72"/>
    <w:rsid w:val="00911F35"/>
    <w:rsid w:val="009258BB"/>
    <w:rsid w:val="00940CFE"/>
    <w:rsid w:val="00981DAD"/>
    <w:rsid w:val="00996C04"/>
    <w:rsid w:val="009A30E1"/>
    <w:rsid w:val="009B2A23"/>
    <w:rsid w:val="009D0705"/>
    <w:rsid w:val="009F42FB"/>
    <w:rsid w:val="00A33221"/>
    <w:rsid w:val="00A3734E"/>
    <w:rsid w:val="00A61969"/>
    <w:rsid w:val="00A81005"/>
    <w:rsid w:val="00A852DB"/>
    <w:rsid w:val="00A8638D"/>
    <w:rsid w:val="00A910A3"/>
    <w:rsid w:val="00A93546"/>
    <w:rsid w:val="00AE5BBB"/>
    <w:rsid w:val="00B64FFB"/>
    <w:rsid w:val="00B80619"/>
    <w:rsid w:val="00B85E85"/>
    <w:rsid w:val="00C32FE2"/>
    <w:rsid w:val="00C361D9"/>
    <w:rsid w:val="00C42868"/>
    <w:rsid w:val="00C44DFE"/>
    <w:rsid w:val="00C52747"/>
    <w:rsid w:val="00CC4F37"/>
    <w:rsid w:val="00CD4552"/>
    <w:rsid w:val="00CF0355"/>
    <w:rsid w:val="00CF613B"/>
    <w:rsid w:val="00D33BCE"/>
    <w:rsid w:val="00D54124"/>
    <w:rsid w:val="00D670E7"/>
    <w:rsid w:val="00D81FBC"/>
    <w:rsid w:val="00DB2C54"/>
    <w:rsid w:val="00DD1BFD"/>
    <w:rsid w:val="00E51D71"/>
    <w:rsid w:val="00E57725"/>
    <w:rsid w:val="00E72FC8"/>
    <w:rsid w:val="00EA60EF"/>
    <w:rsid w:val="00EB58D7"/>
    <w:rsid w:val="00EC2D30"/>
    <w:rsid w:val="00EE3899"/>
    <w:rsid w:val="00F124F8"/>
    <w:rsid w:val="00F35BEF"/>
    <w:rsid w:val="00F361D6"/>
    <w:rsid w:val="00FC217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214719"/>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uiPriority w:val="99"/>
    <w:qFormat/>
    <w:rsid w:val="00214719"/>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719"/>
    <w:rPr>
      <w:rFonts w:ascii="Calibri" w:hAnsi="Calibri"/>
      <w:b/>
      <w:kern w:val="32"/>
      <w:sz w:val="32"/>
      <w:lang w:val="fr-FR" w:eastAsia="fr-FR"/>
    </w:rPr>
  </w:style>
  <w:style w:type="character" w:customStyle="1" w:styleId="Heading3Char">
    <w:name w:val="Heading 3 Char"/>
    <w:basedOn w:val="DefaultParagraphFont"/>
    <w:link w:val="Heading3"/>
    <w:uiPriority w:val="99"/>
    <w:locked/>
    <w:rsid w:val="00214719"/>
    <w:rPr>
      <w:rFonts w:ascii="Calibri" w:hAnsi="Calibri"/>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214719"/>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214719"/>
    <w:rPr>
      <w:rFonts w:ascii="Arial" w:hAnsi="Arial"/>
      <w:sz w:val="24"/>
      <w:lang w:val="en-GB" w:eastAsia="en-GB"/>
    </w:rPr>
  </w:style>
  <w:style w:type="paragraph" w:customStyle="1" w:styleId="Elencoacolori-Colore11">
    <w:name w:val="Elenco a colori - Colore 11"/>
    <w:basedOn w:val="Normal"/>
    <w:uiPriority w:val="99"/>
    <w:rsid w:val="00214719"/>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214719"/>
    <w:rPr>
      <w:rFonts w:ascii="Tahoma" w:hAnsi="Tahoma"/>
      <w:sz w:val="16"/>
      <w:szCs w:val="16"/>
    </w:rPr>
  </w:style>
  <w:style w:type="character" w:customStyle="1" w:styleId="BalloonTextChar">
    <w:name w:val="Balloon Text Char"/>
    <w:basedOn w:val="DefaultParagraphFont"/>
    <w:link w:val="BalloonText"/>
    <w:uiPriority w:val="99"/>
    <w:locked/>
    <w:rsid w:val="00214719"/>
    <w:rPr>
      <w:rFonts w:ascii="Tahoma" w:hAnsi="Tahoma"/>
      <w:sz w:val="16"/>
      <w:lang w:val="fr-FR" w:eastAsia="fr-FR"/>
    </w:rPr>
  </w:style>
  <w:style w:type="character" w:styleId="Strong">
    <w:name w:val="Strong"/>
    <w:basedOn w:val="DefaultParagraphFont"/>
    <w:uiPriority w:val="99"/>
    <w:qFormat/>
    <w:rsid w:val="00214719"/>
    <w:rPr>
      <w:rFonts w:cs="Times New Roman"/>
      <w:b/>
    </w:rPr>
  </w:style>
  <w:style w:type="character" w:styleId="Hyperlink">
    <w:name w:val="Hyperlink"/>
    <w:basedOn w:val="DefaultParagraphFont"/>
    <w:uiPriority w:val="99"/>
    <w:rsid w:val="00214719"/>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basedOn w:val="DefaultParagraphFont"/>
    <w:link w:val="FootnoteText"/>
    <w:uiPriority w:val="99"/>
    <w:locked/>
    <w:rsid w:val="001F3A55"/>
    <w:rPr>
      <w:rFonts w:ascii="Calibri" w:hAnsi="Calibri"/>
      <w:lang w:val="en-GB" w:eastAsia="en-GB"/>
    </w:rPr>
  </w:style>
  <w:style w:type="character" w:styleId="FootnoteReference">
    <w:name w:val="footnote reference"/>
    <w:basedOn w:val="DefaultParagraphFont"/>
    <w:uiPriority w:val="99"/>
    <w:rsid w:val="001F3A55"/>
    <w:rPr>
      <w:rFonts w:cs="Times New Roman"/>
      <w:vertAlign w:val="superscript"/>
    </w:rPr>
  </w:style>
  <w:style w:type="paragraph" w:styleId="Caption">
    <w:name w:val="caption"/>
    <w:basedOn w:val="Normal"/>
    <w:next w:val="Normal"/>
    <w:uiPriority w:val="99"/>
    <w:qFormat/>
    <w:locked/>
    <w:rsid w:val="00D81FBC"/>
    <w:rPr>
      <w:b/>
      <w:bCs/>
      <w:sz w:val="20"/>
      <w:szCs w:val="20"/>
    </w:rPr>
  </w:style>
  <w:style w:type="character" w:styleId="CommentReference">
    <w:name w:val="annotation reference"/>
    <w:basedOn w:val="DefaultParagraphFont"/>
    <w:uiPriority w:val="99"/>
    <w:rsid w:val="00DD1BFD"/>
    <w:rPr>
      <w:rFonts w:cs="Times New Roman"/>
      <w:sz w:val="16"/>
      <w:szCs w:val="16"/>
    </w:rPr>
  </w:style>
  <w:style w:type="paragraph" w:styleId="CommentText">
    <w:name w:val="annotation text"/>
    <w:basedOn w:val="Normal"/>
    <w:link w:val="CommentTextChar"/>
    <w:uiPriority w:val="99"/>
    <w:rsid w:val="00DD1BFD"/>
    <w:rPr>
      <w:sz w:val="20"/>
      <w:szCs w:val="20"/>
    </w:rPr>
  </w:style>
  <w:style w:type="character" w:customStyle="1" w:styleId="CommentTextChar">
    <w:name w:val="Comment Text Char"/>
    <w:basedOn w:val="DefaultParagraphFont"/>
    <w:link w:val="CommentText"/>
    <w:uiPriority w:val="99"/>
    <w:locked/>
    <w:rsid w:val="00DD1BFD"/>
    <w:rPr>
      <w:rFonts w:cs="Times New Roman"/>
      <w:lang w:val="fr-FR" w:eastAsia="fr-FR"/>
    </w:rPr>
  </w:style>
  <w:style w:type="paragraph" w:styleId="CommentSubject">
    <w:name w:val="annotation subject"/>
    <w:basedOn w:val="CommentText"/>
    <w:next w:val="CommentText"/>
    <w:link w:val="CommentSubjectChar"/>
    <w:uiPriority w:val="99"/>
    <w:rsid w:val="00DD1BFD"/>
    <w:rPr>
      <w:b/>
      <w:bCs/>
    </w:rPr>
  </w:style>
  <w:style w:type="character" w:customStyle="1" w:styleId="CommentSubjectChar">
    <w:name w:val="Comment Subject Char"/>
    <w:basedOn w:val="CommentTextChar"/>
    <w:link w:val="CommentSubject"/>
    <w:uiPriority w:val="99"/>
    <w:locked/>
    <w:rsid w:val="00DD1BFD"/>
    <w:rPr>
      <w:b/>
      <w:bCs/>
    </w:rPr>
  </w:style>
</w:styles>
</file>

<file path=word/webSettings.xml><?xml version="1.0" encoding="utf-8"?>
<w:webSettings xmlns:r="http://schemas.openxmlformats.org/officeDocument/2006/relationships" xmlns:w="http://schemas.openxmlformats.org/wordprocessingml/2006/main">
  <w:divs>
    <w:div w:id="564493374">
      <w:marLeft w:val="0"/>
      <w:marRight w:val="0"/>
      <w:marTop w:val="0"/>
      <w:marBottom w:val="0"/>
      <w:divBdr>
        <w:top w:val="none" w:sz="0" w:space="0" w:color="auto"/>
        <w:left w:val="none" w:sz="0" w:space="0" w:color="auto"/>
        <w:bottom w:val="none" w:sz="0" w:space="0" w:color="auto"/>
        <w:right w:val="none" w:sz="0" w:space="0" w:color="auto"/>
      </w:divBdr>
    </w:div>
    <w:div w:id="564493380">
      <w:marLeft w:val="0"/>
      <w:marRight w:val="0"/>
      <w:marTop w:val="0"/>
      <w:marBottom w:val="0"/>
      <w:divBdr>
        <w:top w:val="none" w:sz="0" w:space="0" w:color="auto"/>
        <w:left w:val="none" w:sz="0" w:space="0" w:color="auto"/>
        <w:bottom w:val="none" w:sz="0" w:space="0" w:color="auto"/>
        <w:right w:val="none" w:sz="0" w:space="0" w:color="auto"/>
      </w:divBdr>
    </w:div>
    <w:div w:id="564493383">
      <w:marLeft w:val="0"/>
      <w:marRight w:val="0"/>
      <w:marTop w:val="0"/>
      <w:marBottom w:val="0"/>
      <w:divBdr>
        <w:top w:val="none" w:sz="0" w:space="0" w:color="auto"/>
        <w:left w:val="none" w:sz="0" w:space="0" w:color="auto"/>
        <w:bottom w:val="none" w:sz="0" w:space="0" w:color="auto"/>
        <w:right w:val="none" w:sz="0" w:space="0" w:color="auto"/>
      </w:divBdr>
      <w:divsChild>
        <w:div w:id="564493382">
          <w:marLeft w:val="0"/>
          <w:marRight w:val="0"/>
          <w:marTop w:val="0"/>
          <w:marBottom w:val="0"/>
          <w:divBdr>
            <w:top w:val="none" w:sz="0" w:space="0" w:color="auto"/>
            <w:left w:val="none" w:sz="0" w:space="0" w:color="auto"/>
            <w:bottom w:val="none" w:sz="0" w:space="0" w:color="auto"/>
            <w:right w:val="none" w:sz="0" w:space="0" w:color="auto"/>
          </w:divBdr>
          <w:divsChild>
            <w:div w:id="564493377">
              <w:marLeft w:val="0"/>
              <w:marRight w:val="0"/>
              <w:marTop w:val="0"/>
              <w:marBottom w:val="0"/>
              <w:divBdr>
                <w:top w:val="none" w:sz="0" w:space="0" w:color="auto"/>
                <w:left w:val="none" w:sz="0" w:space="0" w:color="auto"/>
                <w:bottom w:val="none" w:sz="0" w:space="0" w:color="auto"/>
                <w:right w:val="none" w:sz="0" w:space="0" w:color="auto"/>
              </w:divBdr>
              <w:divsChild>
                <w:div w:id="564493378">
                  <w:marLeft w:val="0"/>
                  <w:marRight w:val="0"/>
                  <w:marTop w:val="0"/>
                  <w:marBottom w:val="0"/>
                  <w:divBdr>
                    <w:top w:val="none" w:sz="0" w:space="0" w:color="auto"/>
                    <w:left w:val="none" w:sz="0" w:space="0" w:color="auto"/>
                    <w:bottom w:val="none" w:sz="0" w:space="0" w:color="auto"/>
                    <w:right w:val="none" w:sz="0" w:space="0" w:color="auto"/>
                  </w:divBdr>
                  <w:divsChild>
                    <w:div w:id="564493384">
                      <w:marLeft w:val="0"/>
                      <w:marRight w:val="-600"/>
                      <w:marTop w:val="0"/>
                      <w:marBottom w:val="0"/>
                      <w:divBdr>
                        <w:top w:val="none" w:sz="0" w:space="0" w:color="auto"/>
                        <w:left w:val="none" w:sz="0" w:space="0" w:color="auto"/>
                        <w:bottom w:val="none" w:sz="0" w:space="0" w:color="auto"/>
                        <w:right w:val="none" w:sz="0" w:space="0" w:color="auto"/>
                      </w:divBdr>
                      <w:divsChild>
                        <w:div w:id="564493379">
                          <w:marLeft w:val="0"/>
                          <w:marRight w:val="0"/>
                          <w:marTop w:val="0"/>
                          <w:marBottom w:val="0"/>
                          <w:divBdr>
                            <w:top w:val="none" w:sz="0" w:space="0" w:color="auto"/>
                            <w:left w:val="none" w:sz="0" w:space="0" w:color="auto"/>
                            <w:bottom w:val="none" w:sz="0" w:space="0" w:color="auto"/>
                            <w:right w:val="none" w:sz="0" w:space="0" w:color="auto"/>
                          </w:divBdr>
                          <w:divsChild>
                            <w:div w:id="564493385">
                              <w:marLeft w:val="0"/>
                              <w:marRight w:val="0"/>
                              <w:marTop w:val="0"/>
                              <w:marBottom w:val="0"/>
                              <w:divBdr>
                                <w:top w:val="none" w:sz="0" w:space="0" w:color="auto"/>
                                <w:left w:val="none" w:sz="0" w:space="0" w:color="auto"/>
                                <w:bottom w:val="none" w:sz="0" w:space="0" w:color="auto"/>
                                <w:right w:val="none" w:sz="0" w:space="0" w:color="auto"/>
                              </w:divBdr>
                              <w:divsChild>
                                <w:div w:id="564493376">
                                  <w:marLeft w:val="0"/>
                                  <w:marRight w:val="0"/>
                                  <w:marTop w:val="0"/>
                                  <w:marBottom w:val="0"/>
                                  <w:divBdr>
                                    <w:top w:val="none" w:sz="0" w:space="0" w:color="auto"/>
                                    <w:left w:val="none" w:sz="0" w:space="0" w:color="auto"/>
                                    <w:bottom w:val="none" w:sz="0" w:space="0" w:color="auto"/>
                                    <w:right w:val="none" w:sz="0" w:space="0" w:color="auto"/>
                                  </w:divBdr>
                                  <w:divsChild>
                                    <w:div w:id="564493375">
                                      <w:marLeft w:val="0"/>
                                      <w:marRight w:val="1860"/>
                                      <w:marTop w:val="0"/>
                                      <w:marBottom w:val="0"/>
                                      <w:divBdr>
                                        <w:top w:val="none" w:sz="0" w:space="0" w:color="auto"/>
                                        <w:left w:val="none" w:sz="0" w:space="0" w:color="auto"/>
                                        <w:bottom w:val="none" w:sz="0" w:space="0" w:color="auto"/>
                                        <w:right w:val="none" w:sz="0" w:space="0" w:color="auto"/>
                                      </w:divBdr>
                                      <w:divsChild>
                                        <w:div w:id="5644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1169</Words>
  <Characters>6430</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 Wolter</dc:creator>
  <cp:keywords/>
  <dc:description/>
  <cp:lastModifiedBy>Deschamps</cp:lastModifiedBy>
  <cp:revision>5</cp:revision>
  <cp:lastPrinted>2011-07-08T12:52:00Z</cp:lastPrinted>
  <dcterms:created xsi:type="dcterms:W3CDTF">2011-09-12T17:13:00Z</dcterms:created>
  <dcterms:modified xsi:type="dcterms:W3CDTF">2011-09-13T14:56:00Z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(2)6xU8Pcf1VcwSQOynKrDz2dgWE4nigCzHMvZaudjfTJjlWyYYQLQBNbEW6QEELUdKtHd1RCOjtO0idyGMUbfk1Bh3drJYbZehwZpWAQK991dSzGPsYO2DIu03E/VODPpf9Vw+yEgzf9xS2pQhkrPIwCzD/lWFrdRi1t/jVRkfOMToKg0+5iN04c/BtIj54N8aA99nHulNvouSmSbF5eefJYdxNGiLI2zuL87xnhoRAJ8I2</vt:lpwstr>
  </property>
  <property fmtid="{D5CDD505-2E9C-101B-9397-08002B2CF9AE}" pid="4" name="_ms_pID_7253431">
    <vt:lpwstr>kheXg+MK4kgWer1PLjkRqzl2i0dp3jbRVb2VTZS/dexSbPazy19KION7jYQQCzS2HnkfzG7PA8Etnop2rhC9pWjZVj5p013OI15cmdfsVKz51uo1rOr6gPXvO1OvcTQcDVXRd1wi14hl6U0odkPwJYu5QZhDsdXmmxsSsHnSfsoHPYcq8vpEy174tBEVL8=</vt:lpwstr>
  </property>
  <property fmtid="{D5CDD505-2E9C-101B-9397-08002B2CF9AE}" pid="5" name="sflag">
    <vt:lpwstr>1315747605</vt:lpwstr>
  </property>
</Properties>
</file>