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97" w:type="dxa"/>
        <w:tblLayout w:type="fixed"/>
        <w:tblLook w:val="0000"/>
      </w:tblPr>
      <w:tblGrid>
        <w:gridCol w:w="3502"/>
        <w:gridCol w:w="153"/>
        <w:gridCol w:w="148"/>
        <w:gridCol w:w="1701"/>
        <w:gridCol w:w="173"/>
        <w:gridCol w:w="1235"/>
        <w:gridCol w:w="1701"/>
        <w:gridCol w:w="284"/>
      </w:tblGrid>
      <w:tr w:rsidR="00202F31" w:rsidTr="002015EB">
        <w:tc>
          <w:tcPr>
            <w:tcW w:w="3655" w:type="dxa"/>
            <w:gridSpan w:val="2"/>
          </w:tcPr>
          <w:p w:rsidR="00202F31" w:rsidRDefault="00202F31">
            <w:pPr>
              <w:pageBreakBefore/>
              <w:snapToGrid w:val="0"/>
              <w:jc w:val="both"/>
              <w:rPr>
                <w:rFonts w:cs="Arial"/>
                <w:b/>
              </w:rPr>
            </w:pPr>
            <w:r w:rsidRPr="00864DAE">
              <w:rPr>
                <w:b/>
                <w:bCs/>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73.5pt" filled="t">
                  <v:fill color2="black"/>
                  <v:imagedata r:id="rId7" o:title=""/>
                </v:shape>
              </w:pict>
            </w:r>
          </w:p>
        </w:tc>
        <w:tc>
          <w:tcPr>
            <w:tcW w:w="3257" w:type="dxa"/>
            <w:gridSpan w:val="4"/>
          </w:tcPr>
          <w:p w:rsidR="00202F31" w:rsidRDefault="00202F31">
            <w:pPr>
              <w:snapToGrid w:val="0"/>
              <w:spacing w:after="0" w:line="100" w:lineRule="atLeast"/>
              <w:jc w:val="both"/>
              <w:rPr>
                <w:rFonts w:cs="Arial"/>
                <w:b/>
              </w:rPr>
            </w:pPr>
          </w:p>
          <w:p w:rsidR="00202F31" w:rsidRDefault="00202F31">
            <w:pPr>
              <w:spacing w:after="0" w:line="100" w:lineRule="atLeast"/>
              <w:jc w:val="both"/>
              <w:rPr>
                <w:rFonts w:cs="Arial"/>
                <w:b/>
              </w:rPr>
            </w:pPr>
          </w:p>
          <w:p w:rsidR="00202F31" w:rsidRDefault="00202F31">
            <w:pPr>
              <w:spacing w:after="0" w:line="100" w:lineRule="atLeast"/>
              <w:jc w:val="both"/>
              <w:rPr>
                <w:rFonts w:cs="Arial"/>
                <w:b/>
              </w:rPr>
            </w:pPr>
          </w:p>
          <w:p w:rsidR="00202F31" w:rsidRDefault="00202F31">
            <w:pPr>
              <w:spacing w:after="0" w:line="100" w:lineRule="atLeast"/>
              <w:jc w:val="both"/>
              <w:rPr>
                <w:rFonts w:cs="Arial"/>
                <w:b/>
              </w:rPr>
            </w:pPr>
            <w:r>
              <w:rPr>
                <w:rFonts w:cs="Arial"/>
                <w:b/>
              </w:rPr>
              <w:t>FM PT50, 2</w:t>
            </w:r>
            <w:r>
              <w:rPr>
                <w:rFonts w:cs="Arial"/>
                <w:b/>
                <w:vertAlign w:val="superscript"/>
              </w:rPr>
              <w:t>nd</w:t>
            </w:r>
            <w:r>
              <w:rPr>
                <w:rFonts w:cs="Arial"/>
                <w:b/>
              </w:rPr>
              <w:t xml:space="preserve"> meeting</w:t>
            </w:r>
          </w:p>
        </w:tc>
        <w:tc>
          <w:tcPr>
            <w:tcW w:w="1701" w:type="dxa"/>
          </w:tcPr>
          <w:p w:rsidR="00202F31" w:rsidRDefault="00202F31">
            <w:pPr>
              <w:snapToGrid w:val="0"/>
              <w:spacing w:after="0" w:line="100" w:lineRule="atLeast"/>
              <w:jc w:val="right"/>
              <w:rPr>
                <w:rFonts w:cs="Arial"/>
                <w:b/>
              </w:rPr>
            </w:pPr>
            <w:r>
              <w:rPr>
                <w:rFonts w:cs="Arial"/>
                <w:b/>
              </w:rPr>
              <w:t>FM50(11)039</w:t>
            </w:r>
          </w:p>
        </w:tc>
        <w:tc>
          <w:tcPr>
            <w:tcW w:w="284" w:type="dxa"/>
          </w:tcPr>
          <w:p w:rsidR="00202F31" w:rsidRDefault="00202F31">
            <w:pPr>
              <w:spacing w:after="0" w:line="100" w:lineRule="atLeast"/>
            </w:pPr>
          </w:p>
        </w:tc>
      </w:tr>
      <w:tr w:rsidR="00202F31" w:rsidTr="002015EB">
        <w:tc>
          <w:tcPr>
            <w:tcW w:w="8613" w:type="dxa"/>
            <w:gridSpan w:val="7"/>
          </w:tcPr>
          <w:p w:rsidR="00202F31" w:rsidRDefault="00202F31">
            <w:pPr>
              <w:snapToGrid w:val="0"/>
              <w:spacing w:after="0" w:line="100" w:lineRule="atLeast"/>
              <w:rPr>
                <w:rFonts w:cs="Arial"/>
                <w:b/>
              </w:rPr>
            </w:pPr>
            <w:r w:rsidRPr="00AF5F8A">
              <w:rPr>
                <w:rFonts w:cs="Arial"/>
                <w:b/>
              </w:rPr>
              <w:t>2</w:t>
            </w:r>
            <w:r>
              <w:rPr>
                <w:rFonts w:cs="Arial"/>
                <w:b/>
              </w:rPr>
              <w:t>0</w:t>
            </w:r>
            <w:r w:rsidRPr="00AF5F8A">
              <w:rPr>
                <w:rFonts w:cs="Arial"/>
                <w:b/>
              </w:rPr>
              <w:t xml:space="preserve"> – 2</w:t>
            </w:r>
            <w:r>
              <w:rPr>
                <w:rFonts w:cs="Arial"/>
                <w:b/>
              </w:rPr>
              <w:t>2</w:t>
            </w:r>
            <w:r w:rsidRPr="00AF5F8A">
              <w:rPr>
                <w:rFonts w:cs="Arial"/>
                <w:b/>
              </w:rPr>
              <w:t xml:space="preserve"> </w:t>
            </w:r>
            <w:r>
              <w:rPr>
                <w:rFonts w:cs="Arial"/>
                <w:b/>
              </w:rPr>
              <w:t>September</w:t>
            </w:r>
            <w:r w:rsidRPr="00AF5F8A">
              <w:rPr>
                <w:rFonts w:cs="Arial"/>
                <w:b/>
              </w:rPr>
              <w:t xml:space="preserve"> 2011, </w:t>
            </w:r>
            <w:smartTag w:uri="urn:schemas-microsoft-com:office:smarttags" w:element="place">
              <w:smartTag w:uri="urn:schemas-microsoft-com:office:smarttags" w:element="City">
                <w:r>
                  <w:rPr>
                    <w:rFonts w:cs="Arial"/>
                    <w:b/>
                  </w:rPr>
                  <w:t>Rome</w:t>
                </w:r>
              </w:smartTag>
              <w:r w:rsidRPr="00AF5F8A">
                <w:rPr>
                  <w:rFonts w:cs="Arial"/>
                  <w:b/>
                </w:rPr>
                <w:t xml:space="preserve">, </w:t>
              </w:r>
              <w:smartTag w:uri="urn:schemas-microsoft-com:office:smarttags" w:element="country-region">
                <w:r>
                  <w:rPr>
                    <w:rFonts w:cs="Arial"/>
                    <w:b/>
                  </w:rPr>
                  <w:t>Italy</w:t>
                </w:r>
              </w:smartTag>
            </w:smartTag>
          </w:p>
        </w:tc>
        <w:tc>
          <w:tcPr>
            <w:tcW w:w="284" w:type="dxa"/>
          </w:tcPr>
          <w:p w:rsidR="00202F31" w:rsidRDefault="00202F31">
            <w:pPr>
              <w:spacing w:after="0" w:line="100" w:lineRule="atLeast"/>
            </w:pPr>
          </w:p>
        </w:tc>
      </w:tr>
      <w:tr w:rsidR="00202F31" w:rsidTr="002015EB">
        <w:tc>
          <w:tcPr>
            <w:tcW w:w="3655" w:type="dxa"/>
            <w:gridSpan w:val="2"/>
          </w:tcPr>
          <w:p w:rsidR="00202F31" w:rsidRDefault="00202F31">
            <w:pPr>
              <w:snapToGrid w:val="0"/>
              <w:spacing w:after="0" w:line="100" w:lineRule="atLeast"/>
              <w:jc w:val="both"/>
              <w:rPr>
                <w:rFonts w:cs="Arial"/>
                <w:b/>
              </w:rPr>
            </w:pPr>
          </w:p>
        </w:tc>
        <w:tc>
          <w:tcPr>
            <w:tcW w:w="4958" w:type="dxa"/>
            <w:gridSpan w:val="5"/>
          </w:tcPr>
          <w:p w:rsidR="00202F31" w:rsidRDefault="00202F31">
            <w:pPr>
              <w:snapToGrid w:val="0"/>
              <w:spacing w:after="0" w:line="100" w:lineRule="atLeast"/>
              <w:jc w:val="both"/>
              <w:rPr>
                <w:rFonts w:cs="Arial"/>
                <w:b/>
              </w:rPr>
            </w:pPr>
          </w:p>
        </w:tc>
        <w:tc>
          <w:tcPr>
            <w:tcW w:w="284" w:type="dxa"/>
          </w:tcPr>
          <w:p w:rsidR="00202F31" w:rsidRDefault="00202F31">
            <w:pPr>
              <w:spacing w:after="0" w:line="100" w:lineRule="atLeast"/>
            </w:pPr>
          </w:p>
        </w:tc>
      </w:tr>
      <w:tr w:rsidR="00202F31" w:rsidTr="002015EB">
        <w:trPr>
          <w:cantSplit/>
        </w:trPr>
        <w:tc>
          <w:tcPr>
            <w:tcW w:w="8613" w:type="dxa"/>
            <w:gridSpan w:val="7"/>
          </w:tcPr>
          <w:p w:rsidR="00202F31" w:rsidRDefault="00202F31">
            <w:pPr>
              <w:tabs>
                <w:tab w:val="left" w:pos="1582"/>
              </w:tabs>
              <w:snapToGrid w:val="0"/>
              <w:spacing w:after="119" w:line="100" w:lineRule="atLeast"/>
              <w:jc w:val="both"/>
              <w:rPr>
                <w:rFonts w:cs="Arial"/>
                <w:b/>
              </w:rPr>
            </w:pPr>
            <w:r>
              <w:rPr>
                <w:rFonts w:cs="Arial"/>
                <w:b/>
              </w:rPr>
              <w:t>Date issued:</w:t>
            </w:r>
            <w:r>
              <w:rPr>
                <w:rFonts w:cs="Arial"/>
                <w:b/>
              </w:rPr>
              <w:tab/>
              <w:t>14th September 2011</w:t>
            </w:r>
          </w:p>
          <w:p w:rsidR="00202F31" w:rsidRDefault="00202F31">
            <w:pPr>
              <w:tabs>
                <w:tab w:val="left" w:pos="1582"/>
              </w:tabs>
              <w:spacing w:before="119" w:after="119" w:line="100" w:lineRule="atLeast"/>
              <w:jc w:val="both"/>
              <w:rPr>
                <w:rFonts w:cs="Arial"/>
                <w:b/>
              </w:rPr>
            </w:pPr>
            <w:r>
              <w:rPr>
                <w:rFonts w:cs="Arial"/>
                <w:b/>
              </w:rPr>
              <w:t>Source:</w:t>
            </w:r>
            <w:r>
              <w:rPr>
                <w:rFonts w:cs="Arial"/>
                <w:b/>
              </w:rPr>
              <w:tab/>
            </w:r>
            <w:smartTag w:uri="urn:schemas-microsoft-com:office:smarttags" w:element="place">
              <w:smartTag w:uri="urn:schemas-microsoft-com:office:smarttags" w:element="country-region">
                <w:r>
                  <w:rPr>
                    <w:rFonts w:cs="Arial"/>
                    <w:b/>
                  </w:rPr>
                  <w:t>United Kingdom</w:t>
                </w:r>
              </w:smartTag>
            </w:smartTag>
          </w:p>
          <w:p w:rsidR="00202F31" w:rsidRDefault="00202F31" w:rsidP="007B053C">
            <w:pPr>
              <w:tabs>
                <w:tab w:val="left" w:pos="1571"/>
              </w:tabs>
              <w:spacing w:before="119" w:after="119" w:line="100" w:lineRule="atLeast"/>
              <w:jc w:val="both"/>
              <w:rPr>
                <w:rFonts w:cs="Arial"/>
                <w:b/>
              </w:rPr>
            </w:pPr>
            <w:r>
              <w:rPr>
                <w:rFonts w:cs="Arial"/>
                <w:b/>
              </w:rPr>
              <w:t>Subject:</w:t>
            </w:r>
            <w:r>
              <w:rPr>
                <w:rFonts w:cs="Arial"/>
                <w:b/>
              </w:rPr>
              <w:tab/>
              <w:t>Regulatory Option for Impact Assessment.</w:t>
            </w:r>
          </w:p>
        </w:tc>
        <w:tc>
          <w:tcPr>
            <w:tcW w:w="284" w:type="dxa"/>
          </w:tcPr>
          <w:p w:rsidR="00202F31" w:rsidRDefault="00202F31">
            <w:pPr>
              <w:spacing w:after="0" w:line="100" w:lineRule="atLeast"/>
            </w:pPr>
          </w:p>
        </w:tc>
      </w:tr>
      <w:tr w:rsidR="00202F31" w:rsidTr="002015EB">
        <w:tblPrEx>
          <w:tblCellMar>
            <w:left w:w="0" w:type="dxa"/>
            <w:right w:w="0" w:type="dxa"/>
          </w:tblCellMar>
        </w:tblPrEx>
        <w:tc>
          <w:tcPr>
            <w:tcW w:w="3502" w:type="dxa"/>
          </w:tcPr>
          <w:p w:rsidR="00202F31" w:rsidRDefault="00202F31">
            <w:pPr>
              <w:tabs>
                <w:tab w:val="left" w:pos="2930"/>
              </w:tabs>
              <w:snapToGrid w:val="0"/>
              <w:spacing w:after="0"/>
              <w:jc w:val="both"/>
              <w:rPr>
                <w:rFonts w:cs="Arial"/>
                <w:b/>
              </w:rPr>
            </w:pPr>
            <w:r>
              <w:rPr>
                <w:rFonts w:cs="Arial"/>
                <w:b/>
              </w:rPr>
              <w:t>Password protected:</w:t>
            </w:r>
            <w:r>
              <w:rPr>
                <w:rFonts w:cs="Arial"/>
                <w:b/>
              </w:rPr>
              <w:tab/>
              <w:t>yes</w:t>
            </w:r>
          </w:p>
        </w:tc>
        <w:tc>
          <w:tcPr>
            <w:tcW w:w="301" w:type="dxa"/>
            <w:gridSpan w:val="2"/>
            <w:tcBorders>
              <w:top w:val="single" w:sz="4" w:space="0" w:color="000000"/>
              <w:left w:val="single" w:sz="4" w:space="0" w:color="000000"/>
              <w:bottom w:val="single" w:sz="4" w:space="0" w:color="000000"/>
            </w:tcBorders>
          </w:tcPr>
          <w:p w:rsidR="00202F31" w:rsidRDefault="00202F31">
            <w:pPr>
              <w:snapToGrid w:val="0"/>
              <w:spacing w:after="0" w:line="100" w:lineRule="atLeast"/>
              <w:jc w:val="both"/>
              <w:rPr>
                <w:rFonts w:cs="Arial"/>
                <w:b/>
              </w:rPr>
            </w:pPr>
          </w:p>
        </w:tc>
        <w:tc>
          <w:tcPr>
            <w:tcW w:w="1701" w:type="dxa"/>
            <w:tcBorders>
              <w:left w:val="single" w:sz="4" w:space="0" w:color="000000"/>
            </w:tcBorders>
          </w:tcPr>
          <w:p w:rsidR="00202F31" w:rsidRDefault="00202F31">
            <w:pPr>
              <w:tabs>
                <w:tab w:val="left" w:pos="1130"/>
              </w:tabs>
              <w:snapToGrid w:val="0"/>
              <w:spacing w:after="0" w:line="100" w:lineRule="atLeast"/>
              <w:jc w:val="both"/>
              <w:rPr>
                <w:rFonts w:cs="Arial"/>
                <w:b/>
              </w:rPr>
            </w:pPr>
            <w:r>
              <w:rPr>
                <w:rFonts w:cs="Arial"/>
                <w:b/>
              </w:rPr>
              <w:tab/>
              <w:t>No</w:t>
            </w:r>
          </w:p>
        </w:tc>
        <w:tc>
          <w:tcPr>
            <w:tcW w:w="173" w:type="dxa"/>
            <w:tcBorders>
              <w:top w:val="single" w:sz="4" w:space="0" w:color="000000"/>
              <w:left w:val="single" w:sz="4" w:space="0" w:color="000000"/>
              <w:bottom w:val="single" w:sz="4" w:space="0" w:color="000000"/>
            </w:tcBorders>
          </w:tcPr>
          <w:p w:rsidR="00202F31" w:rsidRDefault="00202F31">
            <w:pPr>
              <w:snapToGrid w:val="0"/>
              <w:spacing w:after="0" w:line="100" w:lineRule="atLeast"/>
              <w:jc w:val="both"/>
              <w:rPr>
                <w:rFonts w:cs="Arial"/>
                <w:b/>
              </w:rPr>
            </w:pPr>
            <w:r>
              <w:rPr>
                <w:rFonts w:cs="Arial"/>
                <w:b/>
              </w:rPr>
              <w:t>x</w:t>
            </w:r>
          </w:p>
        </w:tc>
        <w:tc>
          <w:tcPr>
            <w:tcW w:w="3220" w:type="dxa"/>
            <w:gridSpan w:val="3"/>
            <w:tcBorders>
              <w:left w:val="single" w:sz="4" w:space="0" w:color="000000"/>
            </w:tcBorders>
          </w:tcPr>
          <w:p w:rsidR="00202F31" w:rsidRDefault="00202F31">
            <w:pPr>
              <w:snapToGrid w:val="0"/>
              <w:spacing w:after="0" w:line="100" w:lineRule="atLeast"/>
              <w:rPr>
                <w:rFonts w:cs="Arial"/>
                <w:b/>
                <w:sz w:val="20"/>
              </w:rPr>
            </w:pPr>
          </w:p>
        </w:tc>
      </w:tr>
    </w:tbl>
    <w:p w:rsidR="00202F31" w:rsidRDefault="00202F31">
      <w:pPr>
        <w:spacing w:after="0" w:line="100" w:lineRule="atLeast"/>
        <w:jc w:val="both"/>
      </w:pPr>
    </w:p>
    <w:p w:rsidR="00202F31" w:rsidRDefault="00202F31">
      <w:pPr>
        <w:spacing w:after="0" w:line="100" w:lineRule="atLeast"/>
        <w:jc w:val="both"/>
      </w:pPr>
    </w:p>
    <w:tbl>
      <w:tblPr>
        <w:tblW w:w="8894" w:type="dxa"/>
        <w:tblInd w:w="3" w:type="dxa"/>
        <w:tblLayout w:type="fixed"/>
        <w:tblLook w:val="0000"/>
      </w:tblPr>
      <w:tblGrid>
        <w:gridCol w:w="8894"/>
      </w:tblGrid>
      <w:tr w:rsidR="00202F31" w:rsidTr="002015EB">
        <w:tc>
          <w:tcPr>
            <w:tcW w:w="8894" w:type="dxa"/>
            <w:tcBorders>
              <w:top w:val="single" w:sz="4" w:space="0" w:color="000000"/>
              <w:left w:val="single" w:sz="4" w:space="0" w:color="000000"/>
              <w:bottom w:val="single" w:sz="4" w:space="0" w:color="000000"/>
              <w:right w:val="single" w:sz="4" w:space="0" w:color="000000"/>
            </w:tcBorders>
          </w:tcPr>
          <w:p w:rsidR="00202F31" w:rsidRDefault="00202F31">
            <w:pPr>
              <w:snapToGrid w:val="0"/>
              <w:spacing w:after="0" w:line="100" w:lineRule="atLeast"/>
              <w:rPr>
                <w:rFonts w:cs="Arial"/>
                <w:b/>
                <w:sz w:val="20"/>
                <w:szCs w:val="20"/>
              </w:rPr>
            </w:pPr>
          </w:p>
          <w:p w:rsidR="00202F31" w:rsidRDefault="00202F31">
            <w:pPr>
              <w:keepNext/>
              <w:spacing w:after="0" w:line="100" w:lineRule="atLeast"/>
              <w:rPr>
                <w:rFonts w:cs="Arial"/>
                <w:b/>
                <w:szCs w:val="20"/>
              </w:rPr>
            </w:pPr>
            <w:r>
              <w:rPr>
                <w:rFonts w:cs="Arial"/>
                <w:b/>
                <w:szCs w:val="20"/>
              </w:rPr>
              <w:t>Summary</w:t>
            </w:r>
          </w:p>
          <w:p w:rsidR="00202F31" w:rsidRDefault="00202F31">
            <w:pPr>
              <w:spacing w:after="0" w:line="100" w:lineRule="atLeast"/>
              <w:rPr>
                <w:rFonts w:cs="Arial"/>
                <w:b/>
                <w:szCs w:val="20"/>
              </w:rPr>
            </w:pPr>
          </w:p>
          <w:p w:rsidR="00202F31" w:rsidRDefault="00202F31">
            <w:pPr>
              <w:keepNext/>
              <w:spacing w:after="0" w:line="100" w:lineRule="atLeast"/>
              <w:rPr>
                <w:rFonts w:cs="Arial"/>
              </w:rPr>
            </w:pPr>
            <w:r>
              <w:rPr>
                <w:rFonts w:cs="Arial"/>
              </w:rPr>
              <w:t>This document contains text for a regulatory option to be entered into the draft impact assessment. This would be an option for Least Restrictive Technical Conditions.</w:t>
            </w:r>
          </w:p>
          <w:p w:rsidR="00202F31" w:rsidRDefault="00202F31">
            <w:pPr>
              <w:autoSpaceDE w:val="0"/>
              <w:spacing w:after="0" w:line="100" w:lineRule="atLeast"/>
              <w:rPr>
                <w:rFonts w:cs="Arial"/>
                <w:sz w:val="20"/>
                <w:szCs w:val="20"/>
              </w:rPr>
            </w:pPr>
          </w:p>
        </w:tc>
      </w:tr>
      <w:tr w:rsidR="00202F31" w:rsidTr="002015EB">
        <w:tc>
          <w:tcPr>
            <w:tcW w:w="8894" w:type="dxa"/>
            <w:tcBorders>
              <w:top w:val="single" w:sz="4" w:space="0" w:color="000000"/>
              <w:left w:val="single" w:sz="4" w:space="0" w:color="000000"/>
              <w:bottom w:val="single" w:sz="4" w:space="0" w:color="000000"/>
              <w:right w:val="single" w:sz="4" w:space="0" w:color="000000"/>
            </w:tcBorders>
          </w:tcPr>
          <w:p w:rsidR="00202F31" w:rsidRDefault="00202F31">
            <w:pPr>
              <w:keepNext/>
              <w:snapToGrid w:val="0"/>
              <w:spacing w:after="0" w:line="100" w:lineRule="atLeast"/>
              <w:rPr>
                <w:rFonts w:cs="Arial"/>
                <w:b/>
                <w:sz w:val="20"/>
                <w:szCs w:val="20"/>
              </w:rPr>
            </w:pPr>
          </w:p>
          <w:p w:rsidR="00202F31" w:rsidRDefault="00202F31">
            <w:pPr>
              <w:keepNext/>
              <w:spacing w:after="0" w:line="100" w:lineRule="atLeast"/>
              <w:rPr>
                <w:rFonts w:cs="Arial"/>
                <w:b/>
                <w:szCs w:val="20"/>
              </w:rPr>
            </w:pPr>
            <w:r>
              <w:rPr>
                <w:rFonts w:cs="Arial"/>
                <w:b/>
                <w:szCs w:val="20"/>
              </w:rPr>
              <w:t>Proposal</w:t>
            </w:r>
          </w:p>
          <w:p w:rsidR="00202F31" w:rsidRDefault="00202F31">
            <w:pPr>
              <w:spacing w:after="0" w:line="100" w:lineRule="atLeast"/>
              <w:rPr>
                <w:rFonts w:cs="Arial"/>
                <w:sz w:val="20"/>
                <w:szCs w:val="20"/>
              </w:rPr>
            </w:pPr>
          </w:p>
          <w:p w:rsidR="00202F31" w:rsidRDefault="00202F31">
            <w:pPr>
              <w:spacing w:after="0" w:line="100" w:lineRule="atLeast"/>
              <w:rPr>
                <w:rFonts w:cs="Arial"/>
              </w:rPr>
            </w:pPr>
            <w:r>
              <w:rPr>
                <w:rFonts w:cs="Arial"/>
              </w:rPr>
              <w:t>It is proposed for FM50 to include LRTC as a regulatory option that will capture a number, if not all, of the proposed candidate applications that are to be detailed in the Impact Assessment.</w:t>
            </w:r>
          </w:p>
          <w:p w:rsidR="00202F31" w:rsidRDefault="00202F31">
            <w:pPr>
              <w:spacing w:after="0" w:line="100" w:lineRule="atLeast"/>
              <w:rPr>
                <w:rFonts w:cs="Arial"/>
              </w:rPr>
            </w:pPr>
          </w:p>
          <w:p w:rsidR="00202F31" w:rsidRDefault="00202F31">
            <w:pPr>
              <w:spacing w:after="0" w:line="100" w:lineRule="atLeast"/>
              <w:rPr>
                <w:rFonts w:cs="Arial"/>
              </w:rPr>
            </w:pPr>
            <w:r>
              <w:rPr>
                <w:rFonts w:cs="Arial"/>
              </w:rPr>
              <w:t>FM50 would need to consider whether this would mean completely removing the provisions of the Maastricht Agreement, or just further liberalisation within the bounds of this agreement (e.g. allowing any use which fits within its technical bounds), would be sufficient. However at this stage it is not clear whether changes are, in fact, required.</w:t>
            </w:r>
          </w:p>
          <w:p w:rsidR="00202F31" w:rsidRDefault="00202F31">
            <w:pPr>
              <w:spacing w:after="0" w:line="100" w:lineRule="atLeast"/>
              <w:rPr>
                <w:rFonts w:cs="Arial"/>
              </w:rPr>
            </w:pPr>
          </w:p>
          <w:p w:rsidR="00202F31" w:rsidRDefault="00202F31">
            <w:pPr>
              <w:spacing w:after="0" w:line="100" w:lineRule="atLeast"/>
              <w:rPr>
                <w:rFonts w:cs="Arial"/>
              </w:rPr>
            </w:pPr>
            <w:r>
              <w:rPr>
                <w:rFonts w:cs="Arial"/>
              </w:rPr>
              <w:t>The cost benefit of this approach is discussed in detail, supported with some qualitative analysis.</w:t>
            </w:r>
          </w:p>
          <w:p w:rsidR="00202F31" w:rsidRDefault="00202F31">
            <w:pPr>
              <w:spacing w:after="0" w:line="100" w:lineRule="atLeast"/>
              <w:rPr>
                <w:rFonts w:cs="Arial"/>
              </w:rPr>
            </w:pPr>
          </w:p>
          <w:p w:rsidR="00202F31" w:rsidRDefault="00202F31" w:rsidP="002015EB">
            <w:pPr>
              <w:pStyle w:val="SectionLevel3"/>
              <w:ind w:left="0" w:firstLine="0"/>
              <w:rPr>
                <w:rFonts w:cs="Arial"/>
                <w:sz w:val="20"/>
                <w:szCs w:val="20"/>
              </w:rPr>
            </w:pPr>
            <w:r w:rsidRPr="00D017DB">
              <w:rPr>
                <w:color w:val="auto"/>
              </w:rPr>
              <w:t>This suggests that the benefits of technology and application neutrality are larger and/or more likely to occur than the potential costs. It is considered that the reservation of particular bands exclusively for particular technologies or services is a highly intrusive measure that can carry very high costs and should only be taken where there is a compelling justification. This does not appear to be the case for the L-band, particularly where the clear regulatory environment that currently exists, has not actually lead to services and applications being deployed in useful numbers.</w:t>
            </w:r>
          </w:p>
        </w:tc>
      </w:tr>
      <w:tr w:rsidR="00202F31" w:rsidTr="002015EB">
        <w:tc>
          <w:tcPr>
            <w:tcW w:w="8894" w:type="dxa"/>
            <w:tcBorders>
              <w:top w:val="single" w:sz="4" w:space="0" w:color="000000"/>
              <w:left w:val="single" w:sz="4" w:space="0" w:color="000000"/>
              <w:bottom w:val="single" w:sz="4" w:space="0" w:color="000000"/>
              <w:right w:val="single" w:sz="4" w:space="0" w:color="000000"/>
            </w:tcBorders>
          </w:tcPr>
          <w:p w:rsidR="00202F31" w:rsidRDefault="00202F31">
            <w:pPr>
              <w:keepNext/>
              <w:snapToGrid w:val="0"/>
              <w:spacing w:after="0" w:line="100" w:lineRule="atLeast"/>
              <w:rPr>
                <w:rFonts w:cs="Arial"/>
                <w:b/>
                <w:sz w:val="20"/>
                <w:szCs w:val="20"/>
              </w:rPr>
            </w:pPr>
          </w:p>
          <w:p w:rsidR="00202F31" w:rsidRDefault="00202F31">
            <w:pPr>
              <w:keepNext/>
              <w:spacing w:after="0" w:line="100" w:lineRule="atLeast"/>
              <w:rPr>
                <w:b/>
                <w:szCs w:val="20"/>
              </w:rPr>
            </w:pPr>
            <w:r>
              <w:rPr>
                <w:b/>
                <w:szCs w:val="20"/>
              </w:rPr>
              <w:t>Background</w:t>
            </w:r>
          </w:p>
          <w:p w:rsidR="00202F31" w:rsidRDefault="00202F31">
            <w:pPr>
              <w:spacing w:after="0" w:line="100" w:lineRule="atLeast"/>
              <w:rPr>
                <w:rFonts w:cs="Arial"/>
                <w:sz w:val="20"/>
                <w:szCs w:val="20"/>
              </w:rPr>
            </w:pPr>
          </w:p>
          <w:p w:rsidR="00202F31" w:rsidRDefault="00202F31">
            <w:pPr>
              <w:spacing w:after="0" w:line="100" w:lineRule="atLeast"/>
              <w:rPr>
                <w:rFonts w:cs="Arial"/>
              </w:rPr>
            </w:pPr>
            <w:r>
              <w:rPr>
                <w:rFonts w:cs="Arial"/>
              </w:rPr>
              <w:t>At the first meeting of FM50 it was concluded that LRTC's are not a candidate application, but that they are a regulatory option. Stage 3 has been identified for Regulatory Options..</w:t>
            </w:r>
          </w:p>
          <w:p w:rsidR="00202F31" w:rsidRDefault="00202F31">
            <w:pPr>
              <w:spacing w:after="0" w:line="100" w:lineRule="atLeast"/>
              <w:rPr>
                <w:rFonts w:cs="Arial"/>
              </w:rPr>
            </w:pPr>
          </w:p>
        </w:tc>
      </w:tr>
    </w:tbl>
    <w:p w:rsidR="00202F31" w:rsidRDefault="00202F31">
      <w:pPr>
        <w:spacing w:after="0" w:line="100" w:lineRule="atLeast"/>
        <w:jc w:val="both"/>
        <w:sectPr w:rsidR="00202F31" w:rsidSect="002015EB">
          <w:headerReference w:type="even" r:id="rId8"/>
          <w:headerReference w:type="default" r:id="rId9"/>
          <w:footerReference w:type="even" r:id="rId10"/>
          <w:footerReference w:type="default" r:id="rId11"/>
          <w:headerReference w:type="first" r:id="rId12"/>
          <w:footerReference w:type="first" r:id="rId13"/>
          <w:pgSz w:w="11907" w:h="16840" w:code="9"/>
          <w:pgMar w:top="1440" w:right="1800" w:bottom="1440" w:left="1800" w:header="720" w:footer="720" w:gutter="0"/>
          <w:cols w:space="720"/>
          <w:docGrid w:linePitch="240" w:charSpace="36864"/>
        </w:sectPr>
      </w:pPr>
    </w:p>
    <w:p w:rsidR="00202F31" w:rsidRDefault="00202F31">
      <w:pPr>
        <w:spacing w:after="0" w:line="100" w:lineRule="atLeast"/>
        <w:jc w:val="both"/>
      </w:pPr>
    </w:p>
    <w:p w:rsidR="00202F31" w:rsidRPr="00D017DB" w:rsidRDefault="00202F31" w:rsidP="00353912">
      <w:pPr>
        <w:pStyle w:val="SectionLevel2"/>
        <w:numPr>
          <w:ilvl w:val="2"/>
          <w:numId w:val="0"/>
        </w:numPr>
        <w:tabs>
          <w:tab w:val="num" w:pos="0"/>
        </w:tabs>
        <w:suppressAutoHyphens w:val="0"/>
        <w:outlineLvl w:val="9"/>
        <w:rPr>
          <w:color w:val="auto"/>
        </w:rPr>
      </w:pPr>
      <w:r w:rsidRPr="00D017DB">
        <w:rPr>
          <w:color w:val="auto"/>
        </w:rPr>
        <w:t>Stage 3: regulatory options</w:t>
      </w:r>
    </w:p>
    <w:p w:rsidR="00202F31" w:rsidRPr="00D017DB" w:rsidRDefault="00202F31" w:rsidP="00353912">
      <w:pPr>
        <w:pStyle w:val="SectionLevel2"/>
        <w:numPr>
          <w:ilvl w:val="2"/>
          <w:numId w:val="0"/>
        </w:numPr>
        <w:tabs>
          <w:tab w:val="num" w:pos="0"/>
        </w:tabs>
        <w:suppressAutoHyphens w:val="0"/>
        <w:outlineLvl w:val="9"/>
        <w:rPr>
          <w:color w:val="auto"/>
        </w:rPr>
      </w:pPr>
      <w:r w:rsidRPr="00D017DB">
        <w:rPr>
          <w:color w:val="auto"/>
        </w:rPr>
        <w:t>[No.TBD] Least Restrictive Technical Conditions (LRTC)</w:t>
      </w:r>
    </w:p>
    <w:p w:rsidR="00202F31" w:rsidRDefault="00202F31" w:rsidP="000725C3">
      <w:pPr>
        <w:pStyle w:val="SectionLevel3"/>
        <w:numPr>
          <w:ilvl w:val="3"/>
          <w:numId w:val="0"/>
        </w:numPr>
        <w:tabs>
          <w:tab w:val="num" w:pos="0"/>
        </w:tabs>
        <w:suppressAutoHyphens w:val="0"/>
        <w:outlineLvl w:val="9"/>
        <w:rPr>
          <w:color w:val="auto"/>
        </w:rPr>
      </w:pPr>
      <w:r w:rsidRPr="00D017DB">
        <w:rPr>
          <w:color w:val="auto"/>
          <w:highlight w:val="yellow"/>
        </w:rPr>
        <w:t xml:space="preserve">[At this stage </w:t>
      </w:r>
      <w:r>
        <w:rPr>
          <w:color w:val="auto"/>
          <w:highlight w:val="yellow"/>
        </w:rPr>
        <w:t>it is not yet</w:t>
      </w:r>
      <w:r w:rsidRPr="00D017DB">
        <w:rPr>
          <w:color w:val="auto"/>
          <w:highlight w:val="yellow"/>
        </w:rPr>
        <w:t xml:space="preserve"> consider</w:t>
      </w:r>
      <w:r>
        <w:rPr>
          <w:color w:val="auto"/>
          <w:highlight w:val="yellow"/>
        </w:rPr>
        <w:t>ed</w:t>
      </w:r>
      <w:r w:rsidRPr="00D017DB">
        <w:rPr>
          <w:color w:val="auto"/>
          <w:highlight w:val="yellow"/>
        </w:rPr>
        <w:t xml:space="preserve"> whether this would mean completely removing the provisions of the Maastricht Agreement, or just further liberalisation within the bounds of this agreement (e.g. allowing any use which fits within its technical bounds)</w:t>
      </w:r>
      <w:r>
        <w:rPr>
          <w:color w:val="auto"/>
          <w:highlight w:val="yellow"/>
        </w:rPr>
        <w:t>, is required.</w:t>
      </w:r>
      <w:r w:rsidRPr="00D017DB">
        <w:rPr>
          <w:color w:val="auto"/>
          <w:highlight w:val="yellow"/>
        </w:rPr>
        <w:t>]</w:t>
      </w:r>
    </w:p>
    <w:p w:rsidR="00202F31" w:rsidRDefault="00202F31" w:rsidP="000725C3">
      <w:pPr>
        <w:pStyle w:val="SectionLevel3"/>
        <w:numPr>
          <w:ilvl w:val="3"/>
          <w:numId w:val="0"/>
        </w:numPr>
        <w:tabs>
          <w:tab w:val="num" w:pos="0"/>
        </w:tabs>
        <w:suppressAutoHyphens w:val="0"/>
        <w:outlineLvl w:val="9"/>
        <w:rPr>
          <w:color w:val="auto"/>
        </w:rPr>
      </w:pPr>
      <w:r>
        <w:rPr>
          <w:color w:val="auto"/>
        </w:rPr>
        <w:t>The use of LRTCs</w:t>
      </w:r>
      <w:r w:rsidRPr="00D017DB">
        <w:rPr>
          <w:color w:val="auto"/>
        </w:rPr>
        <w:t xml:space="preserve"> </w:t>
      </w:r>
      <w:r>
        <w:rPr>
          <w:color w:val="auto"/>
        </w:rPr>
        <w:t xml:space="preserve">is based on the </w:t>
      </w:r>
      <w:r w:rsidRPr="00D017DB">
        <w:rPr>
          <w:color w:val="auto"/>
        </w:rPr>
        <w:t>principle that the</w:t>
      </w:r>
      <w:r>
        <w:rPr>
          <w:color w:val="auto"/>
        </w:rPr>
        <w:t>y</w:t>
      </w:r>
      <w:r w:rsidRPr="00D017DB">
        <w:rPr>
          <w:color w:val="auto"/>
        </w:rPr>
        <w:t xml:space="preserve"> are constructed in such a way that they merely address the technical compatibility issues (e.g. adjacent band use and compliance with, where necessary, existing international and/or regional agreements).</w:t>
      </w:r>
    </w:p>
    <w:p w:rsidR="00202F31" w:rsidRDefault="00202F31" w:rsidP="000725C3">
      <w:pPr>
        <w:pStyle w:val="SectionLevel3"/>
        <w:numPr>
          <w:ilvl w:val="3"/>
          <w:numId w:val="0"/>
        </w:numPr>
        <w:tabs>
          <w:tab w:val="num" w:pos="0"/>
        </w:tabs>
        <w:suppressAutoHyphens w:val="0"/>
        <w:outlineLvl w:val="9"/>
        <w:rPr>
          <w:color w:val="auto"/>
        </w:rPr>
      </w:pPr>
      <w:r w:rsidRPr="00D017DB">
        <w:rPr>
          <w:color w:val="auto"/>
        </w:rPr>
        <w:t>This option would permit authorised users use of the band for any of the applications documented</w:t>
      </w:r>
      <w:r>
        <w:rPr>
          <w:color w:val="auto"/>
        </w:rPr>
        <w:t>.</w:t>
      </w:r>
      <w:r w:rsidRPr="00D017DB">
        <w:rPr>
          <w:color w:val="auto"/>
        </w:rPr>
        <w:t xml:space="preserve"> </w:t>
      </w:r>
      <w:r>
        <w:rPr>
          <w:color w:val="auto"/>
        </w:rPr>
        <w:t xml:space="preserve"> O</w:t>
      </w:r>
      <w:r w:rsidRPr="00D017DB">
        <w:rPr>
          <w:color w:val="auto"/>
        </w:rPr>
        <w:t xml:space="preserve">perators would have the maximum possible flexibility to determine the use of the band. In reality even the least restrictive licence conditions may prevent some applications or combinations of applications, but this will not be clear until further examination is made of what exactly these conditions are, but in any case the exclusion would only be on the basis that the </w:t>
      </w:r>
      <w:r>
        <w:rPr>
          <w:color w:val="auto"/>
        </w:rPr>
        <w:t xml:space="preserve">application excluded </w:t>
      </w:r>
      <w:r w:rsidRPr="00D017DB">
        <w:rPr>
          <w:color w:val="auto"/>
        </w:rPr>
        <w:t>meant they breeched the technical conditions</w:t>
      </w:r>
      <w:r>
        <w:rPr>
          <w:color w:val="auto"/>
        </w:rPr>
        <w:t xml:space="preserve">, and this might be in general and not just because </w:t>
      </w:r>
      <w:r w:rsidRPr="00D017DB">
        <w:rPr>
          <w:color w:val="auto"/>
        </w:rPr>
        <w:t>LRTCs</w:t>
      </w:r>
      <w:r>
        <w:rPr>
          <w:color w:val="auto"/>
        </w:rPr>
        <w:t xml:space="preserve"> were being used</w:t>
      </w:r>
      <w:r w:rsidRPr="00D017DB">
        <w:rPr>
          <w:color w:val="auto"/>
        </w:rPr>
        <w:t>.</w:t>
      </w:r>
    </w:p>
    <w:p w:rsidR="00202F31" w:rsidRDefault="00202F31" w:rsidP="000725C3">
      <w:pPr>
        <w:pStyle w:val="SectionLevel3"/>
        <w:numPr>
          <w:ilvl w:val="3"/>
          <w:numId w:val="0"/>
        </w:numPr>
        <w:tabs>
          <w:tab w:val="num" w:pos="0"/>
        </w:tabs>
        <w:suppressAutoHyphens w:val="0"/>
        <w:outlineLvl w:val="9"/>
        <w:rPr>
          <w:color w:val="auto"/>
        </w:rPr>
      </w:pPr>
      <w:r w:rsidRPr="00D017DB">
        <w:rPr>
          <w:color w:val="auto"/>
        </w:rPr>
        <w:t>Assessment is illustrated by comparing the technology and application neutral approach to an approach where the L-band is reserved for use by one particular (unspecified) application.</w:t>
      </w:r>
    </w:p>
    <w:p w:rsidR="00202F31" w:rsidRPr="00D017DB" w:rsidRDefault="00202F31" w:rsidP="00353912">
      <w:pPr>
        <w:pStyle w:val="SectionLevel3"/>
        <w:numPr>
          <w:ilvl w:val="3"/>
          <w:numId w:val="0"/>
        </w:numPr>
        <w:tabs>
          <w:tab w:val="num" w:pos="0"/>
        </w:tabs>
        <w:suppressAutoHyphens w:val="0"/>
        <w:ind w:left="720" w:hanging="720"/>
        <w:outlineLvl w:val="9"/>
        <w:rPr>
          <w:color w:val="auto"/>
        </w:rPr>
      </w:pPr>
      <w:r w:rsidRPr="00D017DB">
        <w:rPr>
          <w:color w:val="auto"/>
        </w:rPr>
        <w:t>This section is structured as follows:</w:t>
      </w:r>
    </w:p>
    <w:p w:rsidR="00202F31" w:rsidRDefault="00202F31" w:rsidP="000725C3">
      <w:pPr>
        <w:pStyle w:val="SectionLevel4"/>
        <w:numPr>
          <w:ilvl w:val="4"/>
          <w:numId w:val="0"/>
        </w:numPr>
        <w:suppressAutoHyphens w:val="0"/>
        <w:ind w:left="720"/>
        <w:outlineLvl w:val="9"/>
        <w:rPr>
          <w:color w:val="auto"/>
        </w:rPr>
      </w:pPr>
      <w:r w:rsidRPr="00D017DB">
        <w:rPr>
          <w:color w:val="auto"/>
        </w:rPr>
        <w:t>The potential benefits of a technology neutral approach, such as the greater likelihood of arriving at the best use of the spectrum both now and in future (be that an individual use or a combination of uses);</w:t>
      </w:r>
    </w:p>
    <w:p w:rsidR="00202F31" w:rsidRDefault="00202F31" w:rsidP="000725C3">
      <w:pPr>
        <w:pStyle w:val="SectionLevel4"/>
        <w:numPr>
          <w:ilvl w:val="4"/>
          <w:numId w:val="0"/>
        </w:numPr>
        <w:suppressAutoHyphens w:val="0"/>
        <w:ind w:left="720"/>
        <w:outlineLvl w:val="9"/>
        <w:rPr>
          <w:color w:val="auto"/>
        </w:rPr>
      </w:pPr>
      <w:r w:rsidRPr="00D017DB">
        <w:rPr>
          <w:color w:val="auto"/>
        </w:rPr>
        <w:t>The potential costs of a technology neutral approach, including: the possibility of market failure, fragmentation of demand, lower economies of scale</w:t>
      </w:r>
      <w:r w:rsidRPr="00D017DB">
        <w:rPr>
          <w:rStyle w:val="FootnoteReference"/>
          <w:rFonts w:cs="Mangal"/>
          <w:color w:val="auto"/>
        </w:rPr>
        <w:footnoteReference w:id="1"/>
      </w:r>
      <w:r w:rsidRPr="00D017DB">
        <w:rPr>
          <w:color w:val="auto"/>
        </w:rPr>
        <w:t xml:space="preserve"> and increased uncertainty;</w:t>
      </w:r>
    </w:p>
    <w:p w:rsidR="00202F31" w:rsidRDefault="00202F31" w:rsidP="000725C3">
      <w:pPr>
        <w:pStyle w:val="SectionLevel4"/>
        <w:numPr>
          <w:ilvl w:val="4"/>
          <w:numId w:val="0"/>
        </w:numPr>
        <w:suppressAutoHyphens w:val="0"/>
        <w:ind w:left="720"/>
        <w:outlineLvl w:val="9"/>
        <w:rPr>
          <w:color w:val="auto"/>
        </w:rPr>
      </w:pPr>
      <w:r w:rsidRPr="00D017DB">
        <w:rPr>
          <w:color w:val="auto"/>
        </w:rPr>
        <w:t>A conclusion summarising why a technology neutral approach is likely to deliver higher benefits than reserving the spectrum for a single specific use; and</w:t>
      </w:r>
    </w:p>
    <w:p w:rsidR="00202F31" w:rsidRDefault="00202F31" w:rsidP="000725C3">
      <w:pPr>
        <w:pStyle w:val="SectionLevel4"/>
        <w:numPr>
          <w:ilvl w:val="4"/>
          <w:numId w:val="0"/>
        </w:numPr>
        <w:suppressAutoHyphens w:val="0"/>
        <w:ind w:left="720"/>
        <w:outlineLvl w:val="9"/>
        <w:rPr>
          <w:color w:val="auto"/>
        </w:rPr>
      </w:pPr>
      <w:r w:rsidRPr="00D017DB">
        <w:rPr>
          <w:color w:val="auto"/>
        </w:rPr>
        <w:t>An annex which discusses potential market failures in more detail.</w:t>
      </w:r>
    </w:p>
    <w:p w:rsidR="00202F31" w:rsidRPr="00D017DB" w:rsidRDefault="00202F31" w:rsidP="00353912">
      <w:pPr>
        <w:pStyle w:val="SectionLevel2"/>
        <w:numPr>
          <w:ilvl w:val="2"/>
          <w:numId w:val="0"/>
        </w:numPr>
        <w:tabs>
          <w:tab w:val="num" w:pos="0"/>
        </w:tabs>
        <w:suppressAutoHyphens w:val="0"/>
        <w:outlineLvl w:val="9"/>
        <w:rPr>
          <w:color w:val="auto"/>
        </w:rPr>
      </w:pPr>
      <w:r w:rsidRPr="00D017DB">
        <w:rPr>
          <w:color w:val="auto"/>
        </w:rPr>
        <w:t>Potential benefits of a technology neutral approach</w:t>
      </w:r>
    </w:p>
    <w:p w:rsidR="00202F31" w:rsidRDefault="00202F31" w:rsidP="000725C3">
      <w:pPr>
        <w:pStyle w:val="SectionLevel3"/>
        <w:numPr>
          <w:ilvl w:val="3"/>
          <w:numId w:val="0"/>
        </w:numPr>
        <w:tabs>
          <w:tab w:val="num" w:pos="-5954"/>
        </w:tabs>
        <w:suppressAutoHyphens w:val="0"/>
        <w:outlineLvl w:val="9"/>
        <w:rPr>
          <w:color w:val="auto"/>
        </w:rPr>
      </w:pPr>
      <w:r w:rsidRPr="00D017DB">
        <w:rPr>
          <w:color w:val="auto"/>
        </w:rPr>
        <w:t xml:space="preserve">As a general rule, markets and in the case of radio services: operators are better than regulators at allocating resources (such as spectrum) to the highest value use. Market players often have better information (e.g. about the potential demand for and cost of different services and technologies). In addition, operators have a stronger incentive to make good allocation decisions, as this determines their profitability. Both of these factors mean that the market is likely to identify the best use (or combination of uses) of a band, both initially and over time.  </w:t>
      </w:r>
    </w:p>
    <w:p w:rsidR="00202F31" w:rsidRDefault="00202F31" w:rsidP="000725C3">
      <w:pPr>
        <w:pStyle w:val="SectionLevel3"/>
        <w:numPr>
          <w:ilvl w:val="3"/>
          <w:numId w:val="0"/>
        </w:numPr>
        <w:tabs>
          <w:tab w:val="num" w:pos="-5954"/>
        </w:tabs>
        <w:suppressAutoHyphens w:val="0"/>
        <w:outlineLvl w:val="9"/>
        <w:rPr>
          <w:color w:val="auto"/>
        </w:rPr>
      </w:pPr>
      <w:r w:rsidRPr="00D017DB">
        <w:rPr>
          <w:color w:val="auto"/>
        </w:rPr>
        <w:t>A technology and application neutral approach to the L-band gives the market the greatest flexibility in determining the use of the band. This may result in a better outcome than reserving it for a specific use.</w:t>
      </w:r>
    </w:p>
    <w:p w:rsidR="00202F31" w:rsidRDefault="00202F31" w:rsidP="000725C3">
      <w:pPr>
        <w:pStyle w:val="SectionLevel3"/>
        <w:numPr>
          <w:ilvl w:val="3"/>
          <w:numId w:val="0"/>
        </w:numPr>
        <w:tabs>
          <w:tab w:val="num" w:pos="-5954"/>
        </w:tabs>
        <w:suppressAutoHyphens w:val="0"/>
        <w:outlineLvl w:val="9"/>
        <w:rPr>
          <w:color w:val="auto"/>
        </w:rPr>
      </w:pPr>
      <w:r w:rsidRPr="00D017DB">
        <w:rPr>
          <w:color w:val="auto"/>
        </w:rPr>
        <w:t>The market is likely to arrive at a higher value use at the point the spectrum is released. It is also less likely to result in the spectrum not being fully used or even unused altogether, as operators will have the ability and incentive to put it to productive use. To some extent this has been an issue with the L-band in the past, with the band largely underused in many countries. This should provide a number of benefits e.g. consumers driving the demand for services to be available.</w:t>
      </w:r>
    </w:p>
    <w:p w:rsidR="00202F31" w:rsidRDefault="00202F31" w:rsidP="000725C3">
      <w:pPr>
        <w:pStyle w:val="SectionLevel3"/>
        <w:numPr>
          <w:ilvl w:val="3"/>
          <w:numId w:val="0"/>
        </w:numPr>
        <w:tabs>
          <w:tab w:val="num" w:pos="-5954"/>
        </w:tabs>
        <w:suppressAutoHyphens w:val="0"/>
        <w:outlineLvl w:val="9"/>
        <w:rPr>
          <w:color w:val="auto"/>
        </w:rPr>
      </w:pPr>
      <w:r w:rsidRPr="00D017DB">
        <w:rPr>
          <w:color w:val="auto"/>
        </w:rPr>
        <w:t xml:space="preserve">It is open to operators to change the use of the spectrum, but not the technical conditions. It may be that, as more information becomes available (for example, if demand for an application is lower, or the costs of deploying it in the spectrum are higher, than initially anticipated), it becomes clear that the band would be better used for a different application. In addition, over time new services (which do not currently exist) may develop which would make better use of the spectrum. It is easier for the market to react to this and change the use of the spectrum under technology and application neutrality than if international negotiations among regulators were required before such a change were allowed. There should therefore be shorter delays in transitioning to new uses, and so services highly valued by consumers should become available more quickly. In addition, this approach could be more flexible in allowing multiple uses of the band if this delivers higher value. If the band is designated for use by one application, it is possible for other uses to be allowed which ‘fit around’ this without causing interference (as is currently the case), but a technology and application neutral approach could allow for more flexibility in the combinations of uses which could be supported. However, this depends on the technical conditions imposed on licences, and on the spectral requirements of different uses aligning sufficiently to allow simultaneous use. </w:t>
      </w:r>
    </w:p>
    <w:p w:rsidR="00202F31" w:rsidRDefault="00202F31" w:rsidP="000725C3">
      <w:pPr>
        <w:pStyle w:val="SectionLevel3"/>
        <w:numPr>
          <w:ilvl w:val="3"/>
          <w:numId w:val="0"/>
        </w:numPr>
        <w:tabs>
          <w:tab w:val="num" w:pos="-5954"/>
        </w:tabs>
        <w:suppressAutoHyphens w:val="0"/>
        <w:outlineLvl w:val="9"/>
        <w:rPr>
          <w:color w:val="auto"/>
        </w:rPr>
      </w:pPr>
      <w:r w:rsidRPr="00D017DB">
        <w:rPr>
          <w:color w:val="auto"/>
        </w:rPr>
        <w:t>More importantly, a technology and application neutral approach would be expected to generate at least the same level of benefits as mandating a specific use, and there are plausible circumstances in which minimising restrictions on the applications which can use the band would result in higher value being generated.</w:t>
      </w:r>
    </w:p>
    <w:p w:rsidR="00202F31" w:rsidRPr="00D017DB" w:rsidRDefault="00202F31" w:rsidP="00353912">
      <w:pPr>
        <w:pStyle w:val="SectionLevel2"/>
        <w:numPr>
          <w:ilvl w:val="2"/>
          <w:numId w:val="0"/>
        </w:numPr>
        <w:tabs>
          <w:tab w:val="num" w:pos="0"/>
        </w:tabs>
        <w:suppressAutoHyphens w:val="0"/>
        <w:outlineLvl w:val="9"/>
        <w:rPr>
          <w:color w:val="auto"/>
        </w:rPr>
      </w:pPr>
      <w:r w:rsidRPr="00D017DB">
        <w:rPr>
          <w:color w:val="auto"/>
        </w:rPr>
        <w:t>Potential costs of a technology neutral approach</w:t>
      </w:r>
    </w:p>
    <w:p w:rsidR="00202F31" w:rsidRDefault="00202F31" w:rsidP="000725C3">
      <w:pPr>
        <w:pStyle w:val="SectionLevel3"/>
        <w:numPr>
          <w:ilvl w:val="3"/>
          <w:numId w:val="0"/>
        </w:numPr>
        <w:tabs>
          <w:tab w:val="num" w:pos="-5954"/>
        </w:tabs>
        <w:suppressAutoHyphens w:val="0"/>
        <w:outlineLvl w:val="9"/>
        <w:rPr>
          <w:color w:val="auto"/>
        </w:rPr>
      </w:pPr>
      <w:r w:rsidRPr="00D017DB">
        <w:rPr>
          <w:color w:val="auto"/>
        </w:rPr>
        <w:t>There are four potential costs in following a technology neutral approach (although the latter three are closely related), which we consider in the following section:</w:t>
      </w:r>
    </w:p>
    <w:p w:rsidR="00202F31" w:rsidRDefault="00202F31" w:rsidP="000725C3">
      <w:pPr>
        <w:pStyle w:val="ListParagraph"/>
        <w:numPr>
          <w:ilvl w:val="0"/>
          <w:numId w:val="5"/>
        </w:numPr>
        <w:suppressAutoHyphens w:val="0"/>
        <w:autoSpaceDE w:val="0"/>
        <w:autoSpaceDN w:val="0"/>
        <w:adjustRightInd w:val="0"/>
        <w:spacing w:line="240" w:lineRule="auto"/>
        <w:ind w:left="1440" w:hanging="720"/>
        <w:contextualSpacing/>
      </w:pPr>
      <w:r w:rsidRPr="00D017DB">
        <w:t xml:space="preserve">In the presence of market failures, allowing the market to determine the use of the spectrum may not result in the best outcome </w:t>
      </w:r>
    </w:p>
    <w:p w:rsidR="00202F31" w:rsidRDefault="00202F31" w:rsidP="000725C3">
      <w:pPr>
        <w:pStyle w:val="ListParagraph"/>
        <w:numPr>
          <w:ilvl w:val="0"/>
          <w:numId w:val="5"/>
        </w:numPr>
        <w:suppressAutoHyphens w:val="0"/>
        <w:autoSpaceDE w:val="0"/>
        <w:autoSpaceDN w:val="0"/>
        <w:adjustRightInd w:val="0"/>
        <w:spacing w:line="240" w:lineRule="auto"/>
        <w:ind w:left="1440" w:hanging="720"/>
        <w:contextualSpacing/>
      </w:pPr>
      <w:r w:rsidRPr="00D017DB">
        <w:t xml:space="preserve">‘Fragmentation’ of demand </w:t>
      </w:r>
    </w:p>
    <w:p w:rsidR="00202F31" w:rsidRDefault="00202F31" w:rsidP="000725C3">
      <w:pPr>
        <w:pStyle w:val="ListParagraph"/>
        <w:numPr>
          <w:ilvl w:val="0"/>
          <w:numId w:val="5"/>
        </w:numPr>
        <w:suppressAutoHyphens w:val="0"/>
        <w:autoSpaceDE w:val="0"/>
        <w:autoSpaceDN w:val="0"/>
        <w:adjustRightInd w:val="0"/>
        <w:spacing w:line="240" w:lineRule="auto"/>
        <w:ind w:left="1440" w:hanging="720"/>
        <w:contextualSpacing/>
      </w:pPr>
      <w:r w:rsidRPr="00D017DB">
        <w:t>Reduced economies of scale</w:t>
      </w:r>
    </w:p>
    <w:p w:rsidR="00202F31" w:rsidRDefault="00202F31" w:rsidP="000725C3">
      <w:pPr>
        <w:pStyle w:val="ListParagraph"/>
        <w:numPr>
          <w:ilvl w:val="0"/>
          <w:numId w:val="5"/>
        </w:numPr>
        <w:suppressAutoHyphens w:val="0"/>
        <w:autoSpaceDE w:val="0"/>
        <w:autoSpaceDN w:val="0"/>
        <w:adjustRightInd w:val="0"/>
        <w:spacing w:line="240" w:lineRule="auto"/>
        <w:ind w:left="1440" w:hanging="720"/>
        <w:contextualSpacing/>
      </w:pPr>
      <w:r w:rsidRPr="00D017DB">
        <w:t>Increased uncertainty for operators and equipment manufacturers</w:t>
      </w:r>
    </w:p>
    <w:p w:rsidR="00202F31" w:rsidRPr="00D017DB" w:rsidRDefault="00202F31" w:rsidP="00353912">
      <w:pPr>
        <w:pStyle w:val="Section2ndSubHeading"/>
        <w:rPr>
          <w:color w:val="auto"/>
        </w:rPr>
      </w:pPr>
      <w:r w:rsidRPr="00D017DB">
        <w:rPr>
          <w:color w:val="auto"/>
        </w:rPr>
        <w:t>Market failures</w:t>
      </w:r>
    </w:p>
    <w:p w:rsidR="00202F31" w:rsidRDefault="00202F31" w:rsidP="000725C3">
      <w:pPr>
        <w:pStyle w:val="SectionLevel3"/>
        <w:numPr>
          <w:ilvl w:val="3"/>
          <w:numId w:val="0"/>
        </w:numPr>
        <w:tabs>
          <w:tab w:val="num" w:pos="-5954"/>
        </w:tabs>
        <w:suppressAutoHyphens w:val="0"/>
        <w:outlineLvl w:val="9"/>
        <w:rPr>
          <w:color w:val="auto"/>
          <w:lang w:eastAsia="en-US"/>
        </w:rPr>
      </w:pPr>
      <w:r w:rsidRPr="00D017DB">
        <w:rPr>
          <w:color w:val="auto"/>
        </w:rPr>
        <w:t>Allowing the market to determine the best use of the L-band spectrum is based on the assumption that market mechanisms are able to work effectively in identifying the highest value uses of this spectrum. In theory, there are a range of situations in which market mechanisms may be unable to achieve this. These situations, which are commonly called “market failures”, include the presence of: market power, externalities, public goods</w:t>
      </w:r>
      <w:r w:rsidRPr="00D017DB">
        <w:rPr>
          <w:rStyle w:val="FootnoteReference"/>
          <w:rFonts w:cs="Mangal"/>
          <w:color w:val="auto"/>
        </w:rPr>
        <w:footnoteReference w:id="2"/>
      </w:r>
      <w:r w:rsidRPr="00D017DB">
        <w:rPr>
          <w:color w:val="auto"/>
          <w:sz w:val="14"/>
          <w:szCs w:val="14"/>
        </w:rPr>
        <w:t xml:space="preserve"> </w:t>
      </w:r>
      <w:r w:rsidRPr="00D017DB">
        <w:rPr>
          <w:color w:val="auto"/>
        </w:rPr>
        <w:t>and information asymmetries. We discuss each of these briefly in turn in Annex 1. We conclude that it is unlikely that significant market failures would arise which would be best mitigated by departing from technology and application neutrality.</w:t>
      </w:r>
    </w:p>
    <w:p w:rsidR="00202F31" w:rsidRPr="00D017DB" w:rsidRDefault="00202F31" w:rsidP="00353912">
      <w:pPr>
        <w:pStyle w:val="Section2ndSubHeading"/>
        <w:rPr>
          <w:color w:val="auto"/>
        </w:rPr>
      </w:pPr>
      <w:r w:rsidRPr="00D017DB">
        <w:rPr>
          <w:color w:val="auto"/>
        </w:rPr>
        <w:t>Fragmentation of demand across the EU</w:t>
      </w:r>
    </w:p>
    <w:p w:rsidR="00202F31" w:rsidRDefault="00202F31" w:rsidP="000725C3">
      <w:pPr>
        <w:pStyle w:val="SectionLevel3"/>
        <w:numPr>
          <w:ilvl w:val="3"/>
          <w:numId w:val="0"/>
        </w:numPr>
        <w:tabs>
          <w:tab w:val="num" w:pos="0"/>
        </w:tabs>
        <w:suppressAutoHyphens w:val="0"/>
        <w:outlineLvl w:val="9"/>
        <w:rPr>
          <w:color w:val="auto"/>
        </w:rPr>
      </w:pPr>
      <w:r w:rsidRPr="00D017DB">
        <w:rPr>
          <w:color w:val="auto"/>
        </w:rPr>
        <w:t>It is sometimes argued that a technology and application neutral approach may result in “fragmentation” of demand. There may be an element of truth in this, to the extent that the spectrum use may involve a greater range of technologies, and be used to provide a wider range of applications and services in downstream markets</w:t>
      </w:r>
      <w:r w:rsidRPr="00D017DB">
        <w:rPr>
          <w:rStyle w:val="FootnoteReference"/>
          <w:rFonts w:cs="Mangal"/>
          <w:color w:val="auto"/>
        </w:rPr>
        <w:footnoteReference w:id="3"/>
      </w:r>
      <w:r w:rsidRPr="00D017DB">
        <w:rPr>
          <w:color w:val="auto"/>
        </w:rPr>
        <w:t>. However, in the absence of market failures</w:t>
      </w:r>
      <w:r w:rsidRPr="00D017DB">
        <w:rPr>
          <w:rStyle w:val="FootnoteReference"/>
          <w:rFonts w:cs="Mangal"/>
          <w:color w:val="auto"/>
        </w:rPr>
        <w:footnoteReference w:id="4"/>
      </w:r>
      <w:r w:rsidRPr="00D017DB">
        <w:rPr>
          <w:color w:val="auto"/>
        </w:rPr>
        <w:t xml:space="preserve">, if “fragmentation” is the result of the market identifying that alternative technologies and applications generate higher values, this would generally be expected to have a positive rather than negative impact on the overall benefits generated from use of the spectrum. </w:t>
      </w:r>
    </w:p>
    <w:p w:rsidR="00202F31" w:rsidRPr="00D017DB" w:rsidRDefault="00202F31" w:rsidP="00353912">
      <w:pPr>
        <w:pStyle w:val="Section2ndSubHeading"/>
        <w:rPr>
          <w:color w:val="auto"/>
        </w:rPr>
      </w:pPr>
      <w:r w:rsidRPr="00D017DB">
        <w:rPr>
          <w:color w:val="auto"/>
        </w:rPr>
        <w:t>Reduced economies of scale</w:t>
      </w:r>
    </w:p>
    <w:p w:rsidR="00202F31" w:rsidRDefault="00202F31" w:rsidP="000725C3">
      <w:pPr>
        <w:pStyle w:val="SectionLevel3"/>
        <w:numPr>
          <w:ilvl w:val="3"/>
          <w:numId w:val="0"/>
        </w:numPr>
        <w:tabs>
          <w:tab w:val="num" w:pos="0"/>
        </w:tabs>
        <w:suppressAutoHyphens w:val="0"/>
        <w:outlineLvl w:val="9"/>
        <w:rPr>
          <w:color w:val="auto"/>
        </w:rPr>
      </w:pPr>
      <w:r w:rsidRPr="00D017DB">
        <w:rPr>
          <w:color w:val="auto"/>
        </w:rPr>
        <w:t>Linked to the issue of fragmentation, following a technology neutral approach may make it more difficult for operators and manufacturers to benefit from economies of scale, as operators in different countries may use the band for different services, thereby reducing global demand for band-specific equipment for a particular use. However, as set out in Annex 1, operators and manufacturers have an incentive to co-ordinate to achieve economies of scale. Therefore, it may not be necessary to directly designate the spectrum for a particular use to achieve economies of scale. However there may be a need to give an element of flexible harmonisations so that markets are offered some clarity of the technical conditions to allow their products to be designed and manufactured. The market may be able to achieve economies of scale if the technical conditions of the band are liberalised in a similarly technology and service neutral manner in all countries, allowing operators to deploy the spectrum for the same use if that provides the highest value</w:t>
      </w:r>
    </w:p>
    <w:p w:rsidR="00202F31" w:rsidRDefault="00202F31" w:rsidP="000725C3">
      <w:pPr>
        <w:pStyle w:val="SectionLevel3"/>
        <w:numPr>
          <w:ilvl w:val="3"/>
          <w:numId w:val="0"/>
        </w:numPr>
        <w:tabs>
          <w:tab w:val="num" w:pos="0"/>
        </w:tabs>
        <w:suppressAutoHyphens w:val="0"/>
        <w:outlineLvl w:val="9"/>
        <w:rPr>
          <w:color w:val="auto"/>
        </w:rPr>
      </w:pPr>
      <w:r w:rsidRPr="00D017DB">
        <w:rPr>
          <w:color w:val="auto"/>
        </w:rPr>
        <w:t xml:space="preserve">Operators will take into account the benefits of economies of scale when determining the best use. Therefore, if a particular application would deliver the highest value, including benefits from economies of scale, there is no reason for the market not to move the spectrum into this highest value use in the presence of a technology and application neutral environment. If this use of the band is not the highest value use, then this implies that the benefits gained (including economies of scale) from this application would be offset by the loss of benefit which would come from allocating (some of) the band to another use. </w:t>
      </w:r>
    </w:p>
    <w:p w:rsidR="00202F31" w:rsidRDefault="00202F31" w:rsidP="000725C3">
      <w:pPr>
        <w:pStyle w:val="SectionLevel3"/>
        <w:numPr>
          <w:ilvl w:val="3"/>
          <w:numId w:val="0"/>
        </w:numPr>
        <w:tabs>
          <w:tab w:val="num" w:pos="0"/>
        </w:tabs>
        <w:suppressAutoHyphens w:val="0"/>
        <w:outlineLvl w:val="9"/>
        <w:rPr>
          <w:color w:val="auto"/>
        </w:rPr>
      </w:pPr>
      <w:r w:rsidRPr="00D017DB">
        <w:rPr>
          <w:color w:val="auto"/>
        </w:rPr>
        <w:t xml:space="preserve">In addition, fragmentation of use of the spectrum in the EU does not necessarily mean that all economies of scale would be lost, as it is still possible that the band would be used for a given application in a number of countries without intervention to mandate this. </w:t>
      </w:r>
    </w:p>
    <w:p w:rsidR="00202F31" w:rsidRPr="00D017DB" w:rsidRDefault="00202F31" w:rsidP="00353912">
      <w:pPr>
        <w:pStyle w:val="Section2ndSubHeading"/>
        <w:rPr>
          <w:color w:val="auto"/>
        </w:rPr>
      </w:pPr>
      <w:r w:rsidRPr="00D017DB">
        <w:rPr>
          <w:color w:val="auto"/>
        </w:rPr>
        <w:t>Increased uncertainty</w:t>
      </w:r>
    </w:p>
    <w:p w:rsidR="00202F31" w:rsidRDefault="00202F31" w:rsidP="000725C3">
      <w:pPr>
        <w:pStyle w:val="SectionLevel3"/>
        <w:ind w:left="0" w:firstLine="0"/>
        <w:rPr>
          <w:color w:val="auto"/>
        </w:rPr>
      </w:pPr>
      <w:r w:rsidRPr="00D017DB">
        <w:rPr>
          <w:color w:val="auto"/>
        </w:rPr>
        <w:t>In some circumstances the specification of appropriate usage rights under a technology and application neutral approach may be more complex and costly for operators to meet. In this context, CEPT Report 19</w:t>
      </w:r>
      <w:r w:rsidRPr="00D017DB">
        <w:rPr>
          <w:rStyle w:val="FootnoteReference"/>
          <w:rFonts w:cs="Mangal"/>
          <w:color w:val="auto"/>
        </w:rPr>
        <w:footnoteReference w:id="5"/>
      </w:r>
      <w:r w:rsidRPr="00D017DB">
        <w:rPr>
          <w:color w:val="auto"/>
        </w:rPr>
        <w:t xml:space="preserve"> identified the Power Flux Density – Spectrum Usage Rights (PFD-SUR) approach as being one model where additional costs might be incurred to illustrate compliance. Therefore, the additional cost of determining the least restrictive conditions to be placed on operators needs to be considered in the assessment. As a starting point, operators will have regulatory limits to which they have to show compliance, and leaving aside the PFD-SUR model, it appears that other compliance models used have costs that are broadly similar. Therefore, and recognising the CEPT view on the PFD-SUR model, it is not clear that remaining approaches, would make compliance significantly more onerous or costly. In addition, this must be balanced against the greater freedom operators have in their choice of application and equipment, which may give far greater benefits in terms of efficiency and innovation.</w:t>
      </w:r>
    </w:p>
    <w:p w:rsidR="00202F31" w:rsidRDefault="00202F31" w:rsidP="000725C3">
      <w:pPr>
        <w:pStyle w:val="SectionLevel3"/>
        <w:ind w:left="0" w:firstLine="0"/>
        <w:rPr>
          <w:color w:val="auto"/>
        </w:rPr>
      </w:pPr>
      <w:r w:rsidRPr="00D017DB">
        <w:rPr>
          <w:color w:val="auto"/>
        </w:rPr>
        <w:t>Uncertainty may also discourage investment in developing particular services in the band. It is sometimes argued that in the face of uncertainty manufacturers and operators face co-ordination problems which could discourage investment. For example, manufacturers may be cautious about developing equipment in the face of uncertainty over whether service providers will demand it and service providers may be cautious about acquiring spectrum until manufacturers have developed equipment. However, both manufacturers and operators have incentives to resolve this co-ordination problem as this would be mutually beneficial. There are mechanisms which manufacturers and operators can use to resolve co-ordination issues, such as organising their spectrum use through industry working groups and standards bodies. Here uncertainty implies that it is only the regulatory regime that gives certainty and that industry could not create sufficient certainty through established industry processes (i.e. industry groups, standardisation mechanisms etc).Therefore, it is not necessarily the case that any increased uncertainty would result in lower investment.</w:t>
      </w:r>
    </w:p>
    <w:p w:rsidR="00202F31" w:rsidRDefault="00202F31" w:rsidP="000725C3">
      <w:pPr>
        <w:pStyle w:val="SectionLevel3"/>
        <w:ind w:left="0" w:firstLine="0"/>
        <w:rPr>
          <w:color w:val="auto"/>
        </w:rPr>
      </w:pPr>
      <w:r w:rsidRPr="00D017DB">
        <w:rPr>
          <w:color w:val="auto"/>
        </w:rPr>
        <w:t>Even if increased uncertainty did result in a reduction in investment in a particular technology, there are a number of reasons why any reduction which did occur would be small and/or offset by increased investment in alternative technologies.</w:t>
      </w:r>
    </w:p>
    <w:p w:rsidR="00202F31" w:rsidRDefault="00202F31" w:rsidP="000725C3">
      <w:pPr>
        <w:pStyle w:val="SectionLevel3"/>
        <w:ind w:left="0" w:firstLine="0"/>
        <w:rPr>
          <w:color w:val="auto"/>
        </w:rPr>
      </w:pPr>
      <w:r w:rsidRPr="00D017DB">
        <w:rPr>
          <w:color w:val="auto"/>
        </w:rPr>
        <w:t>In the situation in which the regulator chooses a particular application, and the chosen application was the highest value use for this band, it is not clear that the additional certainty provided by exclusive access would have any impact on investment levels.</w:t>
      </w:r>
    </w:p>
    <w:p w:rsidR="00202F31" w:rsidRDefault="00202F31" w:rsidP="000725C3">
      <w:pPr>
        <w:pStyle w:val="SectionLevel3"/>
        <w:ind w:left="0" w:firstLine="0"/>
        <w:rPr>
          <w:color w:val="auto"/>
        </w:rPr>
      </w:pPr>
      <w:r w:rsidRPr="00D017DB">
        <w:rPr>
          <w:color w:val="auto"/>
        </w:rPr>
        <w:t>Where the chosen application is not the highest value use, this would be at the cost of excluding investment in alternative technologies. With technology and application neutrality, all operators wishing to acquire spectrum would face common uncertainty. Therefore, if alternative technologies are identified by the market as higher value uses of this spectrum, under the presence of this common uncertainty, any benefits from additional investment in one application which is lost would be expected to be outweighed by benefits from investment in the alternative technologies.</w:t>
      </w:r>
    </w:p>
    <w:p w:rsidR="00202F31" w:rsidRPr="000725C3" w:rsidRDefault="00202F31" w:rsidP="000725C3">
      <w:pPr>
        <w:pStyle w:val="SectionLevel3"/>
        <w:ind w:left="0" w:firstLine="0"/>
        <w:rPr>
          <w:color w:val="auto"/>
        </w:rPr>
      </w:pPr>
      <w:r w:rsidRPr="00D017DB">
        <w:rPr>
          <w:color w:val="auto"/>
        </w:rPr>
        <w:t>Therefore, it is considered that the risk of reduced investment in the face of higher uncertainty is low.</w:t>
      </w:r>
    </w:p>
    <w:p w:rsidR="00202F31" w:rsidRPr="00D017DB" w:rsidRDefault="00202F31" w:rsidP="00353912">
      <w:pPr>
        <w:pStyle w:val="SectionLevel2"/>
        <w:numPr>
          <w:ilvl w:val="2"/>
          <w:numId w:val="0"/>
        </w:numPr>
        <w:tabs>
          <w:tab w:val="num" w:pos="0"/>
        </w:tabs>
        <w:suppressAutoHyphens w:val="0"/>
        <w:outlineLvl w:val="9"/>
        <w:rPr>
          <w:color w:val="auto"/>
        </w:rPr>
      </w:pPr>
      <w:r w:rsidRPr="00D017DB">
        <w:rPr>
          <w:color w:val="auto"/>
        </w:rPr>
        <w:t>Conclusion</w:t>
      </w:r>
    </w:p>
    <w:p w:rsidR="00202F31" w:rsidRDefault="00202F31" w:rsidP="000725C3">
      <w:pPr>
        <w:pStyle w:val="SectionLevel3"/>
        <w:ind w:left="0" w:firstLine="0"/>
        <w:rPr>
          <w:color w:val="auto"/>
        </w:rPr>
      </w:pPr>
      <w:r w:rsidRPr="00D017DB">
        <w:rPr>
          <w:color w:val="auto"/>
        </w:rPr>
        <w:t>The table below sets out initial qualitative view on the magnitude and likelihood of the costs and benefits of following a technology neural approach. This suggests that the benefits of technology and application neutrality are larger and/or more likely to occur than the potential costs. It is considered that the reservation of particular bands exclusively for particular technologies or services is a highly intrusive measure that can carry very high costs and should only be taken where there is a compelling justification. This does not appear to be the case for the L-band, particularly where the clear regulatory environment that currently exists, has not actually lead to services and applications being deployed in useful numbers.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0"/>
        <w:gridCol w:w="3081"/>
        <w:gridCol w:w="3081"/>
      </w:tblGrid>
      <w:tr w:rsidR="00202F31" w:rsidRPr="00D017DB" w:rsidTr="00353912">
        <w:tc>
          <w:tcPr>
            <w:tcW w:w="3080" w:type="dxa"/>
          </w:tcPr>
          <w:p w:rsidR="00202F31" w:rsidRPr="00D017DB" w:rsidRDefault="00202F31" w:rsidP="00353912">
            <w:pPr>
              <w:autoSpaceDE w:val="0"/>
              <w:autoSpaceDN w:val="0"/>
              <w:adjustRightInd w:val="0"/>
            </w:pPr>
            <w:r w:rsidRPr="00D017DB">
              <w:t>Benefit – note these are interrelated and overlap in many ways</w:t>
            </w:r>
          </w:p>
        </w:tc>
        <w:tc>
          <w:tcPr>
            <w:tcW w:w="3081" w:type="dxa"/>
          </w:tcPr>
          <w:p w:rsidR="00202F31" w:rsidRPr="00D017DB" w:rsidRDefault="00202F31" w:rsidP="00353912">
            <w:pPr>
              <w:autoSpaceDE w:val="0"/>
              <w:autoSpaceDN w:val="0"/>
              <w:adjustRightInd w:val="0"/>
            </w:pPr>
            <w:r w:rsidRPr="00D017DB">
              <w:t>Magnitude</w:t>
            </w:r>
          </w:p>
        </w:tc>
        <w:tc>
          <w:tcPr>
            <w:tcW w:w="3081" w:type="dxa"/>
          </w:tcPr>
          <w:p w:rsidR="00202F31" w:rsidRPr="00D017DB" w:rsidRDefault="00202F31" w:rsidP="00353912">
            <w:pPr>
              <w:autoSpaceDE w:val="0"/>
              <w:autoSpaceDN w:val="0"/>
              <w:adjustRightInd w:val="0"/>
            </w:pPr>
            <w:r w:rsidRPr="00D017DB">
              <w:t>Likelihood</w:t>
            </w:r>
          </w:p>
        </w:tc>
      </w:tr>
      <w:tr w:rsidR="00202F31" w:rsidRPr="00D017DB" w:rsidTr="00353912">
        <w:trPr>
          <w:trHeight w:val="795"/>
        </w:trPr>
        <w:tc>
          <w:tcPr>
            <w:tcW w:w="3080" w:type="dxa"/>
            <w:vMerge w:val="restart"/>
          </w:tcPr>
          <w:p w:rsidR="00202F31" w:rsidRPr="00D017DB" w:rsidRDefault="00202F31" w:rsidP="00353912">
            <w:pPr>
              <w:autoSpaceDE w:val="0"/>
              <w:autoSpaceDN w:val="0"/>
              <w:adjustRightInd w:val="0"/>
            </w:pPr>
            <w:r w:rsidRPr="00D017DB">
              <w:t>More likely to arrive at best use of the spectrum</w:t>
            </w:r>
          </w:p>
          <w:p w:rsidR="00202F31" w:rsidRPr="00D017DB" w:rsidRDefault="00202F31" w:rsidP="00353912">
            <w:pPr>
              <w:pStyle w:val="ListParagraph"/>
              <w:numPr>
                <w:ilvl w:val="0"/>
                <w:numId w:val="9"/>
              </w:numPr>
              <w:suppressAutoHyphens w:val="0"/>
              <w:autoSpaceDE w:val="0"/>
              <w:autoSpaceDN w:val="0"/>
              <w:adjustRightInd w:val="0"/>
              <w:contextualSpacing/>
            </w:pPr>
            <w:r w:rsidRPr="00D017DB">
              <w:t>At the time of release</w:t>
            </w:r>
          </w:p>
          <w:p w:rsidR="00202F31" w:rsidRPr="00D017DB" w:rsidRDefault="00202F31" w:rsidP="00353912">
            <w:pPr>
              <w:pStyle w:val="ListParagraph"/>
              <w:numPr>
                <w:ilvl w:val="0"/>
                <w:numId w:val="9"/>
              </w:numPr>
              <w:suppressAutoHyphens w:val="0"/>
              <w:autoSpaceDE w:val="0"/>
              <w:autoSpaceDN w:val="0"/>
              <w:adjustRightInd w:val="0"/>
              <w:contextualSpacing/>
            </w:pPr>
            <w:r w:rsidRPr="00D017DB">
              <w:t>In the future/over time</w:t>
            </w:r>
          </w:p>
        </w:tc>
        <w:tc>
          <w:tcPr>
            <w:tcW w:w="3081" w:type="dxa"/>
          </w:tcPr>
          <w:p w:rsidR="00202F31" w:rsidRPr="00D017DB" w:rsidRDefault="00202F31" w:rsidP="00353912">
            <w:pPr>
              <w:autoSpaceDE w:val="0"/>
              <w:autoSpaceDN w:val="0"/>
              <w:adjustRightInd w:val="0"/>
            </w:pPr>
            <w:r w:rsidRPr="00D017DB">
              <w:t>Large</w:t>
            </w:r>
          </w:p>
        </w:tc>
        <w:tc>
          <w:tcPr>
            <w:tcW w:w="3081" w:type="dxa"/>
          </w:tcPr>
          <w:p w:rsidR="00202F31" w:rsidRPr="00D017DB" w:rsidRDefault="00202F31" w:rsidP="00353912">
            <w:pPr>
              <w:autoSpaceDE w:val="0"/>
              <w:autoSpaceDN w:val="0"/>
              <w:adjustRightInd w:val="0"/>
            </w:pPr>
            <w:r w:rsidRPr="00D017DB">
              <w:t>High</w:t>
            </w:r>
          </w:p>
        </w:tc>
      </w:tr>
      <w:tr w:rsidR="00202F31" w:rsidRPr="00D017DB" w:rsidTr="00353912">
        <w:trPr>
          <w:trHeight w:val="795"/>
        </w:trPr>
        <w:tc>
          <w:tcPr>
            <w:tcW w:w="3080" w:type="dxa"/>
            <w:vMerge/>
          </w:tcPr>
          <w:p w:rsidR="00202F31" w:rsidRPr="00D017DB" w:rsidRDefault="00202F31" w:rsidP="00353912">
            <w:pPr>
              <w:autoSpaceDE w:val="0"/>
              <w:autoSpaceDN w:val="0"/>
              <w:adjustRightInd w:val="0"/>
            </w:pPr>
          </w:p>
        </w:tc>
        <w:tc>
          <w:tcPr>
            <w:tcW w:w="6162" w:type="dxa"/>
            <w:gridSpan w:val="2"/>
          </w:tcPr>
          <w:p w:rsidR="00202F31" w:rsidRPr="00D017DB" w:rsidRDefault="00202F31" w:rsidP="00353912">
            <w:pPr>
              <w:autoSpaceDE w:val="0"/>
              <w:autoSpaceDN w:val="0"/>
              <w:adjustRightInd w:val="0"/>
            </w:pPr>
            <w:r w:rsidRPr="00D017DB">
              <w:t xml:space="preserve">Markets have better information and stronger incentives to allocate the spectrum to the best use, and so are more likely to get it right. The potential benefits of allocating the spectrum correctly are high, given the likely value of the services which it could be used to provide. </w:t>
            </w:r>
          </w:p>
        </w:tc>
      </w:tr>
      <w:tr w:rsidR="00202F31" w:rsidRPr="00D017DB" w:rsidTr="00353912">
        <w:trPr>
          <w:trHeight w:val="1118"/>
        </w:trPr>
        <w:tc>
          <w:tcPr>
            <w:tcW w:w="3080" w:type="dxa"/>
            <w:vMerge w:val="restart"/>
          </w:tcPr>
          <w:p w:rsidR="00202F31" w:rsidRPr="00D017DB" w:rsidRDefault="00202F31" w:rsidP="00353912">
            <w:pPr>
              <w:autoSpaceDE w:val="0"/>
              <w:autoSpaceDN w:val="0"/>
              <w:adjustRightInd w:val="0"/>
            </w:pPr>
            <w:r w:rsidRPr="00D017DB">
              <w:t xml:space="preserve">Less likely to result in underutilisation (note that this is not a separate consideration from the point above, but is a severe form of inefficient use – it is included separately as there are slightly different considerations in whether it is likely to occur) </w:t>
            </w:r>
          </w:p>
        </w:tc>
        <w:tc>
          <w:tcPr>
            <w:tcW w:w="3081" w:type="dxa"/>
          </w:tcPr>
          <w:p w:rsidR="00202F31" w:rsidRPr="00D017DB" w:rsidRDefault="00202F31" w:rsidP="00353912">
            <w:pPr>
              <w:autoSpaceDE w:val="0"/>
              <w:autoSpaceDN w:val="0"/>
              <w:adjustRightInd w:val="0"/>
            </w:pPr>
            <w:r w:rsidRPr="00D017DB">
              <w:t>Large</w:t>
            </w:r>
          </w:p>
        </w:tc>
        <w:tc>
          <w:tcPr>
            <w:tcW w:w="3081" w:type="dxa"/>
          </w:tcPr>
          <w:p w:rsidR="00202F31" w:rsidRPr="00D017DB" w:rsidRDefault="00202F31" w:rsidP="00353912">
            <w:pPr>
              <w:autoSpaceDE w:val="0"/>
              <w:autoSpaceDN w:val="0"/>
              <w:adjustRightInd w:val="0"/>
            </w:pPr>
            <w:r w:rsidRPr="00D017DB">
              <w:t xml:space="preserve">Medium </w:t>
            </w:r>
          </w:p>
        </w:tc>
      </w:tr>
      <w:tr w:rsidR="00202F31" w:rsidRPr="00D017DB" w:rsidTr="00353912">
        <w:trPr>
          <w:trHeight w:val="1117"/>
        </w:trPr>
        <w:tc>
          <w:tcPr>
            <w:tcW w:w="3080" w:type="dxa"/>
            <w:vMerge/>
          </w:tcPr>
          <w:p w:rsidR="00202F31" w:rsidRPr="00D017DB" w:rsidRDefault="00202F31" w:rsidP="00353912">
            <w:pPr>
              <w:autoSpaceDE w:val="0"/>
              <w:autoSpaceDN w:val="0"/>
              <w:adjustRightInd w:val="0"/>
            </w:pPr>
          </w:p>
        </w:tc>
        <w:tc>
          <w:tcPr>
            <w:tcW w:w="6162" w:type="dxa"/>
            <w:gridSpan w:val="2"/>
          </w:tcPr>
          <w:p w:rsidR="00202F31" w:rsidRPr="00D017DB" w:rsidRDefault="00202F31" w:rsidP="00353912">
            <w:pPr>
              <w:autoSpaceDE w:val="0"/>
              <w:autoSpaceDN w:val="0"/>
              <w:adjustRightInd w:val="0"/>
            </w:pPr>
            <w:r w:rsidRPr="00D017DB">
              <w:t>Arguably the current system is reasonably technology neutral in that alternatives can be accommodated within the Maastricht Agreement, but it is still largely unused – therefore there is still a risk technology neutrality could result in underutilisation. The benefits of putting the spectrum to fully productive use are high, given the likely value of the services which it could be used to provide.</w:t>
            </w:r>
          </w:p>
        </w:tc>
      </w:tr>
      <w:tr w:rsidR="00202F31" w:rsidRPr="00D017DB" w:rsidTr="00353912">
        <w:trPr>
          <w:trHeight w:val="390"/>
        </w:trPr>
        <w:tc>
          <w:tcPr>
            <w:tcW w:w="3080" w:type="dxa"/>
            <w:vMerge w:val="restart"/>
          </w:tcPr>
          <w:p w:rsidR="00202F31" w:rsidRPr="00D017DB" w:rsidRDefault="00202F31" w:rsidP="00353912">
            <w:pPr>
              <w:autoSpaceDE w:val="0"/>
              <w:autoSpaceDN w:val="0"/>
              <w:adjustRightInd w:val="0"/>
            </w:pPr>
            <w:r w:rsidRPr="00D017DB">
              <w:t>Greater flexibility in allowing multiple uses</w:t>
            </w:r>
          </w:p>
        </w:tc>
        <w:tc>
          <w:tcPr>
            <w:tcW w:w="3081" w:type="dxa"/>
          </w:tcPr>
          <w:p w:rsidR="00202F31" w:rsidRPr="00D017DB" w:rsidRDefault="00202F31" w:rsidP="00353912">
            <w:pPr>
              <w:autoSpaceDE w:val="0"/>
              <w:autoSpaceDN w:val="0"/>
              <w:adjustRightInd w:val="0"/>
            </w:pPr>
            <w:r w:rsidRPr="00D017DB">
              <w:t>Medium</w:t>
            </w:r>
          </w:p>
        </w:tc>
        <w:tc>
          <w:tcPr>
            <w:tcW w:w="3081" w:type="dxa"/>
          </w:tcPr>
          <w:p w:rsidR="00202F31" w:rsidRPr="00D017DB" w:rsidRDefault="00202F31" w:rsidP="00353912">
            <w:pPr>
              <w:autoSpaceDE w:val="0"/>
              <w:autoSpaceDN w:val="0"/>
              <w:adjustRightInd w:val="0"/>
            </w:pPr>
            <w:r w:rsidRPr="00D017DB">
              <w:t>Small</w:t>
            </w:r>
          </w:p>
        </w:tc>
      </w:tr>
      <w:tr w:rsidR="00202F31" w:rsidRPr="00D017DB" w:rsidTr="00353912">
        <w:trPr>
          <w:trHeight w:val="390"/>
        </w:trPr>
        <w:tc>
          <w:tcPr>
            <w:tcW w:w="3080" w:type="dxa"/>
            <w:vMerge/>
          </w:tcPr>
          <w:p w:rsidR="00202F31" w:rsidRPr="00D017DB" w:rsidRDefault="00202F31" w:rsidP="00353912">
            <w:pPr>
              <w:autoSpaceDE w:val="0"/>
              <w:autoSpaceDN w:val="0"/>
              <w:adjustRightInd w:val="0"/>
            </w:pPr>
          </w:p>
        </w:tc>
        <w:tc>
          <w:tcPr>
            <w:tcW w:w="6162" w:type="dxa"/>
            <w:gridSpan w:val="2"/>
          </w:tcPr>
          <w:p w:rsidR="00202F31" w:rsidRPr="00D017DB" w:rsidRDefault="00202F31" w:rsidP="00353912">
            <w:pPr>
              <w:autoSpaceDE w:val="0"/>
              <w:autoSpaceDN w:val="0"/>
              <w:adjustRightInd w:val="0"/>
            </w:pPr>
            <w:r w:rsidRPr="00D017DB">
              <w:t xml:space="preserve">A technology and application neutral approach could allow for more flexibility in the combinations of uses which could be supported. However, </w:t>
            </w:r>
          </w:p>
          <w:p w:rsidR="00202F31" w:rsidRPr="00D017DB" w:rsidRDefault="00202F31" w:rsidP="00353912">
            <w:pPr>
              <w:pStyle w:val="ListParagraph"/>
              <w:numPr>
                <w:ilvl w:val="0"/>
                <w:numId w:val="10"/>
              </w:numPr>
              <w:suppressAutoHyphens w:val="0"/>
              <w:autoSpaceDE w:val="0"/>
              <w:autoSpaceDN w:val="0"/>
              <w:adjustRightInd w:val="0"/>
              <w:contextualSpacing/>
            </w:pPr>
            <w:r w:rsidRPr="00D017DB">
              <w:t xml:space="preserve">Where a band is designated for use by a specific application, it is still possible to allow complementary uses which do not interfere with this application – so the additional benefit of technology neutrality may not be large </w:t>
            </w:r>
          </w:p>
          <w:p w:rsidR="00202F31" w:rsidRPr="00D017DB" w:rsidRDefault="00202F31" w:rsidP="00353912">
            <w:pPr>
              <w:pStyle w:val="ListParagraph"/>
              <w:numPr>
                <w:ilvl w:val="0"/>
                <w:numId w:val="10"/>
              </w:numPr>
              <w:suppressAutoHyphens w:val="0"/>
              <w:autoSpaceDE w:val="0"/>
              <w:autoSpaceDN w:val="0"/>
              <w:adjustRightInd w:val="0"/>
              <w:contextualSpacing/>
            </w:pPr>
            <w:r w:rsidRPr="00D017DB">
              <w:t>This depends on the technical conditions imposed on licenses, and on the spectral requirements of different uses aligning sufficiently to allow simultaneous use – this may mean it is unlikely technology neutrality would give rise to significantly different combinations of services using the spectrum.</w:t>
            </w:r>
          </w:p>
        </w:tc>
      </w:tr>
      <w:tr w:rsidR="00202F31" w:rsidRPr="00D017DB" w:rsidTr="00353912">
        <w:tc>
          <w:tcPr>
            <w:tcW w:w="3080" w:type="dxa"/>
          </w:tcPr>
          <w:p w:rsidR="00202F31" w:rsidRPr="00D017DB" w:rsidRDefault="00202F31" w:rsidP="00353912">
            <w:pPr>
              <w:autoSpaceDE w:val="0"/>
              <w:autoSpaceDN w:val="0"/>
              <w:adjustRightInd w:val="0"/>
            </w:pPr>
          </w:p>
        </w:tc>
        <w:tc>
          <w:tcPr>
            <w:tcW w:w="3081" w:type="dxa"/>
          </w:tcPr>
          <w:p w:rsidR="00202F31" w:rsidRPr="00D017DB" w:rsidRDefault="00202F31" w:rsidP="00353912">
            <w:pPr>
              <w:autoSpaceDE w:val="0"/>
              <w:autoSpaceDN w:val="0"/>
              <w:adjustRightInd w:val="0"/>
            </w:pPr>
          </w:p>
        </w:tc>
        <w:tc>
          <w:tcPr>
            <w:tcW w:w="3081" w:type="dxa"/>
          </w:tcPr>
          <w:p w:rsidR="00202F31" w:rsidRPr="00D017DB" w:rsidRDefault="00202F31" w:rsidP="00353912">
            <w:pPr>
              <w:autoSpaceDE w:val="0"/>
              <w:autoSpaceDN w:val="0"/>
              <w:adjustRightInd w:val="0"/>
            </w:pPr>
          </w:p>
        </w:tc>
      </w:tr>
      <w:tr w:rsidR="00202F31" w:rsidRPr="00D017DB" w:rsidTr="00353912">
        <w:tc>
          <w:tcPr>
            <w:tcW w:w="3080" w:type="dxa"/>
          </w:tcPr>
          <w:p w:rsidR="00202F31" w:rsidRPr="00D017DB" w:rsidRDefault="00202F31" w:rsidP="00353912">
            <w:pPr>
              <w:autoSpaceDE w:val="0"/>
              <w:autoSpaceDN w:val="0"/>
              <w:adjustRightInd w:val="0"/>
            </w:pPr>
            <w:r w:rsidRPr="00D017DB">
              <w:t>Cost</w:t>
            </w:r>
          </w:p>
        </w:tc>
        <w:tc>
          <w:tcPr>
            <w:tcW w:w="3081" w:type="dxa"/>
          </w:tcPr>
          <w:p w:rsidR="00202F31" w:rsidRPr="00D017DB" w:rsidRDefault="00202F31" w:rsidP="00353912">
            <w:pPr>
              <w:autoSpaceDE w:val="0"/>
              <w:autoSpaceDN w:val="0"/>
              <w:adjustRightInd w:val="0"/>
            </w:pPr>
            <w:r w:rsidRPr="00D017DB">
              <w:t>Magnitude</w:t>
            </w:r>
          </w:p>
        </w:tc>
        <w:tc>
          <w:tcPr>
            <w:tcW w:w="3081" w:type="dxa"/>
          </w:tcPr>
          <w:p w:rsidR="00202F31" w:rsidRPr="00D017DB" w:rsidRDefault="00202F31" w:rsidP="00353912">
            <w:pPr>
              <w:autoSpaceDE w:val="0"/>
              <w:autoSpaceDN w:val="0"/>
              <w:adjustRightInd w:val="0"/>
            </w:pPr>
            <w:r w:rsidRPr="00D017DB">
              <w:t>Likelihood</w:t>
            </w:r>
          </w:p>
        </w:tc>
      </w:tr>
      <w:tr w:rsidR="00202F31" w:rsidRPr="00D017DB" w:rsidTr="00353912">
        <w:trPr>
          <w:trHeight w:val="540"/>
        </w:trPr>
        <w:tc>
          <w:tcPr>
            <w:tcW w:w="3080" w:type="dxa"/>
            <w:vMerge w:val="restart"/>
          </w:tcPr>
          <w:p w:rsidR="00202F31" w:rsidRPr="00D017DB" w:rsidRDefault="00202F31" w:rsidP="00353912">
            <w:pPr>
              <w:autoSpaceDE w:val="0"/>
              <w:autoSpaceDN w:val="0"/>
              <w:adjustRightInd w:val="0"/>
            </w:pPr>
            <w:r w:rsidRPr="00D017DB">
              <w:t>Market failures may result in inefficient use</w:t>
            </w:r>
          </w:p>
        </w:tc>
        <w:tc>
          <w:tcPr>
            <w:tcW w:w="3081" w:type="dxa"/>
          </w:tcPr>
          <w:p w:rsidR="00202F31" w:rsidRPr="00D017DB" w:rsidRDefault="00202F31" w:rsidP="00353912">
            <w:pPr>
              <w:autoSpaceDE w:val="0"/>
              <w:autoSpaceDN w:val="0"/>
              <w:adjustRightInd w:val="0"/>
            </w:pPr>
            <w:r w:rsidRPr="00D017DB">
              <w:t xml:space="preserve">Potentially large </w:t>
            </w:r>
          </w:p>
        </w:tc>
        <w:tc>
          <w:tcPr>
            <w:tcW w:w="3081" w:type="dxa"/>
          </w:tcPr>
          <w:p w:rsidR="00202F31" w:rsidRPr="00D017DB" w:rsidRDefault="00202F31" w:rsidP="00353912">
            <w:pPr>
              <w:autoSpaceDE w:val="0"/>
              <w:autoSpaceDN w:val="0"/>
              <w:adjustRightInd w:val="0"/>
            </w:pPr>
            <w:r w:rsidRPr="00D017DB">
              <w:t>Low</w:t>
            </w:r>
          </w:p>
        </w:tc>
      </w:tr>
      <w:tr w:rsidR="00202F31" w:rsidRPr="00D017DB" w:rsidTr="00353912">
        <w:trPr>
          <w:trHeight w:val="540"/>
        </w:trPr>
        <w:tc>
          <w:tcPr>
            <w:tcW w:w="3080" w:type="dxa"/>
            <w:vMerge/>
          </w:tcPr>
          <w:p w:rsidR="00202F31" w:rsidRPr="00D017DB" w:rsidRDefault="00202F31" w:rsidP="00353912">
            <w:pPr>
              <w:autoSpaceDE w:val="0"/>
              <w:autoSpaceDN w:val="0"/>
              <w:adjustRightInd w:val="0"/>
            </w:pPr>
          </w:p>
        </w:tc>
        <w:tc>
          <w:tcPr>
            <w:tcW w:w="6162" w:type="dxa"/>
            <w:gridSpan w:val="2"/>
          </w:tcPr>
          <w:p w:rsidR="00202F31" w:rsidRPr="00D017DB" w:rsidRDefault="00202F31" w:rsidP="00353912">
            <w:pPr>
              <w:autoSpaceDE w:val="0"/>
              <w:autoSpaceDN w:val="0"/>
              <w:adjustRightInd w:val="0"/>
            </w:pPr>
            <w:r w:rsidRPr="00D017DB">
              <w:t>If the market is prevented from working effectively, it could allocate the spectrum incorrectly. The magnitude of the cost depends on the nature and severity of the market failure. However, initial assessment suggests the L-band is not obviously at risk of suffering from significant market failure.</w:t>
            </w:r>
          </w:p>
        </w:tc>
      </w:tr>
      <w:tr w:rsidR="00202F31" w:rsidRPr="00D017DB" w:rsidTr="00353912">
        <w:trPr>
          <w:trHeight w:val="248"/>
        </w:trPr>
        <w:tc>
          <w:tcPr>
            <w:tcW w:w="3080" w:type="dxa"/>
            <w:vMerge w:val="restart"/>
          </w:tcPr>
          <w:p w:rsidR="00202F31" w:rsidRPr="00D017DB" w:rsidRDefault="00202F31" w:rsidP="00353912">
            <w:pPr>
              <w:autoSpaceDE w:val="0"/>
              <w:autoSpaceDN w:val="0"/>
              <w:adjustRightInd w:val="0"/>
            </w:pPr>
            <w:r w:rsidRPr="00D017DB">
              <w:t xml:space="preserve">Fragmentation of use </w:t>
            </w:r>
          </w:p>
        </w:tc>
        <w:tc>
          <w:tcPr>
            <w:tcW w:w="3081" w:type="dxa"/>
          </w:tcPr>
          <w:p w:rsidR="00202F31" w:rsidRPr="00D017DB" w:rsidRDefault="00202F31" w:rsidP="00353912">
            <w:pPr>
              <w:autoSpaceDE w:val="0"/>
              <w:autoSpaceDN w:val="0"/>
              <w:adjustRightInd w:val="0"/>
            </w:pPr>
            <w:r w:rsidRPr="00D017DB">
              <w:t>Small</w:t>
            </w:r>
          </w:p>
        </w:tc>
        <w:tc>
          <w:tcPr>
            <w:tcW w:w="3081" w:type="dxa"/>
          </w:tcPr>
          <w:p w:rsidR="00202F31" w:rsidRPr="00D017DB" w:rsidRDefault="00202F31" w:rsidP="00353912">
            <w:pPr>
              <w:autoSpaceDE w:val="0"/>
              <w:autoSpaceDN w:val="0"/>
              <w:adjustRightInd w:val="0"/>
            </w:pPr>
            <w:r w:rsidRPr="00D017DB">
              <w:t>Low</w:t>
            </w:r>
          </w:p>
        </w:tc>
      </w:tr>
      <w:tr w:rsidR="00202F31" w:rsidRPr="00D017DB" w:rsidTr="00353912">
        <w:trPr>
          <w:trHeight w:val="247"/>
        </w:trPr>
        <w:tc>
          <w:tcPr>
            <w:tcW w:w="3080" w:type="dxa"/>
            <w:vMerge/>
          </w:tcPr>
          <w:p w:rsidR="00202F31" w:rsidRPr="00D017DB" w:rsidDel="0000772A" w:rsidRDefault="00202F31" w:rsidP="00353912">
            <w:pPr>
              <w:autoSpaceDE w:val="0"/>
              <w:autoSpaceDN w:val="0"/>
              <w:adjustRightInd w:val="0"/>
            </w:pPr>
          </w:p>
        </w:tc>
        <w:tc>
          <w:tcPr>
            <w:tcW w:w="6162" w:type="dxa"/>
            <w:gridSpan w:val="2"/>
          </w:tcPr>
          <w:p w:rsidR="00202F31" w:rsidRPr="00D017DB" w:rsidDel="0000772A" w:rsidRDefault="00202F31" w:rsidP="00353912">
            <w:pPr>
              <w:autoSpaceDE w:val="0"/>
              <w:autoSpaceDN w:val="0"/>
              <w:adjustRightInd w:val="0"/>
            </w:pPr>
            <w:r w:rsidRPr="00D017DB">
              <w:t>The market incentives for harmonised use are very strong in most cases, and so the market should arrive at harmonised use if this is the best outcome. If it is not the best outcome, the cost of fragmentation would be relatively low.</w:t>
            </w:r>
          </w:p>
        </w:tc>
      </w:tr>
      <w:tr w:rsidR="00202F31" w:rsidRPr="00D017DB" w:rsidTr="00353912">
        <w:trPr>
          <w:trHeight w:val="540"/>
        </w:trPr>
        <w:tc>
          <w:tcPr>
            <w:tcW w:w="3080" w:type="dxa"/>
            <w:vMerge w:val="restart"/>
          </w:tcPr>
          <w:p w:rsidR="00202F31" w:rsidRPr="00D017DB" w:rsidRDefault="00202F31" w:rsidP="00353912">
            <w:pPr>
              <w:autoSpaceDE w:val="0"/>
              <w:autoSpaceDN w:val="0"/>
              <w:adjustRightInd w:val="0"/>
            </w:pPr>
            <w:r w:rsidRPr="00D017DB">
              <w:t>Reduced economies of scale</w:t>
            </w:r>
          </w:p>
        </w:tc>
        <w:tc>
          <w:tcPr>
            <w:tcW w:w="3081" w:type="dxa"/>
          </w:tcPr>
          <w:p w:rsidR="00202F31" w:rsidRPr="00D017DB" w:rsidRDefault="00202F31" w:rsidP="00353912">
            <w:pPr>
              <w:autoSpaceDE w:val="0"/>
              <w:autoSpaceDN w:val="0"/>
              <w:adjustRightInd w:val="0"/>
            </w:pPr>
            <w:r w:rsidRPr="00D017DB">
              <w:t>Small</w:t>
            </w:r>
          </w:p>
        </w:tc>
        <w:tc>
          <w:tcPr>
            <w:tcW w:w="3081" w:type="dxa"/>
          </w:tcPr>
          <w:p w:rsidR="00202F31" w:rsidRPr="00D017DB" w:rsidRDefault="00202F31" w:rsidP="00353912">
            <w:pPr>
              <w:autoSpaceDE w:val="0"/>
              <w:autoSpaceDN w:val="0"/>
              <w:adjustRightInd w:val="0"/>
            </w:pPr>
            <w:r w:rsidRPr="00D017DB">
              <w:t>Low</w:t>
            </w:r>
          </w:p>
        </w:tc>
      </w:tr>
      <w:tr w:rsidR="00202F31" w:rsidRPr="00D017DB" w:rsidTr="00353912">
        <w:trPr>
          <w:trHeight w:val="540"/>
        </w:trPr>
        <w:tc>
          <w:tcPr>
            <w:tcW w:w="3080" w:type="dxa"/>
            <w:vMerge/>
          </w:tcPr>
          <w:p w:rsidR="00202F31" w:rsidRPr="00D017DB" w:rsidRDefault="00202F31" w:rsidP="00353912">
            <w:pPr>
              <w:autoSpaceDE w:val="0"/>
              <w:autoSpaceDN w:val="0"/>
              <w:adjustRightInd w:val="0"/>
            </w:pPr>
          </w:p>
        </w:tc>
        <w:tc>
          <w:tcPr>
            <w:tcW w:w="6162" w:type="dxa"/>
            <w:gridSpan w:val="2"/>
          </w:tcPr>
          <w:p w:rsidR="00202F31" w:rsidRPr="00D017DB" w:rsidRDefault="00202F31" w:rsidP="00353912">
            <w:pPr>
              <w:autoSpaceDE w:val="0"/>
              <w:autoSpaceDN w:val="0"/>
              <w:adjustRightInd w:val="0"/>
            </w:pPr>
            <w:r w:rsidRPr="00D017DB">
              <w:t>The market incentives to achieve economies of scale are strong in most cases and so the market should arrive at harmonised use if this is the best outcome. If it is not the best outcome, the cost of lost economies of scale would be relatively low.</w:t>
            </w:r>
          </w:p>
        </w:tc>
      </w:tr>
      <w:tr w:rsidR="00202F31" w:rsidRPr="00D017DB" w:rsidTr="00353912">
        <w:trPr>
          <w:trHeight w:val="248"/>
        </w:trPr>
        <w:tc>
          <w:tcPr>
            <w:tcW w:w="3080" w:type="dxa"/>
            <w:vMerge w:val="restart"/>
          </w:tcPr>
          <w:p w:rsidR="00202F31" w:rsidRPr="00D017DB" w:rsidRDefault="00202F31" w:rsidP="00353912">
            <w:pPr>
              <w:autoSpaceDE w:val="0"/>
              <w:autoSpaceDN w:val="0"/>
              <w:adjustRightInd w:val="0"/>
            </w:pPr>
            <w:r w:rsidRPr="00D017DB">
              <w:t>Additional cost of complying with the conditions placed on licenses</w:t>
            </w:r>
          </w:p>
        </w:tc>
        <w:tc>
          <w:tcPr>
            <w:tcW w:w="3081" w:type="dxa"/>
          </w:tcPr>
          <w:p w:rsidR="00202F31" w:rsidRPr="00D017DB" w:rsidRDefault="00202F31" w:rsidP="00353912">
            <w:pPr>
              <w:autoSpaceDE w:val="0"/>
              <w:autoSpaceDN w:val="0"/>
              <w:adjustRightInd w:val="0"/>
            </w:pPr>
            <w:r w:rsidRPr="00D017DB">
              <w:t>Low</w:t>
            </w:r>
          </w:p>
        </w:tc>
        <w:tc>
          <w:tcPr>
            <w:tcW w:w="3081" w:type="dxa"/>
          </w:tcPr>
          <w:p w:rsidR="00202F31" w:rsidRPr="00D017DB" w:rsidRDefault="00202F31" w:rsidP="00353912">
            <w:pPr>
              <w:autoSpaceDE w:val="0"/>
              <w:autoSpaceDN w:val="0"/>
              <w:adjustRightInd w:val="0"/>
            </w:pPr>
            <w:r w:rsidRPr="00D017DB">
              <w:t>Low/medium</w:t>
            </w:r>
          </w:p>
        </w:tc>
      </w:tr>
      <w:tr w:rsidR="00202F31" w:rsidRPr="00D017DB" w:rsidTr="00353912">
        <w:trPr>
          <w:trHeight w:val="247"/>
        </w:trPr>
        <w:tc>
          <w:tcPr>
            <w:tcW w:w="3080" w:type="dxa"/>
            <w:vMerge/>
          </w:tcPr>
          <w:p w:rsidR="00202F31" w:rsidRPr="00D017DB" w:rsidRDefault="00202F31" w:rsidP="00353912">
            <w:pPr>
              <w:autoSpaceDE w:val="0"/>
              <w:autoSpaceDN w:val="0"/>
              <w:adjustRightInd w:val="0"/>
            </w:pPr>
          </w:p>
        </w:tc>
        <w:tc>
          <w:tcPr>
            <w:tcW w:w="6162" w:type="dxa"/>
            <w:gridSpan w:val="2"/>
          </w:tcPr>
          <w:p w:rsidR="00202F31" w:rsidRPr="00D017DB" w:rsidRDefault="00202F31" w:rsidP="00353912">
            <w:pPr>
              <w:autoSpaceDE w:val="0"/>
              <w:autoSpaceDN w:val="0"/>
              <w:adjustRightInd w:val="0"/>
            </w:pPr>
            <w:r w:rsidRPr="00D017DB">
              <w:t>Compliance costs may be higher, but this must be balanced against the greater flexibility given to operators in choosing applications and equipment and so the overall cost is unlikely to be high.</w:t>
            </w:r>
          </w:p>
        </w:tc>
      </w:tr>
      <w:tr w:rsidR="00202F31" w:rsidRPr="00D017DB" w:rsidTr="00353912">
        <w:trPr>
          <w:trHeight w:val="390"/>
        </w:trPr>
        <w:tc>
          <w:tcPr>
            <w:tcW w:w="3080" w:type="dxa"/>
            <w:vMerge w:val="restart"/>
          </w:tcPr>
          <w:p w:rsidR="00202F31" w:rsidRPr="00D017DB" w:rsidRDefault="00202F31" w:rsidP="00353912">
            <w:pPr>
              <w:autoSpaceDE w:val="0"/>
              <w:autoSpaceDN w:val="0"/>
              <w:adjustRightInd w:val="0"/>
            </w:pPr>
            <w:r w:rsidRPr="00D017DB">
              <w:t>Increased uncertainty leading to lower investment</w:t>
            </w:r>
          </w:p>
        </w:tc>
        <w:tc>
          <w:tcPr>
            <w:tcW w:w="3081" w:type="dxa"/>
          </w:tcPr>
          <w:p w:rsidR="00202F31" w:rsidRPr="00D017DB" w:rsidRDefault="00202F31" w:rsidP="00353912">
            <w:pPr>
              <w:autoSpaceDE w:val="0"/>
              <w:autoSpaceDN w:val="0"/>
              <w:adjustRightInd w:val="0"/>
            </w:pPr>
            <w:r w:rsidRPr="00D017DB">
              <w:t>Small</w:t>
            </w:r>
          </w:p>
        </w:tc>
        <w:tc>
          <w:tcPr>
            <w:tcW w:w="3081" w:type="dxa"/>
          </w:tcPr>
          <w:p w:rsidR="00202F31" w:rsidRPr="00D017DB" w:rsidRDefault="00202F31" w:rsidP="00353912">
            <w:pPr>
              <w:autoSpaceDE w:val="0"/>
              <w:autoSpaceDN w:val="0"/>
              <w:adjustRightInd w:val="0"/>
            </w:pPr>
            <w:r w:rsidRPr="00D017DB">
              <w:t>Low</w:t>
            </w:r>
          </w:p>
        </w:tc>
      </w:tr>
      <w:tr w:rsidR="00202F31" w:rsidRPr="00D017DB" w:rsidTr="00353912">
        <w:trPr>
          <w:trHeight w:val="390"/>
        </w:trPr>
        <w:tc>
          <w:tcPr>
            <w:tcW w:w="3080" w:type="dxa"/>
            <w:vMerge/>
          </w:tcPr>
          <w:p w:rsidR="00202F31" w:rsidRPr="00D017DB" w:rsidRDefault="00202F31" w:rsidP="00353912">
            <w:pPr>
              <w:autoSpaceDE w:val="0"/>
              <w:autoSpaceDN w:val="0"/>
              <w:adjustRightInd w:val="0"/>
            </w:pPr>
          </w:p>
        </w:tc>
        <w:tc>
          <w:tcPr>
            <w:tcW w:w="6162" w:type="dxa"/>
            <w:gridSpan w:val="2"/>
          </w:tcPr>
          <w:p w:rsidR="00202F31" w:rsidRPr="00D017DB" w:rsidRDefault="00202F31" w:rsidP="00353912">
            <w:pPr>
              <w:autoSpaceDE w:val="0"/>
              <w:autoSpaceDN w:val="0"/>
              <w:adjustRightInd w:val="0"/>
            </w:pPr>
            <w:r w:rsidRPr="00D017DB">
              <w:t>Operators and equipment manufacturers have incentives to co-ordinate to reduce uncertainty, so this may be unlikely to reduce investment. It is not clear that additional certainty would increase efficient investment in any particular application, and may decrease investment in alternatives, so the overall cost would be low.</w:t>
            </w:r>
          </w:p>
        </w:tc>
      </w:tr>
    </w:tbl>
    <w:p w:rsidR="00202F31" w:rsidRPr="00D017DB" w:rsidRDefault="00202F31" w:rsidP="00353912">
      <w:pPr>
        <w:pStyle w:val="SectionLevel3"/>
        <w:tabs>
          <w:tab w:val="clear" w:pos="0"/>
        </w:tabs>
        <w:ind w:firstLine="0"/>
        <w:rPr>
          <w:color w:val="auto"/>
        </w:rPr>
      </w:pPr>
    </w:p>
    <w:p w:rsidR="00202F31" w:rsidRPr="00D017DB" w:rsidRDefault="00202F31" w:rsidP="00353912">
      <w:pPr>
        <w:pStyle w:val="AnnexNumber"/>
        <w:suppressAutoHyphens w:val="0"/>
        <w:rPr>
          <w:color w:val="auto"/>
        </w:rPr>
      </w:pPr>
      <w:r w:rsidRPr="00D017DB">
        <w:rPr>
          <w:color w:val="auto"/>
        </w:rPr>
        <w:t>Annex 1</w:t>
      </w:r>
    </w:p>
    <w:p w:rsidR="00202F31" w:rsidRPr="00D017DB" w:rsidRDefault="00202F31" w:rsidP="00353912">
      <w:pPr>
        <w:pStyle w:val="AnnexLevel1"/>
        <w:numPr>
          <w:ilvl w:val="1"/>
          <w:numId w:val="0"/>
        </w:numPr>
        <w:tabs>
          <w:tab w:val="num" w:pos="0"/>
        </w:tabs>
        <w:suppressAutoHyphens w:val="0"/>
        <w:ind w:hanging="720"/>
        <w:rPr>
          <w:color w:val="auto"/>
        </w:rPr>
      </w:pPr>
      <w:r>
        <w:rPr>
          <w:b/>
          <w:color w:val="auto"/>
        </w:rPr>
        <w:tab/>
      </w:r>
      <w:r w:rsidRPr="00D017DB">
        <w:rPr>
          <w:b/>
          <w:color w:val="auto"/>
        </w:rPr>
        <w:t>Assessment of potential impact of market failures</w:t>
      </w:r>
      <w:r w:rsidRPr="00D017DB">
        <w:rPr>
          <w:color w:val="auto"/>
        </w:rPr>
        <w:t xml:space="preserve"> </w:t>
      </w:r>
    </w:p>
    <w:p w:rsidR="00202F31" w:rsidRPr="00D017DB" w:rsidRDefault="00202F31" w:rsidP="00353912">
      <w:pPr>
        <w:pStyle w:val="AnnexLevel2"/>
        <w:numPr>
          <w:ilvl w:val="2"/>
          <w:numId w:val="0"/>
        </w:numPr>
        <w:tabs>
          <w:tab w:val="num" w:pos="0"/>
        </w:tabs>
        <w:suppressAutoHyphens w:val="0"/>
        <w:rPr>
          <w:color w:val="auto"/>
        </w:rPr>
      </w:pPr>
      <w:r w:rsidRPr="00D017DB">
        <w:rPr>
          <w:color w:val="auto"/>
        </w:rPr>
        <w:t>Introduction</w:t>
      </w:r>
    </w:p>
    <w:p w:rsidR="00202F31" w:rsidRDefault="00202F31" w:rsidP="000725C3">
      <w:pPr>
        <w:pStyle w:val="AnnexLevel3"/>
        <w:numPr>
          <w:ilvl w:val="3"/>
          <w:numId w:val="0"/>
        </w:numPr>
        <w:tabs>
          <w:tab w:val="clear" w:pos="851"/>
          <w:tab w:val="num" w:pos="0"/>
        </w:tabs>
        <w:suppressAutoHyphens w:val="0"/>
        <w:rPr>
          <w:color w:val="auto"/>
        </w:rPr>
      </w:pPr>
      <w:r w:rsidRPr="00D017DB">
        <w:rPr>
          <w:color w:val="auto"/>
        </w:rPr>
        <w:t>The argument for allowing operators and industry to determine the best use of the L-band spectrum is based on the assumption that these groups are able to work efficiently in identifying the highest value uses of this spectrum. As noted in the main body of this document, flexible harmonisation at a certain level might be required to set the general technical environment (i.e. technical limits at the band edge, and generic spectrum block sizes), but in theory, there are a range of situations in which the market may be unable to achieve the best use of spectrum even within this environment. These are commonly known as “market failures”. We consider there are three possible market failures which may be relevant in this case:</w:t>
      </w:r>
    </w:p>
    <w:p w:rsidR="00202F31" w:rsidRDefault="00202F31" w:rsidP="000725C3">
      <w:pPr>
        <w:pStyle w:val="ListParagraph"/>
        <w:numPr>
          <w:ilvl w:val="0"/>
          <w:numId w:val="5"/>
        </w:numPr>
        <w:suppressAutoHyphens w:val="0"/>
        <w:autoSpaceDE w:val="0"/>
        <w:autoSpaceDN w:val="0"/>
        <w:adjustRightInd w:val="0"/>
        <w:spacing w:line="240" w:lineRule="auto"/>
        <w:ind w:left="1440" w:hanging="720"/>
        <w:contextualSpacing/>
      </w:pPr>
      <w:r w:rsidRPr="00D017DB">
        <w:t>Market power</w:t>
      </w:r>
    </w:p>
    <w:p w:rsidR="00202F31" w:rsidRDefault="00202F31" w:rsidP="000725C3">
      <w:pPr>
        <w:pStyle w:val="ListParagraph"/>
        <w:numPr>
          <w:ilvl w:val="0"/>
          <w:numId w:val="5"/>
        </w:numPr>
        <w:suppressAutoHyphens w:val="0"/>
        <w:autoSpaceDE w:val="0"/>
        <w:autoSpaceDN w:val="0"/>
        <w:adjustRightInd w:val="0"/>
        <w:spacing w:line="240" w:lineRule="auto"/>
        <w:ind w:left="1440" w:hanging="720"/>
        <w:contextualSpacing/>
      </w:pPr>
      <w:r w:rsidRPr="00D017DB">
        <w:t>Externalities</w:t>
      </w:r>
    </w:p>
    <w:p w:rsidR="00202F31" w:rsidRDefault="00202F31" w:rsidP="000725C3">
      <w:pPr>
        <w:pStyle w:val="ListParagraph"/>
        <w:numPr>
          <w:ilvl w:val="0"/>
          <w:numId w:val="11"/>
        </w:numPr>
        <w:suppressAutoHyphens w:val="0"/>
        <w:autoSpaceDE w:val="0"/>
        <w:autoSpaceDN w:val="0"/>
        <w:adjustRightInd w:val="0"/>
        <w:spacing w:line="240" w:lineRule="auto"/>
        <w:ind w:left="2127" w:hanging="709"/>
        <w:contextualSpacing/>
      </w:pPr>
      <w:r w:rsidRPr="00D017DB">
        <w:t>Interference externalities</w:t>
      </w:r>
    </w:p>
    <w:p w:rsidR="00202F31" w:rsidRDefault="00202F31" w:rsidP="000725C3">
      <w:pPr>
        <w:pStyle w:val="ListParagraph"/>
        <w:numPr>
          <w:ilvl w:val="0"/>
          <w:numId w:val="11"/>
        </w:numPr>
        <w:suppressAutoHyphens w:val="0"/>
        <w:autoSpaceDE w:val="0"/>
        <w:autoSpaceDN w:val="0"/>
        <w:adjustRightInd w:val="0"/>
        <w:spacing w:line="240" w:lineRule="auto"/>
        <w:ind w:left="2127" w:hanging="709"/>
        <w:contextualSpacing/>
      </w:pPr>
      <w:r w:rsidRPr="00D017DB">
        <w:t>Economies of scale externalities</w:t>
      </w:r>
    </w:p>
    <w:p w:rsidR="00202F31" w:rsidRDefault="00202F31" w:rsidP="000725C3">
      <w:pPr>
        <w:pStyle w:val="ListParagraph"/>
        <w:numPr>
          <w:ilvl w:val="0"/>
          <w:numId w:val="5"/>
        </w:numPr>
        <w:suppressAutoHyphens w:val="0"/>
        <w:autoSpaceDE w:val="0"/>
        <w:autoSpaceDN w:val="0"/>
        <w:adjustRightInd w:val="0"/>
        <w:spacing w:line="240" w:lineRule="auto"/>
        <w:ind w:left="1440" w:hanging="720"/>
        <w:contextualSpacing/>
      </w:pPr>
      <w:r w:rsidRPr="00D017DB">
        <w:t>Asymmetric information</w:t>
      </w:r>
    </w:p>
    <w:p w:rsidR="00202F31" w:rsidRDefault="00202F31" w:rsidP="000725C3">
      <w:pPr>
        <w:pStyle w:val="AnnexLevel3"/>
        <w:numPr>
          <w:ilvl w:val="3"/>
          <w:numId w:val="0"/>
        </w:numPr>
        <w:tabs>
          <w:tab w:val="clear" w:pos="851"/>
          <w:tab w:val="num" w:pos="0"/>
        </w:tabs>
        <w:suppressAutoHyphens w:val="0"/>
        <w:rPr>
          <w:color w:val="auto"/>
        </w:rPr>
      </w:pPr>
      <w:r w:rsidRPr="00D017DB">
        <w:rPr>
          <w:color w:val="auto"/>
        </w:rPr>
        <w:t>In this annex, we briefly discuss each of these in turn to come to an initial view of whether any of these market failures are likely to arise and, if they are, whether the impact of this might justify a regulatory intervention to secure the spectrum for a specific use (given the likely costs of such a decision).</w:t>
      </w:r>
    </w:p>
    <w:p w:rsidR="00202F31" w:rsidRPr="00D017DB" w:rsidRDefault="00202F31" w:rsidP="00353912">
      <w:pPr>
        <w:pStyle w:val="AnnexLevel2"/>
        <w:numPr>
          <w:ilvl w:val="2"/>
          <w:numId w:val="0"/>
        </w:numPr>
        <w:tabs>
          <w:tab w:val="num" w:pos="0"/>
        </w:tabs>
        <w:suppressAutoHyphens w:val="0"/>
        <w:rPr>
          <w:color w:val="auto"/>
        </w:rPr>
      </w:pPr>
      <w:r w:rsidRPr="00D017DB">
        <w:rPr>
          <w:color w:val="auto"/>
        </w:rPr>
        <w:t>Market power</w:t>
      </w:r>
    </w:p>
    <w:p w:rsidR="00202F31" w:rsidRDefault="00202F31" w:rsidP="000725C3">
      <w:pPr>
        <w:pStyle w:val="AnnexLevel3"/>
        <w:numPr>
          <w:ilvl w:val="3"/>
          <w:numId w:val="0"/>
        </w:numPr>
        <w:tabs>
          <w:tab w:val="clear" w:pos="851"/>
          <w:tab w:val="num" w:pos="0"/>
        </w:tabs>
        <w:suppressAutoHyphens w:val="0"/>
        <w:rPr>
          <w:color w:val="auto"/>
        </w:rPr>
      </w:pPr>
      <w:r w:rsidRPr="00D017DB">
        <w:rPr>
          <w:color w:val="auto"/>
        </w:rPr>
        <w:t>With technology neutrality, if the L-band licence/s are held by an entity with market power, then it may have an incentive to use it inefficiently e.g. to use it to consolidate its power in a particular market, when it would be better used for something else. If the licence is held by an operator without market power, but one of the potential applications is not a competitive market, then it may be prevented from using it to enter this market, even where this would be the best use. In these circumstances, market mechanisms may not arrive at the optimal use of the spectrum.</w:t>
      </w:r>
    </w:p>
    <w:p w:rsidR="00202F31" w:rsidRDefault="00202F31" w:rsidP="000725C3">
      <w:pPr>
        <w:pStyle w:val="AnnexLevel3"/>
        <w:numPr>
          <w:ilvl w:val="3"/>
          <w:numId w:val="0"/>
        </w:numPr>
        <w:tabs>
          <w:tab w:val="clear" w:pos="851"/>
          <w:tab w:val="num" w:pos="0"/>
        </w:tabs>
        <w:suppressAutoHyphens w:val="0"/>
        <w:rPr>
          <w:color w:val="auto"/>
        </w:rPr>
      </w:pPr>
      <w:r w:rsidRPr="00D017DB">
        <w:rPr>
          <w:color w:val="auto"/>
        </w:rPr>
        <w:t>It is not clear that any of the possible uses of the L-band raise particular concerns about market power. Where there is some concern, it is likely that this will arise mainly in individual member states rather than on an EU-wide basis, and so it may be more appropriate to deal with such concerns in the individual countries rather than through an EU-wide solution (like reserving the spectrum for a limited number of indentified applications). In addition, it is difficult to see why reserving the band for a specific use would be the most effective response compared, for example, to the use of competition powers to reduce or remove the competition concern.</w:t>
      </w:r>
    </w:p>
    <w:p w:rsidR="00202F31" w:rsidRPr="00D017DB" w:rsidRDefault="00202F31" w:rsidP="00353912">
      <w:pPr>
        <w:pStyle w:val="AnnexLevel2"/>
        <w:numPr>
          <w:ilvl w:val="2"/>
          <w:numId w:val="0"/>
        </w:numPr>
        <w:tabs>
          <w:tab w:val="num" w:pos="0"/>
        </w:tabs>
        <w:suppressAutoHyphens w:val="0"/>
        <w:rPr>
          <w:color w:val="auto"/>
        </w:rPr>
      </w:pPr>
      <w:r w:rsidRPr="00D017DB">
        <w:rPr>
          <w:color w:val="auto"/>
        </w:rPr>
        <w:t>Externalities</w:t>
      </w:r>
    </w:p>
    <w:p w:rsidR="00202F31" w:rsidRDefault="00202F31" w:rsidP="000725C3">
      <w:pPr>
        <w:pStyle w:val="AnnexLevel3"/>
        <w:numPr>
          <w:ilvl w:val="3"/>
          <w:numId w:val="0"/>
        </w:numPr>
        <w:tabs>
          <w:tab w:val="clear" w:pos="851"/>
          <w:tab w:val="num" w:pos="0"/>
        </w:tabs>
        <w:suppressAutoHyphens w:val="0"/>
        <w:rPr>
          <w:color w:val="auto"/>
        </w:rPr>
      </w:pPr>
      <w:r w:rsidRPr="00D017DB">
        <w:rPr>
          <w:color w:val="auto"/>
        </w:rPr>
        <w:t>Externalities arise where the actions of a private individual spill over onto others, creating either an external benefit or an external cost which is not taken into account in the individual’s decision making. There are two different types of externalities which may be relevant in the use of the L-band – interference and economies of scale.</w:t>
      </w:r>
    </w:p>
    <w:p w:rsidR="00202F31" w:rsidRPr="00D017DB" w:rsidRDefault="00202F31" w:rsidP="00353912">
      <w:pPr>
        <w:pStyle w:val="Annex2ndSubHeading"/>
        <w:rPr>
          <w:color w:val="auto"/>
        </w:rPr>
      </w:pPr>
      <w:r w:rsidRPr="00D017DB">
        <w:rPr>
          <w:color w:val="auto"/>
        </w:rPr>
        <w:t>Interference externalities</w:t>
      </w:r>
    </w:p>
    <w:p w:rsidR="00202F31" w:rsidRDefault="00202F31" w:rsidP="000725C3">
      <w:pPr>
        <w:pStyle w:val="AnnexLevel3"/>
        <w:numPr>
          <w:ilvl w:val="3"/>
          <w:numId w:val="0"/>
        </w:numPr>
        <w:tabs>
          <w:tab w:val="clear" w:pos="851"/>
          <w:tab w:val="num" w:pos="0"/>
        </w:tabs>
        <w:suppressAutoHyphens w:val="0"/>
        <w:rPr>
          <w:color w:val="auto"/>
        </w:rPr>
      </w:pPr>
      <w:r w:rsidRPr="00D017DB">
        <w:rPr>
          <w:color w:val="auto"/>
        </w:rPr>
        <w:t>If users impose interference costs on adjacent users, each user may not fully factor this into their decisions. This could result in increasing costs for all users and reductions in the usability of spectrum.</w:t>
      </w:r>
    </w:p>
    <w:p w:rsidR="00202F31" w:rsidRDefault="00202F31" w:rsidP="000725C3">
      <w:pPr>
        <w:pStyle w:val="AnnexLevel3"/>
        <w:numPr>
          <w:ilvl w:val="3"/>
          <w:numId w:val="0"/>
        </w:numPr>
        <w:tabs>
          <w:tab w:val="clear" w:pos="851"/>
          <w:tab w:val="num" w:pos="0"/>
        </w:tabs>
        <w:suppressAutoHyphens w:val="0"/>
        <w:rPr>
          <w:color w:val="auto"/>
        </w:rPr>
      </w:pPr>
      <w:r w:rsidRPr="00D017DB">
        <w:rPr>
          <w:color w:val="auto"/>
        </w:rPr>
        <w:t xml:space="preserve">However, this situation exists under all regimes of spectrum management. Spectrum users will always have adjacent users who could cause interference problems. Whilst allowing alternative technologies within the same band may increase the potential for interference the solution to interference from adjacent users is to specify and enforce usage rights through an appropriate regulatory regime. This solution is no less effective where the spectrum can be used for multiple uses. </w:t>
      </w:r>
    </w:p>
    <w:p w:rsidR="00202F31" w:rsidRDefault="00202F31" w:rsidP="000725C3">
      <w:pPr>
        <w:pStyle w:val="AnnexLevel3"/>
        <w:numPr>
          <w:ilvl w:val="3"/>
          <w:numId w:val="0"/>
        </w:numPr>
        <w:tabs>
          <w:tab w:val="clear" w:pos="851"/>
          <w:tab w:val="num" w:pos="0"/>
        </w:tabs>
        <w:suppressAutoHyphens w:val="0"/>
        <w:rPr>
          <w:color w:val="auto"/>
        </w:rPr>
      </w:pPr>
      <w:r w:rsidRPr="00D017DB">
        <w:rPr>
          <w:color w:val="auto"/>
        </w:rPr>
        <w:t xml:space="preserve">However, in some circumstances the specification of appropriate usage rights under a technology and application neutral approach may be more complex and costly for regulatory agencies. As set out above, the additional cost of determining the least restrictive conditions to be placed on licences needs to be considered in the assessment. </w:t>
      </w:r>
    </w:p>
    <w:p w:rsidR="00202F31" w:rsidRPr="00D017DB" w:rsidRDefault="00202F31" w:rsidP="00353912">
      <w:pPr>
        <w:pStyle w:val="Annex2ndSubHeading"/>
        <w:rPr>
          <w:color w:val="auto"/>
        </w:rPr>
      </w:pPr>
      <w:r w:rsidRPr="00D017DB">
        <w:rPr>
          <w:color w:val="auto"/>
        </w:rPr>
        <w:t>Economies of scale externalities</w:t>
      </w:r>
    </w:p>
    <w:p w:rsidR="00202F31" w:rsidRDefault="00202F31" w:rsidP="000725C3">
      <w:pPr>
        <w:pStyle w:val="AnnexLevel3"/>
        <w:numPr>
          <w:ilvl w:val="3"/>
          <w:numId w:val="0"/>
        </w:numPr>
        <w:tabs>
          <w:tab w:val="clear" w:pos="851"/>
          <w:tab w:val="num" w:pos="0"/>
        </w:tabs>
        <w:suppressAutoHyphens w:val="0"/>
        <w:rPr>
          <w:color w:val="auto"/>
        </w:rPr>
      </w:pPr>
      <w:r w:rsidRPr="00D017DB">
        <w:rPr>
          <w:color w:val="auto"/>
        </w:rPr>
        <w:t>If economies of scale benefits are reliant on decisions made by a number of different operators, some economies of scale benefits could in principle be lost if operators do not take account of the additional economies of scale benefits they generate for other users when making decisions. Reserving the L-band for a specific service may make it easier to co-ordinate and maximise economies of scale (e.g. in producing equipment) for this use, compared to leaving operators to make individual unilateral decisions about the use of the spectrum.</w:t>
      </w:r>
    </w:p>
    <w:p w:rsidR="00202F31" w:rsidRDefault="00202F31" w:rsidP="000725C3">
      <w:pPr>
        <w:pStyle w:val="AnnexLevel3"/>
        <w:numPr>
          <w:ilvl w:val="3"/>
          <w:numId w:val="0"/>
        </w:numPr>
        <w:tabs>
          <w:tab w:val="clear" w:pos="851"/>
          <w:tab w:val="num" w:pos="0"/>
        </w:tabs>
        <w:suppressAutoHyphens w:val="0"/>
        <w:rPr>
          <w:color w:val="auto"/>
        </w:rPr>
      </w:pPr>
      <w:r w:rsidRPr="00D017DB">
        <w:rPr>
          <w:color w:val="auto"/>
        </w:rPr>
        <w:t>However, economies of scale are generated in other industries without government intervention to mandate the use of particular technologies or inputs. Therefore, it may not be necessary to intervene to reserve the L-band for a particular application in order to achieve economies of scale.</w:t>
      </w:r>
    </w:p>
    <w:p w:rsidR="00202F31" w:rsidRDefault="00202F31" w:rsidP="000725C3">
      <w:pPr>
        <w:pStyle w:val="AnnexLevel3"/>
        <w:numPr>
          <w:ilvl w:val="3"/>
          <w:numId w:val="0"/>
        </w:numPr>
        <w:tabs>
          <w:tab w:val="clear" w:pos="851"/>
          <w:tab w:val="num" w:pos="0"/>
        </w:tabs>
        <w:suppressAutoHyphens w:val="0"/>
        <w:rPr>
          <w:color w:val="auto"/>
        </w:rPr>
      </w:pPr>
      <w:r w:rsidRPr="00D017DB">
        <w:rPr>
          <w:color w:val="auto"/>
        </w:rPr>
        <w:t>Achieving economies of scale benefits has a direct effect upon the private benefits of operators and manufacturers. Hence, both operators and manufacturers face strong incentives to co-ordinate in order to internalise economies of scale externalities. For example, operators and manufacturers could seek to organise their spectrum use to achieve economies of scale through, for example, industry working groups and standards bodies. These could identify, in agreement with manufacturers, a range of bands for which technologies will be developed based on a market assessment of bands which are most suitable and most likely to be available. Operators wishing to deploy these technologies will then know that if they use one of these bands they will be likely to benefit from some economies of scale. In addition, operators would have incentives in the secondary market to unite around technologies and/or re-locate in groups if this brings significant additional cost savings.</w:t>
      </w:r>
    </w:p>
    <w:p w:rsidR="00202F31" w:rsidRDefault="00202F31" w:rsidP="000725C3">
      <w:pPr>
        <w:pStyle w:val="AnnexLevel3"/>
        <w:numPr>
          <w:ilvl w:val="3"/>
          <w:numId w:val="0"/>
        </w:numPr>
        <w:tabs>
          <w:tab w:val="clear" w:pos="851"/>
          <w:tab w:val="num" w:pos="0"/>
        </w:tabs>
        <w:suppressAutoHyphens w:val="0"/>
        <w:rPr>
          <w:color w:val="auto"/>
        </w:rPr>
      </w:pPr>
      <w:r w:rsidRPr="00D017DB">
        <w:rPr>
          <w:color w:val="auto"/>
        </w:rPr>
        <w:t xml:space="preserve"> All technologies which could make use of this band will be susceptible to economies of scale to some extent. Therefore, a loss of some economies of scale for one application may be an efficient outcome if these are offset by an increase in the economies of scale generated for alternative technologies. In other words, loss of some economies of scale for a particular application does not necessarily imply that there is a loss in the total economies of scale benefits generated from use of the band. In addition, given the incentives to internalise economies of scale externalities, if economies of scale benefits are lost this indicates that the market has identified that the additional benefits which are generated from using alternative technologies (for example the allocative</w:t>
      </w:r>
      <w:r w:rsidRPr="00D017DB">
        <w:rPr>
          <w:rStyle w:val="FootnoteReference"/>
          <w:rFonts w:cs="Mangal"/>
          <w:color w:val="auto"/>
        </w:rPr>
        <w:footnoteReference w:id="6"/>
      </w:r>
      <w:r w:rsidRPr="00D017DB">
        <w:rPr>
          <w:color w:val="auto"/>
        </w:rPr>
        <w:t xml:space="preserve"> and dynamic efficiencies</w:t>
      </w:r>
      <w:r w:rsidRPr="00D017DB">
        <w:rPr>
          <w:rStyle w:val="FootnoteReference"/>
          <w:rFonts w:cs="Mangal"/>
          <w:color w:val="auto"/>
        </w:rPr>
        <w:footnoteReference w:id="7"/>
      </w:r>
      <w:r w:rsidRPr="00D017DB">
        <w:rPr>
          <w:color w:val="auto"/>
        </w:rPr>
        <w:t>) outweigh any lost economies of scale benefits. In which case, a loss of some economies of scale benefits is an efficient outcome.</w:t>
      </w:r>
    </w:p>
    <w:p w:rsidR="00202F31" w:rsidRDefault="00202F31" w:rsidP="000725C3">
      <w:pPr>
        <w:pStyle w:val="AnnexLevel3"/>
        <w:numPr>
          <w:ilvl w:val="3"/>
          <w:numId w:val="0"/>
        </w:numPr>
        <w:tabs>
          <w:tab w:val="clear" w:pos="851"/>
          <w:tab w:val="num" w:pos="0"/>
        </w:tabs>
        <w:suppressAutoHyphens w:val="0"/>
        <w:rPr>
          <w:color w:val="auto"/>
        </w:rPr>
      </w:pPr>
      <w:r w:rsidRPr="00D017DB">
        <w:rPr>
          <w:color w:val="auto"/>
        </w:rPr>
        <w:t>If manufacturers and operators fail to fully internalise economies of scale externalities there is a theoretical possibility that a technology and application neutral approach could result in some loss of economies of scale benefits from the L-band. However, this appears unlikely as both operators and manufacturers face strong incentives to internalise this externality. In addition, this would be a loss compared to the optimal level of economies of scale which could in theory be achieved under technology and application neutrality. This does not mean that, in this situation, reserving spectrum for a specific use would be a better solution. In fact, it is likely that this would be even worse.</w:t>
      </w:r>
    </w:p>
    <w:p w:rsidR="00202F31" w:rsidRPr="00D017DB" w:rsidRDefault="00202F31" w:rsidP="00353912">
      <w:pPr>
        <w:pStyle w:val="AnnexLevel2"/>
        <w:numPr>
          <w:ilvl w:val="2"/>
          <w:numId w:val="0"/>
        </w:numPr>
        <w:tabs>
          <w:tab w:val="num" w:pos="0"/>
        </w:tabs>
        <w:suppressAutoHyphens w:val="0"/>
        <w:rPr>
          <w:color w:val="auto"/>
        </w:rPr>
      </w:pPr>
      <w:r w:rsidRPr="00D017DB">
        <w:rPr>
          <w:color w:val="auto"/>
        </w:rPr>
        <w:t>Information asymmetries</w:t>
      </w:r>
    </w:p>
    <w:p w:rsidR="00202F31" w:rsidRDefault="00202F31" w:rsidP="000725C3">
      <w:pPr>
        <w:pStyle w:val="AnnexLevel3"/>
        <w:numPr>
          <w:ilvl w:val="3"/>
          <w:numId w:val="0"/>
        </w:numPr>
        <w:tabs>
          <w:tab w:val="clear" w:pos="851"/>
          <w:tab w:val="num" w:pos="0"/>
        </w:tabs>
        <w:suppressAutoHyphens w:val="0"/>
        <w:rPr>
          <w:color w:val="auto"/>
        </w:rPr>
      </w:pPr>
      <w:r w:rsidRPr="00D017DB">
        <w:rPr>
          <w:color w:val="auto"/>
        </w:rPr>
        <w:t>Information asymmetries may arise if different users face different search costs due to some users having access to better information than others as to the value of the spectrum to them. For example, technologies which have already been launched will be better informed of the demand for and costs of their services, whilst those operators launching new technologies will face uncertainty as to these. Therefore, users of alternative technologies may find it more costly to identify whether or not their use is of higher value. If these costs are significant this could prevent alternative technologies being launched even though they may represent higher value spectrum uses in the longer term. However, imposing exclusive access for a particular technology or application would not resolve this uncertainty.</w:t>
      </w:r>
    </w:p>
    <w:p w:rsidR="00202F31" w:rsidRDefault="00202F31" w:rsidP="000725C3">
      <w:pPr>
        <w:pStyle w:val="AnnexLevel3"/>
        <w:numPr>
          <w:ilvl w:val="3"/>
          <w:numId w:val="0"/>
        </w:numPr>
        <w:tabs>
          <w:tab w:val="clear" w:pos="851"/>
          <w:tab w:val="num" w:pos="0"/>
        </w:tabs>
        <w:suppressAutoHyphens w:val="0"/>
        <w:rPr>
          <w:color w:val="auto"/>
        </w:rPr>
      </w:pPr>
      <w:r w:rsidRPr="00D017DB">
        <w:rPr>
          <w:color w:val="auto"/>
        </w:rPr>
        <w:t>The market will normally be better informed than the regulator as to the value which can be generated in different uses. Hence, in the face of these informational asymmetries it is better for the market to decide than the regulator, suggesting a technology and application neutral approach may be better.</w:t>
      </w:r>
    </w:p>
    <w:p w:rsidR="00202F31" w:rsidRPr="00D017DB" w:rsidRDefault="00202F31" w:rsidP="00353912">
      <w:pPr>
        <w:pStyle w:val="AnnexLevel2"/>
        <w:numPr>
          <w:ilvl w:val="2"/>
          <w:numId w:val="0"/>
        </w:numPr>
        <w:tabs>
          <w:tab w:val="num" w:pos="0"/>
        </w:tabs>
        <w:suppressAutoHyphens w:val="0"/>
        <w:rPr>
          <w:color w:val="auto"/>
        </w:rPr>
      </w:pPr>
      <w:r w:rsidRPr="00D017DB">
        <w:rPr>
          <w:color w:val="auto"/>
        </w:rPr>
        <w:t>Conclusion</w:t>
      </w:r>
    </w:p>
    <w:p w:rsidR="00202F31" w:rsidRDefault="00202F31" w:rsidP="000725C3">
      <w:pPr>
        <w:pStyle w:val="AnnexLevel3"/>
        <w:numPr>
          <w:ilvl w:val="3"/>
          <w:numId w:val="0"/>
        </w:numPr>
        <w:tabs>
          <w:tab w:val="clear" w:pos="851"/>
          <w:tab w:val="num" w:pos="0"/>
        </w:tabs>
        <w:suppressAutoHyphens w:val="0"/>
        <w:rPr>
          <w:color w:val="auto"/>
        </w:rPr>
      </w:pPr>
      <w:r w:rsidRPr="00D017DB">
        <w:rPr>
          <w:color w:val="auto"/>
        </w:rPr>
        <w:t>The above discussion suggests that market failures are unlikely to be a significant concern for the L-band. Where market failures do arise:</w:t>
      </w:r>
    </w:p>
    <w:p w:rsidR="00202F31" w:rsidRDefault="00202F31" w:rsidP="000725C3">
      <w:pPr>
        <w:pStyle w:val="AnnexLevel3"/>
        <w:numPr>
          <w:ilvl w:val="3"/>
          <w:numId w:val="0"/>
        </w:numPr>
        <w:tabs>
          <w:tab w:val="clear" w:pos="851"/>
          <w:tab w:val="num" w:pos="0"/>
        </w:tabs>
        <w:suppressAutoHyphens w:val="0"/>
        <w:rPr>
          <w:color w:val="auto"/>
        </w:rPr>
      </w:pPr>
      <w:r w:rsidRPr="00D017DB">
        <w:rPr>
          <w:color w:val="auto"/>
        </w:rPr>
        <w:t>The problems would still be present if the spectrum is reserved for a specific purpose</w:t>
      </w:r>
      <w:r>
        <w:rPr>
          <w:color w:val="auto"/>
        </w:rPr>
        <w:t>/application</w:t>
      </w:r>
      <w:r w:rsidRPr="00D017DB">
        <w:rPr>
          <w:color w:val="auto"/>
        </w:rPr>
        <w:t>; and/or</w:t>
      </w:r>
    </w:p>
    <w:p w:rsidR="00202F31" w:rsidRDefault="00202F31" w:rsidP="000725C3">
      <w:pPr>
        <w:pStyle w:val="AnnexLevel3"/>
        <w:numPr>
          <w:ilvl w:val="3"/>
          <w:numId w:val="0"/>
        </w:numPr>
        <w:tabs>
          <w:tab w:val="clear" w:pos="851"/>
          <w:tab w:val="num" w:pos="0"/>
        </w:tabs>
        <w:suppressAutoHyphens w:val="0"/>
        <w:rPr>
          <w:color w:val="auto"/>
        </w:rPr>
      </w:pPr>
      <w:r w:rsidRPr="00D017DB">
        <w:rPr>
          <w:color w:val="auto"/>
        </w:rPr>
        <w:t>The impact of the problems for the L-band is likely to be small; and/or</w:t>
      </w:r>
    </w:p>
    <w:p w:rsidR="00202F31" w:rsidRDefault="00202F31">
      <w:pPr>
        <w:pStyle w:val="AnnexLevel3"/>
        <w:numPr>
          <w:ilvl w:val="3"/>
          <w:numId w:val="0"/>
        </w:numPr>
        <w:tabs>
          <w:tab w:val="clear" w:pos="851"/>
          <w:tab w:val="num" w:pos="0"/>
        </w:tabs>
        <w:suppressAutoHyphens w:val="0"/>
        <w:rPr>
          <w:color w:val="auto"/>
        </w:rPr>
      </w:pPr>
      <w:r w:rsidRPr="00D017DB">
        <w:rPr>
          <w:color w:val="auto"/>
        </w:rPr>
        <w:t>Regulatory intervention to reserve the spectrum for a specific use is not the appropriate remedy</w:t>
      </w:r>
    </w:p>
    <w:sectPr w:rsidR="00202F31" w:rsidSect="002015EB">
      <w:headerReference w:type="even" r:id="rId14"/>
      <w:headerReference w:type="default" r:id="rId15"/>
      <w:footerReference w:type="default" r:id="rId16"/>
      <w:headerReference w:type="first" r:id="rId17"/>
      <w:footerReference w:type="first" r:id="rId18"/>
      <w:pgSz w:w="11907" w:h="16840" w:code="9"/>
      <w:pgMar w:top="1440" w:right="1440" w:bottom="1440" w:left="1440"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F31" w:rsidRDefault="00202F31">
      <w:pPr>
        <w:spacing w:after="0" w:line="240" w:lineRule="auto"/>
      </w:pPr>
      <w:r>
        <w:separator/>
      </w:r>
    </w:p>
  </w:endnote>
  <w:endnote w:type="continuationSeparator" w:id="0">
    <w:p w:rsidR="00202F31" w:rsidRDefault="00202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31" w:rsidRDefault="00202F3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31" w:rsidRDefault="00202F3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31" w:rsidRDefault="00202F3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31" w:rsidRPr="004559DA" w:rsidRDefault="00202F31" w:rsidP="002526E5">
    <w:pPr>
      <w:pStyle w:val="Footer"/>
      <w:jc w:val="right"/>
      <w:rPr>
        <w:color w:val="000000"/>
        <w:szCs w:val="22"/>
      </w:rPr>
    </w:pPr>
    <w:r w:rsidRPr="004559DA">
      <w:rPr>
        <w:rStyle w:val="PageNumber"/>
        <w:rFonts w:cs="Calibri"/>
        <w:color w:val="000000"/>
        <w:szCs w:val="22"/>
      </w:rPr>
      <w:fldChar w:fldCharType="begin"/>
    </w:r>
    <w:r w:rsidRPr="004559DA">
      <w:rPr>
        <w:rStyle w:val="PageNumber"/>
        <w:rFonts w:cs="Calibri"/>
        <w:color w:val="000000"/>
        <w:szCs w:val="22"/>
      </w:rPr>
      <w:instrText xml:space="preserve"> PAGE </w:instrText>
    </w:r>
    <w:r w:rsidRPr="004559DA">
      <w:rPr>
        <w:rStyle w:val="PageNumber"/>
        <w:rFonts w:cs="Calibri"/>
        <w:color w:val="000000"/>
        <w:szCs w:val="22"/>
      </w:rPr>
      <w:fldChar w:fldCharType="separate"/>
    </w:r>
    <w:r>
      <w:rPr>
        <w:rStyle w:val="PageNumber"/>
        <w:rFonts w:cs="Calibri"/>
        <w:noProof/>
        <w:color w:val="000000"/>
        <w:szCs w:val="22"/>
      </w:rPr>
      <w:t>7</w:t>
    </w:r>
    <w:r w:rsidRPr="004559DA">
      <w:rPr>
        <w:rStyle w:val="PageNumber"/>
        <w:rFonts w:cs="Calibri"/>
        <w:color w:val="000000"/>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31" w:rsidRDefault="00202F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F31" w:rsidRDefault="00202F31">
      <w:pPr>
        <w:spacing w:after="0" w:line="240" w:lineRule="auto"/>
      </w:pPr>
      <w:r>
        <w:separator/>
      </w:r>
    </w:p>
  </w:footnote>
  <w:footnote w:type="continuationSeparator" w:id="0">
    <w:p w:rsidR="00202F31" w:rsidRDefault="00202F31">
      <w:pPr>
        <w:spacing w:after="0" w:line="240" w:lineRule="auto"/>
      </w:pPr>
      <w:r>
        <w:continuationSeparator/>
      </w:r>
    </w:p>
  </w:footnote>
  <w:footnote w:id="1">
    <w:p w:rsidR="00202F31" w:rsidRDefault="00202F31" w:rsidP="00353912">
      <w:pPr>
        <w:pStyle w:val="FootnoteText"/>
      </w:pPr>
      <w:r>
        <w:rPr>
          <w:rStyle w:val="FootnoteReference"/>
          <w:rFonts w:cs="Calibri"/>
        </w:rPr>
        <w:footnoteRef/>
      </w:r>
      <w:r>
        <w:t xml:space="preserve"> Economies of scale are where the average cost of production falls as the quantity produced increases.</w:t>
      </w:r>
    </w:p>
  </w:footnote>
  <w:footnote w:id="2">
    <w:p w:rsidR="00202F31" w:rsidRDefault="00202F31" w:rsidP="00353912">
      <w:pPr>
        <w:autoSpaceDE w:val="0"/>
        <w:autoSpaceDN w:val="0"/>
        <w:adjustRightInd w:val="0"/>
        <w:spacing w:after="0" w:line="240" w:lineRule="auto"/>
      </w:pPr>
      <w:r>
        <w:rPr>
          <w:rStyle w:val="FootnoteReference"/>
          <w:rFonts w:cs="Calibri"/>
        </w:rPr>
        <w:footnoteRef/>
      </w:r>
      <w:r>
        <w:t xml:space="preserve"> </w:t>
      </w:r>
      <w:r w:rsidRPr="00C67728">
        <w:rPr>
          <w:sz w:val="20"/>
          <w:szCs w:val="20"/>
        </w:rPr>
        <w:t>With the possible exception of PPDR, t</w:t>
      </w:r>
      <w:r>
        <w:rPr>
          <w:sz w:val="20"/>
          <w:szCs w:val="20"/>
        </w:rPr>
        <w:t>he candidate applications being considered do not appear to have public good characteristics (i.e. non-excludable (cannot prevent users from consuming the service), and non-rival (consumption of the service by one user does not prevent consumption by another)), hence this potential market failure is not considered.</w:t>
      </w:r>
    </w:p>
  </w:footnote>
  <w:footnote w:id="3">
    <w:p w:rsidR="00202F31" w:rsidRDefault="00202F31">
      <w:pPr>
        <w:pStyle w:val="FootnoteText"/>
      </w:pPr>
      <w:r>
        <w:rPr>
          <w:rStyle w:val="FootnoteReference"/>
          <w:rFonts w:cs="Calibri"/>
        </w:rPr>
        <w:footnoteRef/>
      </w:r>
      <w:r>
        <w:t xml:space="preserve"> Downstream Markets - </w:t>
      </w:r>
      <w:r w:rsidRPr="000F7BB8">
        <w:t>Market at the next stage of the production/distribution chain, e.g. the distribution and sale of motor vehicles would be a downstream market in relation to the production of motor vehicles</w:t>
      </w:r>
    </w:p>
  </w:footnote>
  <w:footnote w:id="4">
    <w:p w:rsidR="00202F31" w:rsidRDefault="00202F31" w:rsidP="00353912">
      <w:pPr>
        <w:pStyle w:val="FootnoteText"/>
      </w:pPr>
      <w:r>
        <w:rPr>
          <w:rStyle w:val="FootnoteReference"/>
          <w:rFonts w:cs="Calibri"/>
        </w:rPr>
        <w:footnoteRef/>
      </w:r>
      <w:r>
        <w:t xml:space="preserve"> That is, the market is well informed and does not face other barriers to making good decisions (such as those set out in Annex 1).</w:t>
      </w:r>
    </w:p>
  </w:footnote>
  <w:footnote w:id="5">
    <w:p w:rsidR="00202F31" w:rsidRDefault="00202F31" w:rsidP="00417936">
      <w:pPr>
        <w:pStyle w:val="FootnoteText"/>
      </w:pPr>
      <w:r>
        <w:rPr>
          <w:rStyle w:val="FootnoteCharacters"/>
        </w:rPr>
        <w:footnoteRef/>
      </w:r>
      <w:r>
        <w:tab/>
        <w:t>CEPT Report 19 Report from CEPT to the European Commission in response to the Mandate to develop least restrictive technical conditions for frequency bands addressed in the context of WAPECS</w:t>
      </w:r>
    </w:p>
  </w:footnote>
  <w:footnote w:id="6">
    <w:p w:rsidR="00202F31" w:rsidRDefault="00202F31" w:rsidP="00353912">
      <w:pPr>
        <w:pStyle w:val="FootnoteText"/>
      </w:pPr>
      <w:r>
        <w:rPr>
          <w:rStyle w:val="FootnoteReference"/>
          <w:rFonts w:cs="Calibri"/>
        </w:rPr>
        <w:footnoteRef/>
      </w:r>
      <w:r>
        <w:t xml:space="preserve"> Allocative efficiency is achieved when the value of the service to consumers is the same as its cost, and so resources are used to produce the services which are most highly valued.</w:t>
      </w:r>
    </w:p>
  </w:footnote>
  <w:footnote w:id="7">
    <w:p w:rsidR="00202F31" w:rsidRDefault="00202F31" w:rsidP="00353912">
      <w:pPr>
        <w:pStyle w:val="FootnoteText"/>
      </w:pPr>
      <w:r>
        <w:rPr>
          <w:rStyle w:val="FootnoteReference"/>
          <w:rFonts w:cs="Calibri"/>
        </w:rPr>
        <w:footnoteRef/>
      </w:r>
      <w:r>
        <w:t xml:space="preserve"> Dynamic efficiency is efficiency over time e.g. reducing costs with new technologies, improving existing services and launching new services through innovation.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31" w:rsidRDefault="00202F3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31" w:rsidRDefault="00202F3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31" w:rsidRDefault="00202F3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31" w:rsidRPr="00807C5C" w:rsidRDefault="00202F31" w:rsidP="002526E5">
    <w:pPr>
      <w:pStyle w:val="Header"/>
    </w:pPr>
    <w:r w:rsidRPr="00807C5C">
      <w:t>Page Heading</w:t>
    </w:r>
  </w:p>
  <w:p w:rsidR="00202F31" w:rsidRPr="00673F6D" w:rsidRDefault="00202F31" w:rsidP="002526E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31" w:rsidRPr="00D07E90" w:rsidRDefault="00202F31" w:rsidP="002526E5">
    <w:pPr>
      <w:pStyle w:val="Header"/>
      <w:tabs>
        <w:tab w:val="clear" w:pos="8306"/>
        <w:tab w:val="right" w:pos="9057"/>
      </w:tabs>
      <w:jc w:val="right"/>
      <w:rPr>
        <w:color w:val="000000"/>
      </w:rPr>
    </w:pPr>
    <w:r w:rsidRPr="00D07E90">
      <w:rPr>
        <w:color w:val="000000"/>
      </w:rPr>
      <w:t>Page Heading</w:t>
    </w:r>
  </w:p>
  <w:p w:rsidR="00202F31" w:rsidRDefault="00202F3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F31" w:rsidRPr="00724C92" w:rsidRDefault="00202F31" w:rsidP="002526E5">
    <w:pPr>
      <w:pStyle w:val="Header"/>
      <w:jc w:val="right"/>
    </w:pPr>
    <w:r>
      <w:t>Main Heading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color w:val="FFFFFF"/>
      </w:rPr>
    </w:lvl>
    <w:lvl w:ilvl="1">
      <w:start w:val="1"/>
      <w:numFmt w:val="decimal"/>
      <w:lvlText w:val="%2"/>
      <w:lvlJc w:val="left"/>
      <w:pPr>
        <w:tabs>
          <w:tab w:val="num" w:pos="0"/>
        </w:tabs>
        <w:ind w:hanging="720"/>
      </w:pPr>
      <w:rPr>
        <w:rFonts w:cs="Times New Roman"/>
        <w:color w:val="FFFFFF"/>
      </w:rPr>
    </w:lvl>
    <w:lvl w:ilvl="2">
      <w:start w:val="1"/>
      <w:numFmt w:val="none"/>
      <w:pStyle w:val="SectionLevel2"/>
      <w:suff w:val="nothing"/>
      <w:lvlText w:val=""/>
      <w:lvlJc w:val="left"/>
      <w:pPr>
        <w:tabs>
          <w:tab w:val="num" w:pos="0"/>
        </w:tabs>
      </w:pPr>
      <w:rPr>
        <w:rFonts w:cs="Times New Roman"/>
      </w:rPr>
    </w:lvl>
    <w:lvl w:ilvl="3">
      <w:start w:val="1"/>
      <w:numFmt w:val="decimal"/>
      <w:lvlText w:val="%2.%4"/>
      <w:lvlJc w:val="left"/>
      <w:pPr>
        <w:tabs>
          <w:tab w:val="num" w:pos="0"/>
        </w:tabs>
        <w:ind w:left="720" w:hanging="720"/>
      </w:pPr>
      <w:rPr>
        <w:rFonts w:cs="Times New Roman"/>
      </w:rPr>
    </w:lvl>
    <w:lvl w:ilvl="4">
      <w:start w:val="1"/>
      <w:numFmt w:val="decimal"/>
      <w:lvlText w:val="%2.%4.%5"/>
      <w:lvlJc w:val="left"/>
      <w:pPr>
        <w:tabs>
          <w:tab w:val="num" w:pos="1656"/>
        </w:tabs>
        <w:ind w:left="1656" w:hanging="936"/>
      </w:pPr>
      <w:rPr>
        <w:rFonts w:cs="Times New Roman"/>
      </w:rPr>
    </w:lvl>
    <w:lvl w:ilvl="5">
      <w:start w:val="1"/>
      <w:numFmt w:val="lowerLetter"/>
      <w:lvlText w:val="%2.%4.%5.%6)"/>
      <w:lvlJc w:val="left"/>
      <w:pPr>
        <w:tabs>
          <w:tab w:val="num" w:pos="1080"/>
        </w:tabs>
        <w:ind w:left="1080" w:hanging="360"/>
      </w:pPr>
      <w:rPr>
        <w:rFonts w:cs="Times New Roman"/>
      </w:rPr>
    </w:lvl>
    <w:lvl w:ilvl="6">
      <w:start w:val="1"/>
      <w:numFmt w:val="lowerRoman"/>
      <w:lvlText w:val="%2.%4.%5.%6.%7)"/>
      <w:lvlJc w:val="left"/>
      <w:pPr>
        <w:tabs>
          <w:tab w:val="num" w:pos="1080"/>
        </w:tabs>
        <w:ind w:left="1080" w:hanging="360"/>
      </w:pPr>
      <w:rPr>
        <w:rFonts w:cs="Times New Roman"/>
        <w:color w:val="00000A"/>
      </w:rPr>
    </w:lvl>
    <w:lvl w:ilvl="7">
      <w:start w:val="1"/>
      <w:numFmt w:val="none"/>
      <w:suff w:val="nothing"/>
      <w:lvlText w:val=""/>
      <w:lvlJc w:val="left"/>
      <w:pPr>
        <w:tabs>
          <w:tab w:val="num" w:pos="0"/>
        </w:tabs>
      </w:pPr>
      <w:rPr>
        <w:rFonts w:cs="Times New Roman"/>
        <w:color w:val="00000A"/>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Num21"/>
    <w:lvl w:ilvl="0">
      <w:start w:val="1"/>
      <w:numFmt w:val="bullet"/>
      <w:lvlText w:val=""/>
      <w:lvlJc w:val="left"/>
      <w:pPr>
        <w:tabs>
          <w:tab w:val="num" w:pos="0"/>
        </w:tabs>
        <w:ind w:left="1069" w:hanging="360"/>
      </w:pPr>
      <w:rPr>
        <w:rFonts w:ascii="Symbol" w:hAnsi="Symbol"/>
      </w:rPr>
    </w:lvl>
    <w:lvl w:ilvl="1">
      <w:start w:val="1"/>
      <w:numFmt w:val="bullet"/>
      <w:lvlText w:val="o"/>
      <w:lvlJc w:val="left"/>
      <w:pPr>
        <w:tabs>
          <w:tab w:val="num" w:pos="0"/>
        </w:tabs>
        <w:ind w:left="1789" w:hanging="360"/>
      </w:pPr>
      <w:rPr>
        <w:rFonts w:ascii="Courier New" w:hAnsi="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rPr>
    </w:lvl>
    <w:lvl w:ilvl="8">
      <w:start w:val="1"/>
      <w:numFmt w:val="bullet"/>
      <w:lvlText w:val=""/>
      <w:lvlJc w:val="left"/>
      <w:pPr>
        <w:tabs>
          <w:tab w:val="num" w:pos="0"/>
        </w:tabs>
        <w:ind w:left="6829" w:hanging="360"/>
      </w:pPr>
      <w:rPr>
        <w:rFonts w:ascii="Wingdings" w:hAnsi="Wingdings"/>
      </w:rPr>
    </w:lvl>
  </w:abstractNum>
  <w:abstractNum w:abstractNumId="2">
    <w:nsid w:val="00000003"/>
    <w:multiLevelType w:val="multilevel"/>
    <w:tmpl w:val="00000003"/>
    <w:name w:val="WWNum24"/>
    <w:lvl w:ilvl="0">
      <w:start w:val="1"/>
      <w:numFmt w:val="bullet"/>
      <w:lvlText w:val=""/>
      <w:lvlJc w:val="left"/>
      <w:pPr>
        <w:tabs>
          <w:tab w:val="num" w:pos="0"/>
        </w:tabs>
        <w:ind w:left="1211" w:hanging="360"/>
      </w:pPr>
      <w:rPr>
        <w:rFonts w:ascii="Symbol" w:hAnsi="Symbol"/>
      </w:rPr>
    </w:lvl>
    <w:lvl w:ilvl="1">
      <w:start w:val="1"/>
      <w:numFmt w:val="bullet"/>
      <w:lvlText w:val="o"/>
      <w:lvlJc w:val="left"/>
      <w:pPr>
        <w:tabs>
          <w:tab w:val="num" w:pos="0"/>
        </w:tabs>
        <w:ind w:left="1931" w:hanging="360"/>
      </w:pPr>
      <w:rPr>
        <w:rFonts w:ascii="Courier New" w:hAnsi="Courier New"/>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rPr>
    </w:lvl>
    <w:lvl w:ilvl="8">
      <w:start w:val="1"/>
      <w:numFmt w:val="bullet"/>
      <w:lvlText w:val=""/>
      <w:lvlJc w:val="left"/>
      <w:pPr>
        <w:tabs>
          <w:tab w:val="num" w:pos="0"/>
        </w:tabs>
        <w:ind w:left="6971" w:hanging="360"/>
      </w:pPr>
      <w:rPr>
        <w:rFonts w:ascii="Wingdings" w:hAnsi="Wingdings"/>
      </w:rPr>
    </w:lvl>
  </w:abstractNum>
  <w:abstractNum w:abstractNumId="3">
    <w:nsid w:val="07492953"/>
    <w:multiLevelType w:val="hybridMultilevel"/>
    <w:tmpl w:val="C9AC50EE"/>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4D55E54"/>
    <w:multiLevelType w:val="hybridMultilevel"/>
    <w:tmpl w:val="F6F85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D01173"/>
    <w:multiLevelType w:val="hybridMultilevel"/>
    <w:tmpl w:val="3DE838E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nsid w:val="2E023612"/>
    <w:multiLevelType w:val="hybridMultilevel"/>
    <w:tmpl w:val="2806C722"/>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nsid w:val="48314E3C"/>
    <w:multiLevelType w:val="hybridMultilevel"/>
    <w:tmpl w:val="1004C534"/>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48A64411"/>
    <w:multiLevelType w:val="hybridMultilevel"/>
    <w:tmpl w:val="FDD2E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AB7CDC"/>
    <w:multiLevelType w:val="hybridMultilevel"/>
    <w:tmpl w:val="AE0EE240"/>
    <w:lvl w:ilvl="0" w:tplc="08090003">
      <w:start w:val="1"/>
      <w:numFmt w:val="bullet"/>
      <w:lvlText w:val="o"/>
      <w:lvlJc w:val="left"/>
      <w:pPr>
        <w:ind w:left="1069" w:hanging="360"/>
      </w:pPr>
      <w:rPr>
        <w:rFonts w:ascii="Courier New" w:hAnsi="Courier New" w:hint="default"/>
      </w:rPr>
    </w:lvl>
    <w:lvl w:ilvl="1" w:tplc="08090003" w:tentative="1">
      <w:start w:val="1"/>
      <w:numFmt w:val="bullet"/>
      <w:lvlText w:val="o"/>
      <w:lvlJc w:val="left"/>
      <w:pPr>
        <w:ind w:left="1789" w:hanging="360"/>
      </w:pPr>
      <w:rPr>
        <w:rFonts w:ascii="Courier New" w:hAnsi="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 w:numId="4">
    <w:abstractNumId w:val="0"/>
  </w:num>
  <w:num w:numId="5">
    <w:abstractNumId w:val="5"/>
  </w:num>
  <w:num w:numId="6">
    <w:abstractNumId w:val="6"/>
  </w:num>
  <w:num w:numId="7">
    <w:abstractNumId w:val="7"/>
  </w:num>
  <w:num w:numId="8">
    <w:abstractNumId w:val="3"/>
  </w:num>
  <w:num w:numId="9">
    <w:abstractNumId w:val="4"/>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176C"/>
    <w:rsid w:val="00001839"/>
    <w:rsid w:val="0000772A"/>
    <w:rsid w:val="00011F1F"/>
    <w:rsid w:val="000725C3"/>
    <w:rsid w:val="00077D44"/>
    <w:rsid w:val="00086FD0"/>
    <w:rsid w:val="000A5C57"/>
    <w:rsid w:val="000D6128"/>
    <w:rsid w:val="000F7BB8"/>
    <w:rsid w:val="001115B8"/>
    <w:rsid w:val="00200B72"/>
    <w:rsid w:val="002015EB"/>
    <w:rsid w:val="00202F31"/>
    <w:rsid w:val="002526E5"/>
    <w:rsid w:val="00261AD5"/>
    <w:rsid w:val="002C6096"/>
    <w:rsid w:val="00353912"/>
    <w:rsid w:val="003A5A19"/>
    <w:rsid w:val="003E0C11"/>
    <w:rsid w:val="00417936"/>
    <w:rsid w:val="004559DA"/>
    <w:rsid w:val="004659D5"/>
    <w:rsid w:val="004D294D"/>
    <w:rsid w:val="00517462"/>
    <w:rsid w:val="00531B68"/>
    <w:rsid w:val="00575567"/>
    <w:rsid w:val="005F1CB8"/>
    <w:rsid w:val="00632DC5"/>
    <w:rsid w:val="0063372D"/>
    <w:rsid w:val="00673F6D"/>
    <w:rsid w:val="006B7F9B"/>
    <w:rsid w:val="00724C92"/>
    <w:rsid w:val="00763313"/>
    <w:rsid w:val="00790B11"/>
    <w:rsid w:val="007B053C"/>
    <w:rsid w:val="007D14E6"/>
    <w:rsid w:val="00807C5C"/>
    <w:rsid w:val="008316F6"/>
    <w:rsid w:val="00842880"/>
    <w:rsid w:val="00864DAE"/>
    <w:rsid w:val="00892432"/>
    <w:rsid w:val="008F7169"/>
    <w:rsid w:val="00901CB1"/>
    <w:rsid w:val="00963218"/>
    <w:rsid w:val="009D784B"/>
    <w:rsid w:val="00AE375C"/>
    <w:rsid w:val="00AF5F8A"/>
    <w:rsid w:val="00B17B26"/>
    <w:rsid w:val="00B23BA1"/>
    <w:rsid w:val="00B33B5C"/>
    <w:rsid w:val="00B34B46"/>
    <w:rsid w:val="00BE2076"/>
    <w:rsid w:val="00BF7E23"/>
    <w:rsid w:val="00C67728"/>
    <w:rsid w:val="00D017DB"/>
    <w:rsid w:val="00D07E90"/>
    <w:rsid w:val="00D9176C"/>
    <w:rsid w:val="00DA3757"/>
    <w:rsid w:val="00E20C19"/>
    <w:rsid w:val="00E5498C"/>
    <w:rsid w:val="00E67BC5"/>
    <w:rsid w:val="00E919D2"/>
    <w:rsid w:val="00EE0299"/>
    <w:rsid w:val="00EF6738"/>
    <w:rsid w:val="00F11F7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locked="1" w:semiHidden="0" w:uiPriority="0"/>
    <w:lsdException w:name="header" w:locked="1" w:semiHidden="0" w:uiPriority="0"/>
    <w:lsdException w:name="footer" w:locked="1" w:semiHidden="0" w:uiPriority="0"/>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A5C57"/>
    <w:pPr>
      <w:suppressAutoHyphens/>
      <w:spacing w:after="200" w:line="276" w:lineRule="auto"/>
    </w:pPr>
    <w:rPr>
      <w:rFonts w:ascii="Arial" w:hAnsi="Arial" w:cs="Calibri"/>
      <w:kern w:val="1"/>
      <w:lang w:val="en-GB" w:eastAsia="hi-IN" w:bidi="hi-IN"/>
    </w:rPr>
  </w:style>
  <w:style w:type="paragraph" w:styleId="Heading1">
    <w:name w:val="heading 1"/>
    <w:basedOn w:val="Normal"/>
    <w:next w:val="BodyText"/>
    <w:link w:val="Heading1Char"/>
    <w:uiPriority w:val="99"/>
    <w:qFormat/>
    <w:rsid w:val="000A5C57"/>
    <w:pPr>
      <w:keepNext/>
      <w:spacing w:before="240" w:after="60"/>
      <w:outlineLvl w:val="0"/>
    </w:pPr>
    <w:rPr>
      <w:b/>
      <w:bCs/>
      <w:sz w:val="32"/>
      <w:szCs w:val="32"/>
    </w:rPr>
  </w:style>
  <w:style w:type="paragraph" w:styleId="Heading2">
    <w:name w:val="heading 2"/>
    <w:basedOn w:val="Normal"/>
    <w:next w:val="BodyText"/>
    <w:link w:val="Heading2Char"/>
    <w:uiPriority w:val="99"/>
    <w:qFormat/>
    <w:rsid w:val="000A5C57"/>
    <w:pPr>
      <w:keepNext/>
      <w:tabs>
        <w:tab w:val="num" w:pos="0"/>
      </w:tabs>
      <w:spacing w:before="240" w:after="60"/>
      <w:outlineLvl w:val="1"/>
    </w:pPr>
    <w:rPr>
      <w:b/>
      <w:bCs/>
      <w:i/>
      <w:iCs/>
      <w:sz w:val="28"/>
      <w:szCs w:val="28"/>
    </w:rPr>
  </w:style>
  <w:style w:type="paragraph" w:styleId="Heading3">
    <w:name w:val="heading 3"/>
    <w:basedOn w:val="Normal"/>
    <w:next w:val="BodyText"/>
    <w:link w:val="Heading3Char"/>
    <w:uiPriority w:val="99"/>
    <w:qFormat/>
    <w:rsid w:val="000A5C57"/>
    <w:pPr>
      <w:keepNext/>
      <w:tabs>
        <w:tab w:val="num" w:pos="0"/>
      </w:tabs>
      <w:spacing w:before="240" w:after="60"/>
      <w:outlineLvl w:val="2"/>
    </w:pPr>
    <w:rPr>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2EF"/>
    <w:rPr>
      <w:rFonts w:asciiTheme="majorHAnsi" w:eastAsiaTheme="majorEastAsia" w:hAnsiTheme="majorHAnsi" w:cs="Mangal"/>
      <w:b/>
      <w:bCs/>
      <w:kern w:val="32"/>
      <w:sz w:val="32"/>
      <w:szCs w:val="29"/>
      <w:lang w:val="en-GB" w:eastAsia="hi-IN" w:bidi="hi-IN"/>
    </w:rPr>
  </w:style>
  <w:style w:type="character" w:customStyle="1" w:styleId="Heading2Char">
    <w:name w:val="Heading 2 Char"/>
    <w:basedOn w:val="DefaultParagraphFont"/>
    <w:link w:val="Heading2"/>
    <w:uiPriority w:val="9"/>
    <w:semiHidden/>
    <w:rsid w:val="006A62EF"/>
    <w:rPr>
      <w:rFonts w:asciiTheme="majorHAnsi" w:eastAsiaTheme="majorEastAsia" w:hAnsiTheme="majorHAnsi" w:cs="Mangal"/>
      <w:b/>
      <w:bCs/>
      <w:i/>
      <w:iCs/>
      <w:kern w:val="1"/>
      <w:sz w:val="28"/>
      <w:szCs w:val="25"/>
      <w:lang w:val="en-GB" w:eastAsia="hi-IN" w:bidi="hi-IN"/>
    </w:rPr>
  </w:style>
  <w:style w:type="character" w:customStyle="1" w:styleId="Heading3Char">
    <w:name w:val="Heading 3 Char"/>
    <w:basedOn w:val="DefaultParagraphFont"/>
    <w:link w:val="Heading3"/>
    <w:uiPriority w:val="9"/>
    <w:semiHidden/>
    <w:rsid w:val="006A62EF"/>
    <w:rPr>
      <w:rFonts w:asciiTheme="majorHAnsi" w:eastAsiaTheme="majorEastAsia" w:hAnsiTheme="majorHAnsi" w:cs="Mangal"/>
      <w:b/>
      <w:bCs/>
      <w:kern w:val="1"/>
      <w:sz w:val="26"/>
      <w:szCs w:val="23"/>
      <w:lang w:val="en-GB" w:eastAsia="hi-IN" w:bidi="hi-IN"/>
    </w:rPr>
  </w:style>
  <w:style w:type="character" w:customStyle="1" w:styleId="OfcomHyperlink">
    <w:name w:val="Ofcom Hyperlink"/>
    <w:uiPriority w:val="99"/>
    <w:rsid w:val="000A5C57"/>
    <w:rPr>
      <w:rFonts w:ascii="Arial" w:hAnsi="Arial"/>
      <w:color w:val="CC0033"/>
      <w:sz w:val="22"/>
      <w:u w:val="single"/>
    </w:rPr>
  </w:style>
  <w:style w:type="character" w:styleId="Hyperlink">
    <w:name w:val="Hyperlink"/>
    <w:basedOn w:val="DefaultParagraphFont"/>
    <w:uiPriority w:val="99"/>
    <w:rsid w:val="000A5C57"/>
    <w:rPr>
      <w:rFonts w:ascii="Arial" w:hAnsi="Arial" w:cs="Times New Roman"/>
      <w:color w:val="CC0029"/>
      <w:sz w:val="22"/>
      <w:u w:val="single"/>
    </w:rPr>
  </w:style>
  <w:style w:type="character" w:customStyle="1" w:styleId="AnnexLevel3Char">
    <w:name w:val="Annex Level 3 Char"/>
    <w:basedOn w:val="DefaultParagraphFont"/>
    <w:uiPriority w:val="99"/>
    <w:rsid w:val="000A5C57"/>
    <w:rPr>
      <w:rFonts w:ascii="Arial" w:hAnsi="Arial" w:cs="Times New Roman"/>
      <w:color w:val="000000"/>
      <w:sz w:val="22"/>
      <w:szCs w:val="22"/>
      <w:lang w:val="en-GB" w:eastAsia="ar-SA" w:bidi="ar-SA"/>
    </w:rPr>
  </w:style>
  <w:style w:type="character" w:customStyle="1" w:styleId="PageNumber1">
    <w:name w:val="Page Number1"/>
    <w:basedOn w:val="DefaultParagraphFont"/>
    <w:uiPriority w:val="99"/>
    <w:rsid w:val="000A5C57"/>
    <w:rPr>
      <w:rFonts w:cs="Times New Roman"/>
    </w:rPr>
  </w:style>
  <w:style w:type="character" w:customStyle="1" w:styleId="AnnexBodyTextChar">
    <w:name w:val="Annex Body Text Char"/>
    <w:basedOn w:val="DefaultParagraphFont"/>
    <w:uiPriority w:val="99"/>
    <w:rsid w:val="000A5C57"/>
    <w:rPr>
      <w:rFonts w:ascii="Arial" w:hAnsi="Arial" w:cs="Times New Roman"/>
      <w:color w:val="000000"/>
      <w:sz w:val="22"/>
      <w:szCs w:val="22"/>
      <w:lang w:val="en-GB" w:eastAsia="ar-SA" w:bidi="ar-SA"/>
    </w:rPr>
  </w:style>
  <w:style w:type="character" w:styleId="FollowedHyperlink">
    <w:name w:val="FollowedHyperlink"/>
    <w:basedOn w:val="DefaultParagraphFont"/>
    <w:uiPriority w:val="99"/>
    <w:rsid w:val="000A5C57"/>
    <w:rPr>
      <w:rFonts w:cs="Times New Roman"/>
      <w:color w:val="800080"/>
      <w:u w:val="single"/>
    </w:rPr>
  </w:style>
  <w:style w:type="character" w:customStyle="1" w:styleId="FootnoteReference1">
    <w:name w:val="Footnote Reference1"/>
    <w:basedOn w:val="DefaultParagraphFont"/>
    <w:uiPriority w:val="99"/>
    <w:rsid w:val="000A5C57"/>
    <w:rPr>
      <w:rFonts w:cs="Times New Roman"/>
      <w:vertAlign w:val="superscript"/>
    </w:rPr>
  </w:style>
  <w:style w:type="character" w:customStyle="1" w:styleId="ListLabel1">
    <w:name w:val="ListLabel 1"/>
    <w:uiPriority w:val="99"/>
    <w:rsid w:val="000A5C57"/>
    <w:rPr>
      <w:color w:val="FFFFFF"/>
    </w:rPr>
  </w:style>
  <w:style w:type="character" w:customStyle="1" w:styleId="ListLabel2">
    <w:name w:val="ListLabel 2"/>
    <w:uiPriority w:val="99"/>
    <w:rsid w:val="000A5C57"/>
    <w:rPr>
      <w:color w:val="00000A"/>
    </w:rPr>
  </w:style>
  <w:style w:type="character" w:customStyle="1" w:styleId="ListLabel3">
    <w:name w:val="ListLabel 3"/>
    <w:uiPriority w:val="99"/>
    <w:rsid w:val="000A5C57"/>
  </w:style>
  <w:style w:type="character" w:customStyle="1" w:styleId="FootnoteCharacters">
    <w:name w:val="Footnote Characters"/>
    <w:uiPriority w:val="99"/>
    <w:rsid w:val="000A5C57"/>
  </w:style>
  <w:style w:type="character" w:styleId="FootnoteReference">
    <w:name w:val="footnote reference"/>
    <w:basedOn w:val="DefaultParagraphFont"/>
    <w:uiPriority w:val="99"/>
    <w:rsid w:val="000A5C57"/>
    <w:rPr>
      <w:rFonts w:cs="Times New Roman"/>
      <w:vertAlign w:val="superscript"/>
    </w:rPr>
  </w:style>
  <w:style w:type="character" w:styleId="EndnoteReference">
    <w:name w:val="endnote reference"/>
    <w:basedOn w:val="DefaultParagraphFont"/>
    <w:uiPriority w:val="99"/>
    <w:rsid w:val="000A5C57"/>
    <w:rPr>
      <w:rFonts w:cs="Times New Roman"/>
      <w:vertAlign w:val="superscript"/>
    </w:rPr>
  </w:style>
  <w:style w:type="character" w:customStyle="1" w:styleId="EndnoteCharacters">
    <w:name w:val="Endnote Characters"/>
    <w:uiPriority w:val="99"/>
    <w:rsid w:val="000A5C57"/>
  </w:style>
  <w:style w:type="paragraph" w:customStyle="1" w:styleId="Heading">
    <w:name w:val="Heading"/>
    <w:basedOn w:val="Normal"/>
    <w:next w:val="BodyText"/>
    <w:uiPriority w:val="99"/>
    <w:rsid w:val="000A5C57"/>
    <w:pPr>
      <w:keepNext/>
      <w:spacing w:before="240" w:after="120"/>
    </w:pPr>
    <w:rPr>
      <w:rFonts w:cs="Mangal"/>
      <w:sz w:val="28"/>
      <w:szCs w:val="28"/>
    </w:rPr>
  </w:style>
  <w:style w:type="paragraph" w:styleId="BodyText">
    <w:name w:val="Body Text"/>
    <w:basedOn w:val="Normal"/>
    <w:link w:val="BodyTextChar"/>
    <w:uiPriority w:val="99"/>
    <w:rsid w:val="000A5C57"/>
    <w:pPr>
      <w:spacing w:after="120"/>
    </w:pPr>
  </w:style>
  <w:style w:type="character" w:customStyle="1" w:styleId="BodyTextChar">
    <w:name w:val="Body Text Char"/>
    <w:basedOn w:val="DefaultParagraphFont"/>
    <w:link w:val="BodyText"/>
    <w:uiPriority w:val="99"/>
    <w:semiHidden/>
    <w:rsid w:val="006A62EF"/>
    <w:rPr>
      <w:rFonts w:ascii="Arial" w:hAnsi="Arial" w:cs="Mangal"/>
      <w:kern w:val="1"/>
      <w:szCs w:val="20"/>
      <w:lang w:val="en-GB" w:eastAsia="hi-IN" w:bidi="hi-IN"/>
    </w:rPr>
  </w:style>
  <w:style w:type="paragraph" w:styleId="List">
    <w:name w:val="List"/>
    <w:basedOn w:val="BodyText"/>
    <w:uiPriority w:val="99"/>
    <w:rsid w:val="000A5C57"/>
    <w:rPr>
      <w:rFonts w:cs="Mangal"/>
    </w:rPr>
  </w:style>
  <w:style w:type="paragraph" w:styleId="Caption">
    <w:name w:val="caption"/>
    <w:basedOn w:val="Normal"/>
    <w:uiPriority w:val="99"/>
    <w:qFormat/>
    <w:rsid w:val="000A5C57"/>
    <w:pPr>
      <w:suppressLineNumbers/>
      <w:spacing w:before="120" w:after="120"/>
    </w:pPr>
    <w:rPr>
      <w:rFonts w:cs="Mangal"/>
      <w:i/>
      <w:iCs/>
      <w:sz w:val="24"/>
      <w:szCs w:val="24"/>
    </w:rPr>
  </w:style>
  <w:style w:type="paragraph" w:customStyle="1" w:styleId="Index">
    <w:name w:val="Index"/>
    <w:basedOn w:val="Normal"/>
    <w:uiPriority w:val="99"/>
    <w:rsid w:val="000A5C57"/>
    <w:pPr>
      <w:suppressLineNumbers/>
    </w:pPr>
    <w:rPr>
      <w:rFonts w:cs="Mangal"/>
    </w:rPr>
  </w:style>
  <w:style w:type="paragraph" w:customStyle="1" w:styleId="OfcomMainHeading">
    <w:name w:val="Ofcom Main Heading"/>
    <w:uiPriority w:val="99"/>
    <w:rsid w:val="000A5C57"/>
    <w:pPr>
      <w:suppressAutoHyphens/>
      <w:ind w:left="1440" w:firstLine="720"/>
      <w:jc w:val="right"/>
    </w:pPr>
    <w:rPr>
      <w:rFonts w:ascii="Arial" w:hAnsi="Arial" w:cs="Mangal"/>
      <w:color w:val="CC0033"/>
      <w:kern w:val="1"/>
      <w:sz w:val="48"/>
      <w:szCs w:val="48"/>
      <w:lang w:val="en-GB" w:eastAsia="hi-IN" w:bidi="hi-IN"/>
    </w:rPr>
  </w:style>
  <w:style w:type="paragraph" w:customStyle="1" w:styleId="OfcomSubheading">
    <w:name w:val="Ofcom Subheading"/>
    <w:uiPriority w:val="99"/>
    <w:rsid w:val="000A5C57"/>
    <w:pPr>
      <w:suppressAutoHyphens/>
      <w:ind w:left="1440" w:firstLine="720"/>
      <w:jc w:val="right"/>
    </w:pPr>
    <w:rPr>
      <w:rFonts w:ascii="Arial" w:hAnsi="Arial" w:cs="Mangal"/>
      <w:color w:val="CC0033"/>
      <w:kern w:val="1"/>
      <w:sz w:val="28"/>
      <w:szCs w:val="28"/>
      <w:lang w:val="en-GB" w:eastAsia="hi-IN" w:bidi="hi-IN"/>
    </w:rPr>
  </w:style>
  <w:style w:type="paragraph" w:customStyle="1" w:styleId="ContentsHeading">
    <w:name w:val="Contents Heading"/>
    <w:basedOn w:val="Heading"/>
    <w:uiPriority w:val="99"/>
    <w:rsid w:val="000A5C57"/>
    <w:pPr>
      <w:suppressLineNumbers/>
    </w:pPr>
    <w:rPr>
      <w:b/>
      <w:bCs/>
      <w:color w:val="CC0033"/>
      <w:sz w:val="48"/>
      <w:szCs w:val="48"/>
    </w:rPr>
  </w:style>
  <w:style w:type="paragraph" w:customStyle="1" w:styleId="TOC1referencesSectionLevel1">
    <w:name w:val="TOC1 (references Section Level 1)"/>
    <w:uiPriority w:val="99"/>
    <w:rsid w:val="000A5C57"/>
    <w:pPr>
      <w:tabs>
        <w:tab w:val="left" w:pos="1440"/>
        <w:tab w:val="right" w:pos="8640"/>
      </w:tabs>
      <w:suppressAutoHyphens/>
      <w:spacing w:before="120"/>
      <w:ind w:left="1440" w:right="737" w:hanging="873"/>
    </w:pPr>
    <w:rPr>
      <w:rFonts w:ascii="Arial" w:hAnsi="Arial" w:cs="Mangal"/>
      <w:color w:val="000000"/>
      <w:kern w:val="1"/>
      <w:sz w:val="24"/>
      <w:szCs w:val="24"/>
      <w:lang w:val="en-GB" w:eastAsia="hi-IN" w:bidi="hi-IN"/>
    </w:rPr>
  </w:style>
  <w:style w:type="paragraph" w:customStyle="1" w:styleId="TOC2referencesAnnexLevel1">
    <w:name w:val="TOC2 (references Annex Level 1)"/>
    <w:uiPriority w:val="99"/>
    <w:rsid w:val="000A5C57"/>
    <w:pPr>
      <w:tabs>
        <w:tab w:val="left" w:pos="1440"/>
        <w:tab w:val="right" w:pos="8640"/>
      </w:tabs>
      <w:suppressAutoHyphens/>
      <w:spacing w:before="120"/>
      <w:ind w:left="1440" w:right="737" w:hanging="873"/>
    </w:pPr>
    <w:rPr>
      <w:rFonts w:ascii="Arial" w:hAnsi="Arial" w:cs="Mangal"/>
      <w:color w:val="000000"/>
      <w:kern w:val="1"/>
      <w:sz w:val="24"/>
      <w:szCs w:val="24"/>
      <w:lang w:val="en-GB" w:eastAsia="hi-IN" w:bidi="hi-IN"/>
    </w:rPr>
  </w:style>
  <w:style w:type="paragraph" w:customStyle="1" w:styleId="Sectionabullets">
    <w:name w:val="Section a bullets"/>
    <w:uiPriority w:val="99"/>
    <w:rsid w:val="000A5C57"/>
    <w:pPr>
      <w:tabs>
        <w:tab w:val="num" w:pos="1080"/>
      </w:tabs>
      <w:suppressAutoHyphens/>
      <w:spacing w:after="240"/>
      <w:ind w:left="1080" w:hanging="360"/>
      <w:outlineLvl w:val="5"/>
    </w:pPr>
    <w:rPr>
      <w:rFonts w:ascii="Arial" w:hAnsi="Arial" w:cs="Mangal"/>
      <w:color w:val="000000"/>
      <w:kern w:val="1"/>
      <w:szCs w:val="48"/>
      <w:lang w:val="en-GB" w:eastAsia="hi-IN" w:bidi="hi-IN"/>
    </w:rPr>
  </w:style>
  <w:style w:type="paragraph" w:customStyle="1" w:styleId="SectionBodyText">
    <w:name w:val="Section Body Text"/>
    <w:uiPriority w:val="99"/>
    <w:rsid w:val="000A5C57"/>
    <w:pPr>
      <w:tabs>
        <w:tab w:val="num" w:pos="0"/>
      </w:tabs>
      <w:suppressAutoHyphens/>
      <w:spacing w:after="240"/>
      <w:outlineLvl w:val="7"/>
    </w:pPr>
    <w:rPr>
      <w:rFonts w:ascii="Arial" w:hAnsi="Arial" w:cs="Mangal"/>
      <w:color w:val="000000"/>
      <w:kern w:val="1"/>
      <w:lang w:val="en-GB" w:eastAsia="hi-IN" w:bidi="hi-IN"/>
    </w:rPr>
  </w:style>
  <w:style w:type="paragraph" w:customStyle="1" w:styleId="Sectionibullets">
    <w:name w:val="Section i bullets"/>
    <w:uiPriority w:val="99"/>
    <w:rsid w:val="000A5C57"/>
    <w:pPr>
      <w:tabs>
        <w:tab w:val="num" w:pos="1080"/>
      </w:tabs>
      <w:suppressAutoHyphens/>
      <w:spacing w:after="240"/>
      <w:ind w:left="1080" w:hanging="360"/>
      <w:outlineLvl w:val="6"/>
    </w:pPr>
    <w:rPr>
      <w:rFonts w:ascii="Arial" w:hAnsi="Arial" w:cs="Mangal"/>
      <w:color w:val="000000"/>
      <w:kern w:val="1"/>
      <w:szCs w:val="48"/>
      <w:lang w:val="en-GB" w:eastAsia="hi-IN" w:bidi="hi-IN"/>
    </w:rPr>
  </w:style>
  <w:style w:type="paragraph" w:customStyle="1" w:styleId="Sectionlevel1">
    <w:name w:val="Section level 1"/>
    <w:uiPriority w:val="99"/>
    <w:rsid w:val="000A5C57"/>
    <w:pPr>
      <w:tabs>
        <w:tab w:val="num" w:pos="0"/>
      </w:tabs>
      <w:suppressAutoHyphens/>
      <w:spacing w:before="240" w:after="240"/>
      <w:ind w:hanging="720"/>
      <w:outlineLvl w:val="1"/>
    </w:pPr>
    <w:rPr>
      <w:rFonts w:ascii="Arial" w:hAnsi="Arial" w:cs="Mangal"/>
      <w:color w:val="CC0033"/>
      <w:kern w:val="1"/>
      <w:sz w:val="48"/>
      <w:szCs w:val="48"/>
      <w:lang w:val="en-GB" w:eastAsia="hi-IN" w:bidi="hi-IN"/>
    </w:rPr>
  </w:style>
  <w:style w:type="paragraph" w:customStyle="1" w:styleId="SectionLevel2">
    <w:name w:val="Section Level 2"/>
    <w:uiPriority w:val="99"/>
    <w:rsid w:val="000A5C57"/>
    <w:pPr>
      <w:keepNext/>
      <w:keepLines/>
      <w:numPr>
        <w:ilvl w:val="2"/>
        <w:numId w:val="1"/>
      </w:numPr>
      <w:suppressAutoHyphens/>
      <w:spacing w:after="240"/>
      <w:outlineLvl w:val="2"/>
    </w:pPr>
    <w:rPr>
      <w:rFonts w:ascii="Arial" w:hAnsi="Arial" w:cs="Mangal"/>
      <w:b/>
      <w:color w:val="CC0033"/>
      <w:kern w:val="1"/>
      <w:sz w:val="28"/>
      <w:szCs w:val="48"/>
      <w:lang w:val="en-GB" w:eastAsia="hi-IN" w:bidi="hi-IN"/>
    </w:rPr>
  </w:style>
  <w:style w:type="paragraph" w:customStyle="1" w:styleId="SectionBullets">
    <w:name w:val="Section Bullets"/>
    <w:uiPriority w:val="99"/>
    <w:rsid w:val="000A5C57"/>
    <w:pPr>
      <w:suppressAutoHyphens/>
      <w:spacing w:after="240"/>
    </w:pPr>
    <w:rPr>
      <w:rFonts w:ascii="Arial" w:hAnsi="Arial" w:cs="Mangal"/>
      <w:color w:val="000000"/>
      <w:kern w:val="1"/>
      <w:lang w:val="en-GB" w:eastAsia="hi-IN" w:bidi="hi-IN"/>
    </w:rPr>
  </w:style>
  <w:style w:type="paragraph" w:customStyle="1" w:styleId="SectionSub-bullets">
    <w:name w:val="Section Sub-bullets"/>
    <w:uiPriority w:val="99"/>
    <w:rsid w:val="000A5C57"/>
    <w:pPr>
      <w:suppressAutoHyphens/>
      <w:spacing w:after="240"/>
    </w:pPr>
    <w:rPr>
      <w:rFonts w:ascii="Arial" w:hAnsi="Arial" w:cs="Mangal"/>
      <w:color w:val="000000"/>
      <w:kern w:val="1"/>
      <w:lang w:val="en-GB" w:eastAsia="hi-IN" w:bidi="hi-IN"/>
    </w:rPr>
  </w:style>
  <w:style w:type="paragraph" w:customStyle="1" w:styleId="SectionLevel3">
    <w:name w:val="Section Level 3"/>
    <w:uiPriority w:val="99"/>
    <w:rsid w:val="000A5C57"/>
    <w:pPr>
      <w:tabs>
        <w:tab w:val="num" w:pos="0"/>
      </w:tabs>
      <w:suppressAutoHyphens/>
      <w:spacing w:after="240"/>
      <w:ind w:left="720" w:hanging="720"/>
      <w:outlineLvl w:val="3"/>
    </w:pPr>
    <w:rPr>
      <w:rFonts w:ascii="Arial" w:hAnsi="Arial" w:cs="Mangal"/>
      <w:color w:val="000000"/>
      <w:kern w:val="1"/>
      <w:szCs w:val="48"/>
      <w:lang w:val="en-GB" w:eastAsia="hi-IN" w:bidi="hi-IN"/>
    </w:rPr>
  </w:style>
  <w:style w:type="paragraph" w:customStyle="1" w:styleId="SectionLevel4">
    <w:name w:val="Section Level 4"/>
    <w:uiPriority w:val="99"/>
    <w:rsid w:val="000A5C57"/>
    <w:pPr>
      <w:tabs>
        <w:tab w:val="num" w:pos="1656"/>
      </w:tabs>
      <w:suppressAutoHyphens/>
      <w:spacing w:after="240"/>
      <w:ind w:left="1656" w:hanging="936"/>
      <w:outlineLvl w:val="4"/>
    </w:pPr>
    <w:rPr>
      <w:rFonts w:ascii="Arial" w:hAnsi="Arial" w:cs="Mangal"/>
      <w:color w:val="000000"/>
      <w:kern w:val="1"/>
      <w:szCs w:val="48"/>
      <w:lang w:val="en-GB" w:eastAsia="hi-IN" w:bidi="hi-IN"/>
    </w:rPr>
  </w:style>
  <w:style w:type="paragraph" w:customStyle="1" w:styleId="Section2ndSubHeading">
    <w:name w:val="Section 2nd Sub Heading"/>
    <w:uiPriority w:val="99"/>
    <w:rsid w:val="000A5C57"/>
    <w:pPr>
      <w:keepNext/>
      <w:keepLines/>
      <w:suppressAutoHyphens/>
      <w:spacing w:after="240"/>
    </w:pPr>
    <w:rPr>
      <w:rFonts w:ascii="Arial" w:hAnsi="Arial" w:cs="Mangal"/>
      <w:b/>
      <w:color w:val="000000"/>
      <w:kern w:val="1"/>
      <w:sz w:val="24"/>
      <w:szCs w:val="24"/>
      <w:lang w:val="en-GB" w:eastAsia="hi-IN" w:bidi="hi-IN"/>
    </w:rPr>
  </w:style>
  <w:style w:type="paragraph" w:customStyle="1" w:styleId="Section3rdSubheading">
    <w:name w:val="Section 3rd Subheading"/>
    <w:uiPriority w:val="99"/>
    <w:rsid w:val="000A5C57"/>
    <w:pPr>
      <w:keepNext/>
      <w:keepLines/>
      <w:suppressAutoHyphens/>
      <w:spacing w:after="240"/>
    </w:pPr>
    <w:rPr>
      <w:rFonts w:ascii="Arial" w:hAnsi="Arial" w:cs="Mangal"/>
      <w:color w:val="000000"/>
      <w:kern w:val="1"/>
      <w:sz w:val="24"/>
      <w:szCs w:val="24"/>
      <w:u w:val="single"/>
      <w:lang w:val="en-GB" w:eastAsia="hi-IN" w:bidi="hi-IN"/>
    </w:rPr>
  </w:style>
  <w:style w:type="paragraph" w:customStyle="1" w:styleId="SectionNumber">
    <w:name w:val="Section Number"/>
    <w:uiPriority w:val="99"/>
    <w:rsid w:val="000A5C57"/>
    <w:pPr>
      <w:pageBreakBefore/>
      <w:tabs>
        <w:tab w:val="num" w:pos="0"/>
      </w:tabs>
      <w:suppressAutoHyphens/>
      <w:spacing w:after="240"/>
      <w:outlineLvl w:val="0"/>
    </w:pPr>
    <w:rPr>
      <w:rFonts w:ascii="Arial" w:hAnsi="Arial" w:cs="Mangal"/>
      <w:b/>
      <w:color w:val="CC0033"/>
      <w:kern w:val="1"/>
      <w:sz w:val="24"/>
      <w:szCs w:val="48"/>
      <w:lang w:val="en-GB" w:eastAsia="hi-IN" w:bidi="hi-IN"/>
    </w:rPr>
  </w:style>
  <w:style w:type="paragraph" w:customStyle="1" w:styleId="AnnexNumber">
    <w:name w:val="Annex Number"/>
    <w:uiPriority w:val="99"/>
    <w:rsid w:val="000A5C57"/>
    <w:pPr>
      <w:pageBreakBefore/>
      <w:tabs>
        <w:tab w:val="num" w:pos="0"/>
      </w:tabs>
      <w:suppressAutoHyphens/>
      <w:spacing w:after="240"/>
    </w:pPr>
    <w:rPr>
      <w:rFonts w:ascii="Arial" w:hAnsi="Arial" w:cs="Mangal"/>
      <w:b/>
      <w:color w:val="CC0033"/>
      <w:kern w:val="1"/>
      <w:sz w:val="24"/>
      <w:szCs w:val="24"/>
      <w:lang w:val="en-GB" w:eastAsia="hi-IN" w:bidi="hi-IN"/>
    </w:rPr>
  </w:style>
  <w:style w:type="paragraph" w:styleId="Header">
    <w:name w:val="header"/>
    <w:basedOn w:val="Normal"/>
    <w:link w:val="HeaderChar"/>
    <w:uiPriority w:val="99"/>
    <w:rsid w:val="000A5C57"/>
    <w:pPr>
      <w:suppressLineNumbers/>
      <w:tabs>
        <w:tab w:val="center" w:pos="4153"/>
        <w:tab w:val="right" w:pos="8306"/>
      </w:tabs>
    </w:pPr>
    <w:rPr>
      <w:sz w:val="18"/>
      <w:szCs w:val="18"/>
    </w:rPr>
  </w:style>
  <w:style w:type="character" w:customStyle="1" w:styleId="HeaderChar">
    <w:name w:val="Header Char"/>
    <w:basedOn w:val="DefaultParagraphFont"/>
    <w:link w:val="Header"/>
    <w:uiPriority w:val="99"/>
    <w:semiHidden/>
    <w:rsid w:val="006A62EF"/>
    <w:rPr>
      <w:rFonts w:ascii="Arial" w:hAnsi="Arial" w:cs="Mangal"/>
      <w:kern w:val="1"/>
      <w:szCs w:val="20"/>
      <w:lang w:val="en-GB" w:eastAsia="hi-IN" w:bidi="hi-IN"/>
    </w:rPr>
  </w:style>
  <w:style w:type="paragraph" w:styleId="HTMLPreformatted">
    <w:name w:val="HTML Preformatted"/>
    <w:basedOn w:val="Normal"/>
    <w:link w:val="HTMLPreformattedChar"/>
    <w:uiPriority w:val="99"/>
    <w:rsid w:val="000A5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US"/>
    </w:rPr>
  </w:style>
  <w:style w:type="character" w:customStyle="1" w:styleId="HTMLPreformattedChar">
    <w:name w:val="HTML Preformatted Char"/>
    <w:basedOn w:val="DefaultParagraphFont"/>
    <w:link w:val="HTMLPreformatted"/>
    <w:uiPriority w:val="99"/>
    <w:semiHidden/>
    <w:rsid w:val="006A62EF"/>
    <w:rPr>
      <w:rFonts w:ascii="Courier New" w:hAnsi="Courier New" w:cs="Mangal"/>
      <w:kern w:val="1"/>
      <w:sz w:val="20"/>
      <w:szCs w:val="18"/>
      <w:lang w:val="en-GB" w:eastAsia="hi-IN" w:bidi="hi-IN"/>
    </w:rPr>
  </w:style>
  <w:style w:type="paragraph" w:customStyle="1" w:styleId="AnnexLevel2">
    <w:name w:val="Annex Level 2"/>
    <w:uiPriority w:val="99"/>
    <w:rsid w:val="000A5C57"/>
    <w:pPr>
      <w:keepNext/>
      <w:keepLines/>
      <w:tabs>
        <w:tab w:val="num" w:pos="0"/>
      </w:tabs>
      <w:suppressAutoHyphens/>
      <w:spacing w:after="240"/>
    </w:pPr>
    <w:rPr>
      <w:rFonts w:ascii="Arial" w:hAnsi="Arial" w:cs="Mangal"/>
      <w:b/>
      <w:color w:val="CC0033"/>
      <w:kern w:val="1"/>
      <w:sz w:val="28"/>
      <w:szCs w:val="24"/>
      <w:lang w:val="en-GB" w:eastAsia="hi-IN" w:bidi="hi-IN"/>
    </w:rPr>
  </w:style>
  <w:style w:type="paragraph" w:customStyle="1" w:styleId="AnnexLevel3">
    <w:name w:val="Annex Level 3"/>
    <w:uiPriority w:val="99"/>
    <w:rsid w:val="000A5C57"/>
    <w:pPr>
      <w:tabs>
        <w:tab w:val="num" w:pos="0"/>
        <w:tab w:val="left" w:pos="851"/>
      </w:tabs>
      <w:suppressAutoHyphens/>
      <w:spacing w:after="240"/>
    </w:pPr>
    <w:rPr>
      <w:rFonts w:ascii="Arial" w:hAnsi="Arial" w:cs="Mangal"/>
      <w:color w:val="000000"/>
      <w:kern w:val="1"/>
      <w:lang w:val="en-GB" w:eastAsia="hi-IN" w:bidi="hi-IN"/>
    </w:rPr>
  </w:style>
  <w:style w:type="paragraph" w:customStyle="1" w:styleId="AnnexLevel4">
    <w:name w:val="Annex Level 4"/>
    <w:uiPriority w:val="99"/>
    <w:rsid w:val="000A5C57"/>
    <w:pPr>
      <w:tabs>
        <w:tab w:val="num" w:pos="0"/>
      </w:tabs>
      <w:suppressAutoHyphens/>
      <w:spacing w:after="240"/>
      <w:ind w:left="1651" w:hanging="800"/>
    </w:pPr>
    <w:rPr>
      <w:rFonts w:ascii="Arial" w:hAnsi="Arial" w:cs="Mangal"/>
      <w:color w:val="000000"/>
      <w:kern w:val="1"/>
      <w:lang w:val="en-GB" w:eastAsia="hi-IN" w:bidi="hi-IN"/>
    </w:rPr>
  </w:style>
  <w:style w:type="paragraph" w:customStyle="1" w:styleId="AnnexBullets">
    <w:name w:val="Annex Bullets"/>
    <w:uiPriority w:val="99"/>
    <w:rsid w:val="000A5C57"/>
    <w:pPr>
      <w:tabs>
        <w:tab w:val="left" w:pos="720"/>
      </w:tabs>
      <w:suppressAutoHyphens/>
      <w:spacing w:after="240"/>
    </w:pPr>
    <w:rPr>
      <w:rFonts w:ascii="Arial" w:hAnsi="Arial" w:cs="Mangal"/>
      <w:color w:val="000000"/>
      <w:kern w:val="1"/>
      <w:lang w:val="en-GB" w:eastAsia="hi-IN" w:bidi="hi-IN"/>
    </w:rPr>
  </w:style>
  <w:style w:type="paragraph" w:customStyle="1" w:styleId="AnnexSub-bullets">
    <w:name w:val="Annex Sub-bullets"/>
    <w:uiPriority w:val="99"/>
    <w:rsid w:val="000A5C57"/>
    <w:pPr>
      <w:suppressAutoHyphens/>
      <w:spacing w:after="240"/>
    </w:pPr>
    <w:rPr>
      <w:rFonts w:ascii="Arial" w:hAnsi="Arial" w:cs="Mangal"/>
      <w:color w:val="000000"/>
      <w:kern w:val="1"/>
      <w:lang w:val="en-GB" w:eastAsia="hi-IN" w:bidi="hi-IN"/>
    </w:rPr>
  </w:style>
  <w:style w:type="paragraph" w:customStyle="1" w:styleId="Annexabullets">
    <w:name w:val="Annex a bullets"/>
    <w:uiPriority w:val="99"/>
    <w:rsid w:val="000A5C57"/>
    <w:pPr>
      <w:tabs>
        <w:tab w:val="num" w:pos="0"/>
      </w:tabs>
      <w:suppressAutoHyphens/>
      <w:spacing w:after="240"/>
    </w:pPr>
    <w:rPr>
      <w:rFonts w:ascii="Arial" w:hAnsi="Arial" w:cs="Mangal"/>
      <w:color w:val="000000"/>
      <w:kern w:val="1"/>
      <w:lang w:val="en-GB" w:eastAsia="hi-IN" w:bidi="hi-IN"/>
    </w:rPr>
  </w:style>
  <w:style w:type="paragraph" w:customStyle="1" w:styleId="Annexibullets">
    <w:name w:val="Annex i bullets"/>
    <w:uiPriority w:val="99"/>
    <w:rsid w:val="000A5C57"/>
    <w:pPr>
      <w:tabs>
        <w:tab w:val="num" w:pos="0"/>
      </w:tabs>
      <w:suppressAutoHyphens/>
      <w:spacing w:after="240"/>
    </w:pPr>
    <w:rPr>
      <w:rFonts w:ascii="Arial" w:hAnsi="Arial" w:cs="Mangal"/>
      <w:color w:val="000000"/>
      <w:kern w:val="1"/>
      <w:lang w:val="en-GB" w:eastAsia="hi-IN" w:bidi="hi-IN"/>
    </w:rPr>
  </w:style>
  <w:style w:type="paragraph" w:customStyle="1" w:styleId="Annex2ndSubHeading">
    <w:name w:val="Annex 2nd Sub Heading"/>
    <w:uiPriority w:val="99"/>
    <w:rsid w:val="000A5C57"/>
    <w:pPr>
      <w:keepNext/>
      <w:keepLines/>
      <w:suppressAutoHyphens/>
      <w:spacing w:after="240"/>
    </w:pPr>
    <w:rPr>
      <w:rFonts w:ascii="Arial" w:hAnsi="Arial" w:cs="Mangal"/>
      <w:b/>
      <w:color w:val="000000"/>
      <w:kern w:val="1"/>
      <w:sz w:val="24"/>
      <w:szCs w:val="24"/>
      <w:lang w:val="en-GB" w:eastAsia="hi-IN" w:bidi="hi-IN"/>
    </w:rPr>
  </w:style>
  <w:style w:type="paragraph" w:customStyle="1" w:styleId="Annex3rdSubHeading">
    <w:name w:val="Annex 3rd Sub Heading"/>
    <w:uiPriority w:val="99"/>
    <w:rsid w:val="000A5C57"/>
    <w:pPr>
      <w:keepNext/>
      <w:keepLines/>
      <w:suppressAutoHyphens/>
      <w:spacing w:after="240"/>
    </w:pPr>
    <w:rPr>
      <w:rFonts w:ascii="Arial" w:hAnsi="Arial" w:cs="Mangal"/>
      <w:color w:val="000000"/>
      <w:kern w:val="1"/>
      <w:sz w:val="24"/>
      <w:szCs w:val="24"/>
      <w:u w:val="single"/>
      <w:lang w:val="en-GB" w:eastAsia="hi-IN" w:bidi="hi-IN"/>
    </w:rPr>
  </w:style>
  <w:style w:type="paragraph" w:customStyle="1" w:styleId="AnnexBodyText">
    <w:name w:val="Annex Body Text"/>
    <w:uiPriority w:val="99"/>
    <w:rsid w:val="000A5C57"/>
    <w:pPr>
      <w:tabs>
        <w:tab w:val="num" w:pos="0"/>
      </w:tabs>
      <w:suppressAutoHyphens/>
      <w:spacing w:after="240"/>
    </w:pPr>
    <w:rPr>
      <w:rFonts w:ascii="Arial" w:hAnsi="Arial" w:cs="Mangal"/>
      <w:color w:val="000000"/>
      <w:kern w:val="1"/>
      <w:lang w:val="en-GB" w:eastAsia="hi-IN" w:bidi="hi-IN"/>
    </w:rPr>
  </w:style>
  <w:style w:type="paragraph" w:customStyle="1" w:styleId="Questions">
    <w:name w:val="Questions"/>
    <w:uiPriority w:val="99"/>
    <w:rsid w:val="000A5C57"/>
    <w:pPr>
      <w:shd w:val="clear" w:color="auto" w:fill="D9D9D9"/>
      <w:suppressAutoHyphens/>
      <w:ind w:left="720"/>
    </w:pPr>
    <w:rPr>
      <w:rFonts w:ascii="Arial" w:hAnsi="Arial" w:cs="Mangal"/>
      <w:i/>
      <w:color w:val="000000"/>
      <w:kern w:val="1"/>
      <w:lang w:val="en-GB" w:eastAsia="hi-IN" w:bidi="hi-IN"/>
    </w:rPr>
  </w:style>
  <w:style w:type="paragraph" w:customStyle="1" w:styleId="QuestionBlankline">
    <w:name w:val="Question Blankline"/>
    <w:uiPriority w:val="99"/>
    <w:rsid w:val="000A5C57"/>
    <w:pPr>
      <w:suppressAutoHyphens/>
    </w:pPr>
    <w:rPr>
      <w:rFonts w:ascii="Arial" w:hAnsi="Arial" w:cs="Mangal"/>
      <w:i/>
      <w:color w:val="000000"/>
      <w:kern w:val="1"/>
      <w:lang w:val="en-GB" w:eastAsia="hi-IN" w:bidi="hi-IN"/>
    </w:rPr>
  </w:style>
  <w:style w:type="paragraph" w:customStyle="1" w:styleId="Quotations">
    <w:name w:val="Quotations"/>
    <w:basedOn w:val="Normal"/>
    <w:uiPriority w:val="99"/>
    <w:rsid w:val="000A5C57"/>
    <w:pPr>
      <w:spacing w:after="240"/>
      <w:ind w:left="1440" w:right="880"/>
    </w:pPr>
    <w:rPr>
      <w:color w:val="000000"/>
    </w:rPr>
  </w:style>
  <w:style w:type="paragraph" w:customStyle="1" w:styleId="Caption1">
    <w:name w:val="Caption1"/>
    <w:uiPriority w:val="99"/>
    <w:rsid w:val="000A5C57"/>
    <w:pPr>
      <w:keepNext/>
      <w:suppressAutoHyphens/>
      <w:spacing w:before="120" w:after="120"/>
    </w:pPr>
    <w:rPr>
      <w:rFonts w:ascii="Arial" w:hAnsi="Arial" w:cs="Mangal"/>
      <w:b/>
      <w:bCs/>
      <w:color w:val="800080"/>
      <w:kern w:val="1"/>
      <w:lang w:val="en-GB" w:eastAsia="hi-IN" w:bidi="hi-IN"/>
    </w:rPr>
  </w:style>
  <w:style w:type="paragraph" w:styleId="Footer">
    <w:name w:val="footer"/>
    <w:basedOn w:val="Normal"/>
    <w:link w:val="FooterChar"/>
    <w:uiPriority w:val="99"/>
    <w:rsid w:val="000A5C57"/>
    <w:pPr>
      <w:suppressLineNumbers/>
      <w:tabs>
        <w:tab w:val="center" w:pos="4153"/>
        <w:tab w:val="right" w:pos="9057"/>
      </w:tabs>
    </w:pPr>
    <w:rPr>
      <w:szCs w:val="28"/>
    </w:rPr>
  </w:style>
  <w:style w:type="character" w:customStyle="1" w:styleId="FooterChar">
    <w:name w:val="Footer Char"/>
    <w:basedOn w:val="DefaultParagraphFont"/>
    <w:link w:val="Footer"/>
    <w:uiPriority w:val="99"/>
    <w:semiHidden/>
    <w:rsid w:val="006A62EF"/>
    <w:rPr>
      <w:rFonts w:ascii="Arial" w:hAnsi="Arial" w:cs="Mangal"/>
      <w:kern w:val="1"/>
      <w:szCs w:val="20"/>
      <w:lang w:val="en-GB" w:eastAsia="hi-IN" w:bidi="hi-IN"/>
    </w:rPr>
  </w:style>
  <w:style w:type="paragraph" w:customStyle="1" w:styleId="AnnexLevel1">
    <w:name w:val="Annex Level 1"/>
    <w:uiPriority w:val="99"/>
    <w:rsid w:val="000A5C57"/>
    <w:pPr>
      <w:keepNext/>
      <w:tabs>
        <w:tab w:val="num" w:pos="0"/>
      </w:tabs>
      <w:suppressAutoHyphens/>
      <w:spacing w:before="240" w:after="240"/>
    </w:pPr>
    <w:rPr>
      <w:rFonts w:ascii="Arial" w:hAnsi="Arial" w:cs="Mangal"/>
      <w:color w:val="CC0033"/>
      <w:kern w:val="1"/>
      <w:sz w:val="48"/>
      <w:szCs w:val="48"/>
      <w:lang w:val="en-GB" w:eastAsia="hi-IN" w:bidi="hi-IN"/>
    </w:rPr>
  </w:style>
  <w:style w:type="paragraph" w:styleId="BalloonText">
    <w:name w:val="Balloon Text"/>
    <w:basedOn w:val="Normal"/>
    <w:link w:val="BalloonTextChar"/>
    <w:uiPriority w:val="99"/>
    <w:rsid w:val="000A5C57"/>
    <w:rPr>
      <w:rFonts w:ascii="Tahoma" w:hAnsi="Tahoma" w:cs="Tahoma"/>
      <w:sz w:val="16"/>
      <w:szCs w:val="16"/>
    </w:rPr>
  </w:style>
  <w:style w:type="character" w:customStyle="1" w:styleId="BalloonTextChar">
    <w:name w:val="Balloon Text Char"/>
    <w:basedOn w:val="DefaultParagraphFont"/>
    <w:link w:val="BalloonText"/>
    <w:uiPriority w:val="99"/>
    <w:semiHidden/>
    <w:rsid w:val="006A62EF"/>
    <w:rPr>
      <w:rFonts w:cs="Mangal"/>
      <w:kern w:val="1"/>
      <w:sz w:val="0"/>
      <w:szCs w:val="0"/>
      <w:lang w:val="en-GB" w:eastAsia="hi-IN" w:bidi="hi-IN"/>
    </w:rPr>
  </w:style>
  <w:style w:type="paragraph" w:styleId="PlainText">
    <w:name w:val="Plain Text"/>
    <w:basedOn w:val="Normal"/>
    <w:link w:val="PlainTextChar"/>
    <w:uiPriority w:val="99"/>
    <w:rsid w:val="000A5C57"/>
    <w:rPr>
      <w:rFonts w:ascii="Courier New" w:hAnsi="Courier New"/>
      <w:b/>
      <w:sz w:val="20"/>
      <w:szCs w:val="28"/>
    </w:rPr>
  </w:style>
  <w:style w:type="character" w:customStyle="1" w:styleId="PlainTextChar">
    <w:name w:val="Plain Text Char"/>
    <w:basedOn w:val="DefaultParagraphFont"/>
    <w:link w:val="PlainText"/>
    <w:uiPriority w:val="99"/>
    <w:semiHidden/>
    <w:rsid w:val="006A62EF"/>
    <w:rPr>
      <w:rFonts w:ascii="Courier New" w:hAnsi="Courier New" w:cs="Mangal"/>
      <w:kern w:val="1"/>
      <w:sz w:val="20"/>
      <w:szCs w:val="18"/>
      <w:lang w:val="en-GB" w:eastAsia="hi-IN" w:bidi="hi-IN"/>
    </w:rPr>
  </w:style>
  <w:style w:type="paragraph" w:styleId="TOC1">
    <w:name w:val="toc 1"/>
    <w:basedOn w:val="Index"/>
    <w:uiPriority w:val="99"/>
    <w:rsid w:val="000A5C57"/>
    <w:pPr>
      <w:tabs>
        <w:tab w:val="left" w:pos="1440"/>
        <w:tab w:val="right" w:pos="8640"/>
      </w:tabs>
      <w:spacing w:before="120"/>
      <w:ind w:left="1440" w:right="737" w:hanging="873"/>
    </w:pPr>
    <w:rPr>
      <w:sz w:val="24"/>
      <w:szCs w:val="24"/>
    </w:rPr>
  </w:style>
  <w:style w:type="paragraph" w:customStyle="1" w:styleId="OfcomDates">
    <w:name w:val="OfcomDates"/>
    <w:uiPriority w:val="99"/>
    <w:rsid w:val="000A5C57"/>
    <w:pPr>
      <w:suppressAutoHyphens/>
      <w:jc w:val="right"/>
    </w:pPr>
    <w:rPr>
      <w:rFonts w:ascii="Arial" w:hAnsi="Arial" w:cs="Mangal"/>
      <w:color w:val="000000"/>
      <w:kern w:val="1"/>
      <w:sz w:val="28"/>
      <w:szCs w:val="28"/>
      <w:lang w:val="en-GB" w:eastAsia="hi-IN" w:bidi="hi-IN"/>
    </w:rPr>
  </w:style>
  <w:style w:type="paragraph" w:styleId="ListParagraph">
    <w:name w:val="List Paragraph"/>
    <w:basedOn w:val="Normal"/>
    <w:uiPriority w:val="99"/>
    <w:qFormat/>
    <w:rsid w:val="000A5C57"/>
    <w:pPr>
      <w:ind w:left="720"/>
    </w:pPr>
  </w:style>
  <w:style w:type="paragraph" w:styleId="FootnoteText">
    <w:name w:val="footnote text"/>
    <w:basedOn w:val="Normal"/>
    <w:link w:val="FootnoteTextChar"/>
    <w:uiPriority w:val="99"/>
    <w:rsid w:val="000A5C57"/>
    <w:pPr>
      <w:suppressLineNumbers/>
      <w:ind w:left="283" w:hanging="283"/>
    </w:pPr>
    <w:rPr>
      <w:sz w:val="20"/>
      <w:szCs w:val="20"/>
    </w:rPr>
  </w:style>
  <w:style w:type="character" w:customStyle="1" w:styleId="FootnoteTextChar">
    <w:name w:val="Footnote Text Char"/>
    <w:basedOn w:val="DefaultParagraphFont"/>
    <w:link w:val="FootnoteText"/>
    <w:uiPriority w:val="99"/>
    <w:locked/>
    <w:rsid w:val="00353912"/>
    <w:rPr>
      <w:rFonts w:ascii="Arial" w:eastAsia="Times New Roman" w:hAnsi="Arial" w:cs="Calibri"/>
      <w:kern w:val="1"/>
      <w:lang w:eastAsia="hi-IN" w:bidi="hi-IN"/>
    </w:rPr>
  </w:style>
  <w:style w:type="paragraph" w:customStyle="1" w:styleId="TableContents">
    <w:name w:val="Table Contents"/>
    <w:basedOn w:val="Normal"/>
    <w:uiPriority w:val="99"/>
    <w:rsid w:val="000A5C57"/>
    <w:pPr>
      <w:suppressLineNumbers/>
    </w:pPr>
  </w:style>
  <w:style w:type="paragraph" w:customStyle="1" w:styleId="TableHeading">
    <w:name w:val="Table Heading"/>
    <w:basedOn w:val="TableContents"/>
    <w:uiPriority w:val="99"/>
    <w:rsid w:val="000A5C57"/>
    <w:pPr>
      <w:jc w:val="center"/>
    </w:pPr>
    <w:rPr>
      <w:b/>
      <w:bCs/>
    </w:rPr>
  </w:style>
  <w:style w:type="character" w:styleId="PageNumber">
    <w:name w:val="page number"/>
    <w:basedOn w:val="DefaultParagraphFont"/>
    <w:uiPriority w:val="99"/>
    <w:semiHidden/>
    <w:rsid w:val="00353912"/>
    <w:rPr>
      <w:rFonts w:cs="Times New Roman"/>
    </w:rPr>
  </w:style>
  <w:style w:type="table" w:styleId="TableGrid">
    <w:name w:val="Table Grid"/>
    <w:basedOn w:val="TableNormal"/>
    <w:uiPriority w:val="99"/>
    <w:rsid w:val="0035391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353912"/>
    <w:rPr>
      <w:rFonts w:cs="Times New Roman"/>
      <w:sz w:val="16"/>
      <w:szCs w:val="16"/>
    </w:rPr>
  </w:style>
  <w:style w:type="paragraph" w:styleId="CommentText">
    <w:name w:val="annotation text"/>
    <w:basedOn w:val="Normal"/>
    <w:link w:val="CommentTextChar"/>
    <w:uiPriority w:val="99"/>
    <w:rsid w:val="00353912"/>
    <w:pPr>
      <w:suppressAutoHyphens w:val="0"/>
      <w:spacing w:line="240" w:lineRule="auto"/>
    </w:pPr>
    <w:rPr>
      <w:rFonts w:cs="Arial"/>
      <w:kern w:val="0"/>
      <w:sz w:val="20"/>
      <w:szCs w:val="20"/>
      <w:lang w:eastAsia="en-US" w:bidi="ar-SA"/>
    </w:rPr>
  </w:style>
  <w:style w:type="character" w:customStyle="1" w:styleId="CommentTextChar">
    <w:name w:val="Comment Text Char"/>
    <w:basedOn w:val="DefaultParagraphFont"/>
    <w:link w:val="CommentText"/>
    <w:uiPriority w:val="99"/>
    <w:locked/>
    <w:rsid w:val="00353912"/>
    <w:rPr>
      <w:rFonts w:ascii="Arial" w:eastAsia="Times New Roman" w:hAnsi="Arial" w:cs="Arial"/>
      <w:lang w:eastAsia="en-US"/>
    </w:rPr>
  </w:style>
  <w:style w:type="paragraph" w:styleId="CommentSubject">
    <w:name w:val="annotation subject"/>
    <w:basedOn w:val="CommentText"/>
    <w:next w:val="CommentText"/>
    <w:link w:val="CommentSubjectChar"/>
    <w:uiPriority w:val="99"/>
    <w:semiHidden/>
    <w:rsid w:val="000F7BB8"/>
    <w:pPr>
      <w:suppressAutoHyphens/>
      <w:spacing w:line="276" w:lineRule="auto"/>
    </w:pPr>
    <w:rPr>
      <w:rFonts w:cs="Mangal"/>
      <w:b/>
      <w:bCs/>
      <w:kern w:val="1"/>
      <w:szCs w:val="18"/>
      <w:lang w:eastAsia="hi-IN" w:bidi="hi-IN"/>
    </w:rPr>
  </w:style>
  <w:style w:type="character" w:customStyle="1" w:styleId="CommentSubjectChar">
    <w:name w:val="Comment Subject Char"/>
    <w:basedOn w:val="CommentTextChar"/>
    <w:link w:val="CommentSubject"/>
    <w:uiPriority w:val="99"/>
    <w:semiHidden/>
    <w:locked/>
    <w:rsid w:val="000F7BB8"/>
    <w:rPr>
      <w:rFonts w:cs="Mangal"/>
      <w:b/>
      <w:bCs/>
      <w:kern w:val="1"/>
      <w:sz w:val="18"/>
      <w:szCs w:val="18"/>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10</Pages>
  <Words>4235</Words>
  <Characters>23295</Characters>
  <Application>Microsoft Office Outlook</Application>
  <DocSecurity>0</DocSecurity>
  <Lines>0</Lines>
  <Paragraphs>0</Paragraphs>
  <ScaleCrop>false</ScaleCrop>
  <Company>OFCOM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Talbot</dc:creator>
  <cp:keywords/>
  <dc:description/>
  <cp:lastModifiedBy>Deschamps</cp:lastModifiedBy>
  <cp:revision>4</cp:revision>
  <cp:lastPrinted>2011-09-13T15:44:00Z</cp:lastPrinted>
  <dcterms:created xsi:type="dcterms:W3CDTF">2011-09-14T13:59:00Z</dcterms:created>
  <dcterms:modified xsi:type="dcterms:W3CDTF">2011-09-14T14:23:00Z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