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8" w:type="dxa"/>
        <w:tblLayout w:type="fixed"/>
        <w:tblLook w:val="0000"/>
      </w:tblPr>
      <w:tblGrid>
        <w:gridCol w:w="8"/>
        <w:gridCol w:w="3500"/>
        <w:gridCol w:w="300"/>
        <w:gridCol w:w="1262"/>
        <w:gridCol w:w="438"/>
        <w:gridCol w:w="360"/>
        <w:gridCol w:w="900"/>
        <w:gridCol w:w="940"/>
        <w:gridCol w:w="1900"/>
      </w:tblGrid>
      <w:tr w:rsidR="00075549" w:rsidRPr="00AE689D" w:rsidTr="00CF613B">
        <w:tc>
          <w:tcPr>
            <w:tcW w:w="5070" w:type="dxa"/>
            <w:gridSpan w:val="4"/>
          </w:tcPr>
          <w:p w:rsidR="00075549" w:rsidRPr="00AE689D" w:rsidRDefault="00075549" w:rsidP="00C44DFE">
            <w:pPr>
              <w:jc w:val="both"/>
              <w:rPr>
                <w:rFonts w:ascii="Arial" w:hAnsi="Arial" w:cs="Arial"/>
                <w:b/>
                <w:sz w:val="22"/>
                <w:lang w:val="en-GB" w:eastAsia="de-DE"/>
              </w:rPr>
            </w:pPr>
            <w:r w:rsidRPr="007C0DD2">
              <w:rPr>
                <w:b/>
                <w:caps/>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26.75pt;height:73.5pt;visibility:visible">
                  <v:imagedata r:id="rId7" o:title=""/>
                </v:shape>
              </w:pict>
            </w:r>
          </w:p>
        </w:tc>
        <w:tc>
          <w:tcPr>
            <w:tcW w:w="2638" w:type="dxa"/>
            <w:gridSpan w:val="4"/>
          </w:tcPr>
          <w:p w:rsidR="00075549" w:rsidRPr="00AE689D" w:rsidRDefault="00075549" w:rsidP="00C44DFE">
            <w:pPr>
              <w:jc w:val="both"/>
              <w:rPr>
                <w:rFonts w:ascii="Arial" w:hAnsi="Arial" w:cs="Arial"/>
                <w:b/>
                <w:sz w:val="22"/>
                <w:lang w:val="en-GB" w:eastAsia="de-DE"/>
              </w:rPr>
            </w:pPr>
          </w:p>
          <w:p w:rsidR="00075549" w:rsidRPr="00AE689D" w:rsidRDefault="00075549" w:rsidP="00C44DFE">
            <w:pPr>
              <w:jc w:val="both"/>
              <w:rPr>
                <w:rFonts w:ascii="Arial" w:hAnsi="Arial" w:cs="Arial"/>
                <w:b/>
                <w:sz w:val="22"/>
                <w:lang w:val="en-GB" w:eastAsia="de-DE"/>
              </w:rPr>
            </w:pPr>
          </w:p>
          <w:p w:rsidR="00075549" w:rsidRPr="00AE689D" w:rsidRDefault="00075549" w:rsidP="00C44DFE">
            <w:pPr>
              <w:jc w:val="both"/>
              <w:rPr>
                <w:rFonts w:ascii="Arial" w:hAnsi="Arial" w:cs="Arial"/>
                <w:b/>
                <w:sz w:val="22"/>
                <w:lang w:val="en-GB" w:eastAsia="de-DE"/>
              </w:rPr>
            </w:pPr>
          </w:p>
          <w:p w:rsidR="00075549" w:rsidRPr="00AE689D" w:rsidRDefault="00075549" w:rsidP="00C44DFE">
            <w:pPr>
              <w:jc w:val="both"/>
              <w:rPr>
                <w:rFonts w:ascii="Arial" w:hAnsi="Arial" w:cs="Arial"/>
                <w:b/>
                <w:sz w:val="22"/>
                <w:lang w:val="en-GB" w:eastAsia="de-DE"/>
              </w:rPr>
            </w:pPr>
          </w:p>
        </w:tc>
        <w:tc>
          <w:tcPr>
            <w:tcW w:w="1900" w:type="dxa"/>
          </w:tcPr>
          <w:p w:rsidR="00075549" w:rsidRPr="00AE689D" w:rsidRDefault="00075549" w:rsidP="00C44DFE">
            <w:pPr>
              <w:jc w:val="right"/>
              <w:rPr>
                <w:rFonts w:ascii="Arial" w:hAnsi="Arial" w:cs="Arial"/>
                <w:b/>
                <w:sz w:val="22"/>
                <w:lang w:val="en-GB" w:eastAsia="de-DE"/>
              </w:rPr>
            </w:pPr>
            <w:r w:rsidRPr="00AE689D">
              <w:rPr>
                <w:rFonts w:ascii="Arial" w:hAnsi="Arial" w:cs="Arial"/>
                <w:b/>
                <w:sz w:val="22"/>
                <w:lang w:val="en-GB" w:eastAsia="de-DE"/>
              </w:rPr>
              <w:t>FM50(11)</w:t>
            </w:r>
            <w:r>
              <w:rPr>
                <w:rFonts w:ascii="Arial" w:hAnsi="Arial" w:cs="Arial"/>
                <w:b/>
                <w:sz w:val="22"/>
                <w:lang w:val="en-GB" w:eastAsia="de-DE"/>
              </w:rPr>
              <w:t>046</w:t>
            </w:r>
          </w:p>
        </w:tc>
      </w:tr>
      <w:tr w:rsidR="00075549" w:rsidRPr="00AE689D">
        <w:tc>
          <w:tcPr>
            <w:tcW w:w="9608" w:type="dxa"/>
            <w:gridSpan w:val="9"/>
          </w:tcPr>
          <w:p w:rsidR="00075549" w:rsidRPr="00AE689D" w:rsidRDefault="00075549" w:rsidP="00EE3899">
            <w:pPr>
              <w:rPr>
                <w:rFonts w:ascii="Arial" w:hAnsi="Arial" w:cs="Arial"/>
                <w:b/>
                <w:bCs/>
                <w:lang w:val="en-GB"/>
              </w:rPr>
            </w:pPr>
          </w:p>
          <w:p w:rsidR="00075549" w:rsidRPr="00AE689D" w:rsidRDefault="00075549" w:rsidP="00EE3899">
            <w:pPr>
              <w:rPr>
                <w:rFonts w:ascii="Arial" w:hAnsi="Arial" w:cs="Arial"/>
                <w:b/>
                <w:bCs/>
                <w:lang w:val="en-GB"/>
              </w:rPr>
            </w:pPr>
            <w:r w:rsidRPr="00AE689D">
              <w:rPr>
                <w:rFonts w:ascii="Arial" w:hAnsi="Arial" w:cs="Arial"/>
                <w:b/>
                <w:bCs/>
                <w:lang w:val="en-GB"/>
              </w:rPr>
              <w:t>3rd Meeting of FM50</w:t>
            </w:r>
          </w:p>
        </w:tc>
      </w:tr>
      <w:tr w:rsidR="00075549" w:rsidRPr="00AE689D" w:rsidTr="004B64F4">
        <w:trPr>
          <w:trHeight w:val="360"/>
        </w:trPr>
        <w:tc>
          <w:tcPr>
            <w:tcW w:w="6768" w:type="dxa"/>
            <w:gridSpan w:val="7"/>
          </w:tcPr>
          <w:p w:rsidR="00075549" w:rsidRPr="00AE689D" w:rsidRDefault="00075549" w:rsidP="004B64F4">
            <w:pPr>
              <w:ind w:right="282"/>
              <w:rPr>
                <w:rFonts w:ascii="Arial" w:hAnsi="Arial" w:cs="Arial"/>
                <w:b/>
                <w:bCs/>
                <w:lang w:val="en-GB"/>
              </w:rPr>
            </w:pPr>
            <w:r w:rsidRPr="00AE689D">
              <w:rPr>
                <w:rFonts w:ascii="Arial" w:hAnsi="Arial" w:cs="Arial"/>
                <w:b/>
                <w:bCs/>
                <w:lang w:val="en-GB"/>
              </w:rPr>
              <w:t xml:space="preserve">30 November - 2 December 2011, </w:t>
            </w:r>
            <w:smartTag w:uri="urn:schemas-microsoft-com:office:smarttags" w:element="place">
              <w:smartTag w:uri="urn:schemas-microsoft-com:office:smarttags" w:element="City">
                <w:r w:rsidRPr="00AE689D">
                  <w:rPr>
                    <w:rFonts w:ascii="Arial" w:hAnsi="Arial" w:cs="Arial"/>
                    <w:b/>
                    <w:bCs/>
                    <w:lang w:val="en-GB"/>
                  </w:rPr>
                  <w:t>Helsinki</w:t>
                </w:r>
              </w:smartTag>
              <w:r w:rsidRPr="00AE689D">
                <w:rPr>
                  <w:rFonts w:ascii="Arial" w:hAnsi="Arial" w:cs="Arial"/>
                  <w:b/>
                  <w:bCs/>
                  <w:lang w:val="en-GB"/>
                </w:rPr>
                <w:t xml:space="preserve">, </w:t>
              </w:r>
              <w:smartTag w:uri="urn:schemas-microsoft-com:office:smarttags" w:element="country-region">
                <w:r w:rsidRPr="00AE689D">
                  <w:rPr>
                    <w:rFonts w:ascii="Arial" w:hAnsi="Arial" w:cs="Arial"/>
                    <w:b/>
                    <w:bCs/>
                    <w:lang w:val="en-GB"/>
                  </w:rPr>
                  <w:t>Finland</w:t>
                </w:r>
              </w:smartTag>
            </w:smartTag>
          </w:p>
        </w:tc>
        <w:tc>
          <w:tcPr>
            <w:tcW w:w="2840" w:type="dxa"/>
            <w:gridSpan w:val="2"/>
          </w:tcPr>
          <w:p w:rsidR="00075549" w:rsidRPr="00AE689D" w:rsidRDefault="00075549" w:rsidP="00C44DFE">
            <w:pPr>
              <w:jc w:val="both"/>
              <w:rPr>
                <w:rFonts w:ascii="Arial" w:hAnsi="Arial" w:cs="Arial"/>
                <w:b/>
                <w:lang w:val="en-GB" w:eastAsia="de-DE"/>
              </w:rPr>
            </w:pPr>
          </w:p>
        </w:tc>
      </w:tr>
      <w:tr w:rsidR="00075549" w:rsidRPr="00F720BA" w:rsidTr="00CF613B">
        <w:trPr>
          <w:cantSplit/>
          <w:trHeight w:val="1191"/>
        </w:trPr>
        <w:tc>
          <w:tcPr>
            <w:tcW w:w="9608" w:type="dxa"/>
            <w:gridSpan w:val="9"/>
          </w:tcPr>
          <w:p w:rsidR="00075549" w:rsidRPr="00AE689D" w:rsidRDefault="00075549" w:rsidP="00F720BA">
            <w:pPr>
              <w:tabs>
                <w:tab w:val="left" w:pos="1582"/>
              </w:tabs>
              <w:jc w:val="both"/>
              <w:outlineLvl w:val="0"/>
              <w:rPr>
                <w:rFonts w:ascii="Arial" w:hAnsi="Arial" w:cs="Arial"/>
                <w:b/>
                <w:lang w:val="en-GB" w:eastAsia="de-DE"/>
              </w:rPr>
            </w:pPr>
            <w:r w:rsidRPr="00AE689D">
              <w:rPr>
                <w:rFonts w:ascii="Arial" w:hAnsi="Arial" w:cs="Arial"/>
                <w:b/>
                <w:lang w:val="en-GB" w:eastAsia="de-DE"/>
              </w:rPr>
              <w:t>Date issued:</w:t>
            </w:r>
            <w:r w:rsidRPr="00AE689D">
              <w:rPr>
                <w:rFonts w:ascii="Arial" w:hAnsi="Arial" w:cs="Arial"/>
                <w:b/>
                <w:lang w:val="en-GB" w:eastAsia="de-DE"/>
              </w:rPr>
              <w:tab/>
            </w:r>
            <w:r>
              <w:rPr>
                <w:rFonts w:ascii="Arial" w:hAnsi="Arial" w:cs="Arial"/>
                <w:b/>
                <w:lang w:val="en-GB" w:eastAsia="de-DE"/>
              </w:rPr>
              <w:t>14</w:t>
            </w:r>
            <w:r w:rsidRPr="00F720BA">
              <w:rPr>
                <w:rFonts w:ascii="Arial" w:hAnsi="Arial" w:cs="Arial"/>
                <w:b/>
                <w:vertAlign w:val="superscript"/>
                <w:lang w:val="en-GB" w:eastAsia="de-DE"/>
              </w:rPr>
              <w:t>th</w:t>
            </w:r>
            <w:r>
              <w:rPr>
                <w:rFonts w:ascii="Arial" w:hAnsi="Arial" w:cs="Arial"/>
                <w:b/>
                <w:lang w:val="en-GB" w:eastAsia="de-DE"/>
              </w:rPr>
              <w:t xml:space="preserve"> November</w:t>
            </w:r>
            <w:r w:rsidRPr="00AE689D">
              <w:rPr>
                <w:rFonts w:ascii="Arial" w:hAnsi="Arial" w:cs="Arial"/>
                <w:b/>
                <w:lang w:val="en-GB" w:eastAsia="de-DE"/>
              </w:rPr>
              <w:t xml:space="preserve"> 2011</w:t>
            </w:r>
          </w:p>
          <w:p w:rsidR="00075549" w:rsidRPr="00AE689D" w:rsidRDefault="00075549" w:rsidP="00C44DFE">
            <w:pPr>
              <w:tabs>
                <w:tab w:val="left" w:pos="1582"/>
              </w:tabs>
              <w:spacing w:before="120"/>
              <w:jc w:val="both"/>
              <w:outlineLvl w:val="0"/>
              <w:rPr>
                <w:rFonts w:ascii="Arial" w:hAnsi="Arial" w:cs="Arial"/>
                <w:b/>
                <w:lang w:val="en-GB" w:eastAsia="de-DE"/>
              </w:rPr>
            </w:pPr>
            <w:r w:rsidRPr="00AE689D">
              <w:rPr>
                <w:rFonts w:ascii="Arial" w:hAnsi="Arial" w:cs="Arial"/>
                <w:b/>
                <w:lang w:val="en-GB" w:eastAsia="de-DE"/>
              </w:rPr>
              <w:t>Source:</w:t>
            </w:r>
            <w:r w:rsidRPr="00AE689D">
              <w:rPr>
                <w:rFonts w:ascii="Arial" w:hAnsi="Arial" w:cs="Arial"/>
                <w:b/>
                <w:lang w:val="en-GB" w:eastAsia="de-DE"/>
              </w:rPr>
              <w:tab/>
              <w:t>Ericsson, Qualcomm</w:t>
            </w:r>
          </w:p>
          <w:p w:rsidR="00075549" w:rsidRPr="00AE689D" w:rsidRDefault="00075549" w:rsidP="003C4AEA">
            <w:pPr>
              <w:tabs>
                <w:tab w:val="left" w:pos="1571"/>
              </w:tabs>
              <w:spacing w:before="120" w:after="120"/>
              <w:jc w:val="both"/>
              <w:outlineLvl w:val="0"/>
              <w:rPr>
                <w:rFonts w:ascii="Arial" w:hAnsi="Arial" w:cs="Arial"/>
                <w:b/>
                <w:lang w:val="en-GB" w:eastAsia="de-DE"/>
              </w:rPr>
            </w:pPr>
            <w:r w:rsidRPr="00AE689D">
              <w:rPr>
                <w:rFonts w:ascii="Arial" w:hAnsi="Arial" w:cs="Arial"/>
                <w:b/>
                <w:lang w:val="en-GB" w:eastAsia="de-DE"/>
              </w:rPr>
              <w:t>Subject:</w:t>
            </w:r>
            <w:r w:rsidRPr="00AE689D">
              <w:rPr>
                <w:rFonts w:ascii="Arial" w:hAnsi="Arial" w:cs="Arial"/>
                <w:b/>
                <w:lang w:val="en-GB" w:eastAsia="de-DE"/>
              </w:rPr>
              <w:tab/>
              <w:t>Estimating Social and Economic Benefits</w:t>
            </w:r>
          </w:p>
        </w:tc>
      </w:tr>
      <w:tr w:rsidR="00075549" w:rsidRPr="00AE689D" w:rsidTr="00604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3"/>
          <w:wBefore w:w="8" w:type="dxa"/>
          <w:wAfter w:w="3740" w:type="dxa"/>
        </w:trPr>
        <w:tc>
          <w:tcPr>
            <w:tcW w:w="3500" w:type="dxa"/>
            <w:tcBorders>
              <w:top w:val="nil"/>
              <w:left w:val="nil"/>
              <w:bottom w:val="nil"/>
            </w:tcBorders>
          </w:tcPr>
          <w:p w:rsidR="00075549" w:rsidRPr="00AE689D" w:rsidRDefault="00075549" w:rsidP="00C44DFE">
            <w:pPr>
              <w:tabs>
                <w:tab w:val="left" w:pos="2930"/>
              </w:tabs>
              <w:jc w:val="both"/>
              <w:rPr>
                <w:rFonts w:ascii="Arial" w:hAnsi="Arial" w:cs="Arial"/>
                <w:b/>
                <w:sz w:val="20"/>
                <w:lang w:val="en-GB" w:eastAsia="de-DE"/>
              </w:rPr>
            </w:pPr>
            <w:r w:rsidRPr="00AE689D">
              <w:rPr>
                <w:rFonts w:ascii="Arial" w:hAnsi="Arial" w:cs="Arial"/>
                <w:b/>
                <w:sz w:val="22"/>
                <w:lang w:val="en-GB" w:eastAsia="de-DE"/>
              </w:rPr>
              <w:t>Password protected:</w:t>
            </w:r>
            <w:r w:rsidRPr="00AE689D">
              <w:rPr>
                <w:rFonts w:ascii="Arial" w:hAnsi="Arial" w:cs="Arial"/>
                <w:b/>
                <w:sz w:val="22"/>
                <w:lang w:val="en-GB" w:eastAsia="de-DE"/>
              </w:rPr>
              <w:tab/>
              <w:t>yes</w:t>
            </w:r>
          </w:p>
        </w:tc>
        <w:tc>
          <w:tcPr>
            <w:tcW w:w="300" w:type="dxa"/>
          </w:tcPr>
          <w:p w:rsidR="00075549" w:rsidRPr="00AE689D" w:rsidRDefault="00075549" w:rsidP="00C44DFE">
            <w:pPr>
              <w:jc w:val="both"/>
              <w:rPr>
                <w:rFonts w:ascii="Arial" w:hAnsi="Arial" w:cs="Arial"/>
                <w:b/>
                <w:sz w:val="22"/>
                <w:lang w:val="en-GB" w:eastAsia="de-DE"/>
              </w:rPr>
            </w:pPr>
          </w:p>
        </w:tc>
        <w:tc>
          <w:tcPr>
            <w:tcW w:w="1700" w:type="dxa"/>
            <w:gridSpan w:val="2"/>
            <w:tcBorders>
              <w:top w:val="nil"/>
              <w:bottom w:val="nil"/>
            </w:tcBorders>
          </w:tcPr>
          <w:p w:rsidR="00075549" w:rsidRPr="00AE689D" w:rsidRDefault="00075549" w:rsidP="00C44DFE">
            <w:pPr>
              <w:tabs>
                <w:tab w:val="left" w:pos="1130"/>
              </w:tabs>
              <w:jc w:val="both"/>
              <w:rPr>
                <w:rFonts w:ascii="Arial" w:hAnsi="Arial" w:cs="Arial"/>
                <w:b/>
                <w:sz w:val="22"/>
                <w:lang w:val="en-GB" w:eastAsia="de-DE"/>
              </w:rPr>
            </w:pPr>
            <w:r w:rsidRPr="00AE689D">
              <w:rPr>
                <w:rFonts w:ascii="Arial" w:hAnsi="Arial" w:cs="Arial"/>
                <w:b/>
                <w:sz w:val="22"/>
                <w:lang w:val="en-GB" w:eastAsia="de-DE"/>
              </w:rPr>
              <w:tab/>
              <w:t>No</w:t>
            </w:r>
          </w:p>
        </w:tc>
        <w:tc>
          <w:tcPr>
            <w:tcW w:w="360" w:type="dxa"/>
          </w:tcPr>
          <w:p w:rsidR="00075549" w:rsidRPr="00AE689D" w:rsidRDefault="00075549" w:rsidP="00C44DFE">
            <w:pPr>
              <w:jc w:val="both"/>
              <w:rPr>
                <w:rFonts w:ascii="Arial" w:hAnsi="Arial" w:cs="Arial"/>
                <w:b/>
                <w:sz w:val="22"/>
                <w:lang w:val="en-GB" w:eastAsia="de-DE"/>
              </w:rPr>
            </w:pPr>
            <w:r w:rsidRPr="00AE689D">
              <w:rPr>
                <w:rFonts w:ascii="Arial" w:hAnsi="Arial" w:cs="Arial"/>
                <w:b/>
                <w:sz w:val="22"/>
                <w:lang w:val="en-GB" w:eastAsia="de-DE"/>
              </w:rPr>
              <w:t>x</w:t>
            </w:r>
          </w:p>
        </w:tc>
      </w:tr>
    </w:tbl>
    <w:p w:rsidR="00075549" w:rsidRPr="00AE689D" w:rsidRDefault="00075549" w:rsidP="00C44DFE">
      <w:pPr>
        <w:jc w:val="both"/>
        <w:rPr>
          <w:sz w:val="22"/>
          <w:lang w:val="en-GB" w:eastAsia="de-DE"/>
        </w:rPr>
      </w:pPr>
    </w:p>
    <w:p w:rsidR="00075549" w:rsidRPr="00AE689D" w:rsidRDefault="00075549" w:rsidP="00C44DFE">
      <w:pPr>
        <w:jc w:val="both"/>
        <w:rPr>
          <w:sz w:val="22"/>
          <w:lang w:val="en-GB" w:eastAsia="de-DE"/>
        </w:rPr>
      </w:pPr>
    </w:p>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0"/>
      </w:tblGrid>
      <w:tr w:rsidR="00075549" w:rsidRPr="00F720BA">
        <w:tc>
          <w:tcPr>
            <w:tcW w:w="9600" w:type="dxa"/>
          </w:tcPr>
          <w:p w:rsidR="00075549" w:rsidRPr="00AE689D" w:rsidRDefault="00075549" w:rsidP="00C44DFE">
            <w:pPr>
              <w:rPr>
                <w:rFonts w:ascii="Arial" w:hAnsi="Arial" w:cs="Arial"/>
                <w:b/>
                <w:sz w:val="20"/>
                <w:szCs w:val="20"/>
                <w:lang w:val="en-GB" w:eastAsia="de-DE"/>
              </w:rPr>
            </w:pPr>
          </w:p>
          <w:p w:rsidR="00075549" w:rsidRPr="00AE689D" w:rsidRDefault="00075549" w:rsidP="00E12A21">
            <w:pPr>
              <w:keepNext/>
              <w:outlineLvl w:val="2"/>
              <w:rPr>
                <w:rFonts w:ascii="Arial" w:hAnsi="Arial" w:cs="Arial"/>
                <w:b/>
                <w:szCs w:val="20"/>
                <w:lang w:val="en-GB" w:eastAsia="de-DE"/>
              </w:rPr>
            </w:pPr>
            <w:r w:rsidRPr="00AE689D">
              <w:rPr>
                <w:rFonts w:ascii="Arial" w:hAnsi="Arial" w:cs="Arial"/>
                <w:b/>
                <w:szCs w:val="20"/>
                <w:lang w:val="en-GB" w:eastAsia="de-DE"/>
              </w:rPr>
              <w:t>Summary</w:t>
            </w:r>
          </w:p>
          <w:p w:rsidR="00075549" w:rsidRPr="00AE689D" w:rsidRDefault="00075549" w:rsidP="00AE689D">
            <w:pPr>
              <w:pStyle w:val="BodyText"/>
              <w:spacing w:line="276" w:lineRule="auto"/>
              <w:jc w:val="both"/>
              <w:rPr>
                <w:sz w:val="20"/>
                <w:szCs w:val="20"/>
              </w:rPr>
            </w:pPr>
            <w:r w:rsidRPr="00AE689D">
              <w:rPr>
                <w:sz w:val="20"/>
                <w:szCs w:val="20"/>
              </w:rPr>
              <w:t xml:space="preserve">This contribution considers how the </w:t>
            </w:r>
            <w:r>
              <w:rPr>
                <w:sz w:val="20"/>
                <w:szCs w:val="20"/>
              </w:rPr>
              <w:t>socio-</w:t>
            </w:r>
            <w:r w:rsidRPr="00AE689D">
              <w:rPr>
                <w:sz w:val="20"/>
                <w:szCs w:val="20"/>
              </w:rPr>
              <w:t xml:space="preserve">economic benefits and costs of different options for use of the 1452-1492 MHz band should be estimated.  Measures used for estimations of the benefits of different uses of the spectrum assessed here have been: </w:t>
            </w:r>
            <w:r w:rsidRPr="00AE689D">
              <w:rPr>
                <w:sz w:val="20"/>
                <w:szCs w:val="20"/>
                <w:u w:val="single"/>
              </w:rPr>
              <w:t>economic surplus</w:t>
            </w:r>
            <w:r w:rsidRPr="00AE689D">
              <w:rPr>
                <w:sz w:val="20"/>
                <w:szCs w:val="20"/>
              </w:rPr>
              <w:t xml:space="preserve">, </w:t>
            </w:r>
            <w:r w:rsidRPr="00AE689D">
              <w:rPr>
                <w:sz w:val="20"/>
                <w:szCs w:val="20"/>
                <w:u w:val="single"/>
              </w:rPr>
              <w:t>revenues of the service</w:t>
            </w:r>
            <w:r w:rsidRPr="00AE689D">
              <w:rPr>
                <w:sz w:val="20"/>
                <w:szCs w:val="20"/>
              </w:rPr>
              <w:t xml:space="preserve"> and </w:t>
            </w:r>
            <w:r w:rsidRPr="00AE689D">
              <w:rPr>
                <w:sz w:val="20"/>
                <w:szCs w:val="20"/>
                <w:u w:val="single"/>
              </w:rPr>
              <w:t>gross domestic product</w:t>
            </w:r>
            <w:r w:rsidRPr="00AE689D">
              <w:rPr>
                <w:sz w:val="20"/>
                <w:szCs w:val="20"/>
              </w:rPr>
              <w:t xml:space="preserve"> (GDP)</w:t>
            </w:r>
          </w:p>
          <w:p w:rsidR="00075549" w:rsidRPr="00AE689D" w:rsidRDefault="00075549" w:rsidP="00AE689D">
            <w:pPr>
              <w:pStyle w:val="BulletList1"/>
              <w:numPr>
                <w:ilvl w:val="0"/>
                <w:numId w:val="0"/>
              </w:numPr>
              <w:spacing w:line="276" w:lineRule="auto"/>
              <w:jc w:val="both"/>
              <w:rPr>
                <w:rFonts w:cs="Arial"/>
                <w:szCs w:val="20"/>
              </w:rPr>
            </w:pPr>
            <w:r w:rsidRPr="00AE689D">
              <w:rPr>
                <w:rFonts w:cs="Arial"/>
                <w:szCs w:val="20"/>
              </w:rPr>
              <w:t>In summary, it is found that:</w:t>
            </w:r>
          </w:p>
          <w:p w:rsidR="00075549" w:rsidRPr="00AE689D" w:rsidRDefault="00075549" w:rsidP="00AE689D">
            <w:pPr>
              <w:pStyle w:val="BulletList1"/>
              <w:numPr>
                <w:ilvl w:val="0"/>
                <w:numId w:val="17"/>
              </w:numPr>
              <w:spacing w:line="276" w:lineRule="auto"/>
              <w:jc w:val="both"/>
              <w:rPr>
                <w:rFonts w:cs="Arial"/>
                <w:szCs w:val="20"/>
              </w:rPr>
            </w:pPr>
            <w:r w:rsidRPr="00AE689D">
              <w:rPr>
                <w:rFonts w:cs="Arial"/>
                <w:szCs w:val="20"/>
              </w:rPr>
              <w:t xml:space="preserve">Revenues are not an appropriate measure of the socio-economic benefits </w:t>
            </w:r>
            <w:r>
              <w:rPr>
                <w:rFonts w:cs="Arial"/>
                <w:szCs w:val="20"/>
              </w:rPr>
              <w:t xml:space="preserve">of different uses of spectrum. </w:t>
            </w:r>
            <w:r w:rsidRPr="00AE689D">
              <w:rPr>
                <w:rFonts w:cs="Arial"/>
                <w:szCs w:val="20"/>
              </w:rPr>
              <w:t>In fact</w:t>
            </w:r>
            <w:r>
              <w:rPr>
                <w:rFonts w:cs="Arial"/>
                <w:szCs w:val="20"/>
              </w:rPr>
              <w:t>,</w:t>
            </w:r>
            <w:r w:rsidRPr="00AE689D">
              <w:rPr>
                <w:rFonts w:cs="Arial"/>
                <w:szCs w:val="20"/>
              </w:rPr>
              <w:t xml:space="preserve"> its use could be highly misleading and will lead to a bias towards services that have high revenues largely as a result of having high costs of provision but not necessarily high benefits for either producers or consumers.</w:t>
            </w:r>
          </w:p>
          <w:p w:rsidR="00075549" w:rsidRPr="00AE689D" w:rsidRDefault="00075549" w:rsidP="00AE689D">
            <w:pPr>
              <w:pStyle w:val="BulletList1"/>
              <w:numPr>
                <w:ilvl w:val="0"/>
                <w:numId w:val="17"/>
              </w:numPr>
              <w:spacing w:line="276" w:lineRule="auto"/>
              <w:jc w:val="both"/>
              <w:rPr>
                <w:rFonts w:cs="Arial"/>
                <w:szCs w:val="20"/>
              </w:rPr>
            </w:pPr>
            <w:r w:rsidRPr="00AE689D">
              <w:rPr>
                <w:rFonts w:cs="Arial"/>
                <w:szCs w:val="20"/>
              </w:rPr>
              <w:t>GDP is an incomplete measure of socio-economic benefits, relative to economic surplus</w:t>
            </w:r>
          </w:p>
          <w:p w:rsidR="00075549" w:rsidRPr="00AE689D" w:rsidRDefault="00075549" w:rsidP="00AE689D">
            <w:pPr>
              <w:pStyle w:val="BulletList1"/>
              <w:numPr>
                <w:ilvl w:val="0"/>
                <w:numId w:val="17"/>
              </w:numPr>
              <w:spacing w:line="276" w:lineRule="auto"/>
              <w:jc w:val="both"/>
              <w:rPr>
                <w:rFonts w:cs="Arial"/>
                <w:szCs w:val="20"/>
              </w:rPr>
            </w:pPr>
            <w:r w:rsidRPr="00AE689D">
              <w:rPr>
                <w:rFonts w:cs="Arial"/>
                <w:szCs w:val="20"/>
              </w:rPr>
              <w:t xml:space="preserve">Economic surplus is </w:t>
            </w:r>
            <w:r w:rsidRPr="00AE689D">
              <w:t xml:space="preserve">the appropriate measure to use. Economic surplus </w:t>
            </w:r>
            <w:r w:rsidRPr="00AE689D">
              <w:rPr>
                <w:rFonts w:cs="Arial"/>
                <w:szCs w:val="20"/>
              </w:rPr>
              <w:t xml:space="preserve">is more complicated to calculate than revenues. But impact assessments undertaken for spectrum allocation decisions in </w:t>
            </w:r>
            <w:smartTag w:uri="urn:schemas-microsoft-com:office:smarttags" w:element="place">
              <w:r w:rsidRPr="00AE689D">
                <w:rPr>
                  <w:rFonts w:cs="Arial"/>
                  <w:szCs w:val="20"/>
                </w:rPr>
                <w:t>Europe</w:t>
              </w:r>
            </w:smartTag>
            <w:r w:rsidRPr="00AE689D">
              <w:rPr>
                <w:rFonts w:cs="Arial"/>
                <w:szCs w:val="20"/>
              </w:rPr>
              <w:t xml:space="preserve"> and elsewhere show that estimates can be produced that are no more or less contentious than estimates of future revenues</w:t>
            </w:r>
            <w:r w:rsidRPr="00AE689D">
              <w:rPr>
                <w:rStyle w:val="FootnoteReference"/>
                <w:rFonts w:cs="Arial"/>
                <w:szCs w:val="20"/>
              </w:rPr>
              <w:footnoteReference w:id="1"/>
            </w:r>
            <w:r w:rsidRPr="00AE689D">
              <w:rPr>
                <w:rFonts w:cs="Arial"/>
                <w:szCs w:val="20"/>
              </w:rPr>
              <w:t>. The socio-economic importance of the allocation decisions at stake justifies the relatively small additional effort involved in producing economic surplus estimates.</w:t>
            </w:r>
          </w:p>
          <w:p w:rsidR="00075549" w:rsidRPr="00AE689D" w:rsidRDefault="00075549" w:rsidP="00AE689D">
            <w:pPr>
              <w:spacing w:line="276" w:lineRule="auto"/>
              <w:jc w:val="both"/>
              <w:rPr>
                <w:rFonts w:ascii="Arial" w:hAnsi="Arial" w:cs="Arial"/>
                <w:sz w:val="20"/>
                <w:szCs w:val="20"/>
                <w:lang w:val="en-GB"/>
              </w:rPr>
            </w:pPr>
          </w:p>
          <w:p w:rsidR="00075549" w:rsidRPr="00AE689D" w:rsidRDefault="00075549" w:rsidP="00AE689D">
            <w:pPr>
              <w:spacing w:line="276" w:lineRule="auto"/>
              <w:jc w:val="both"/>
              <w:rPr>
                <w:rFonts w:ascii="Arial" w:hAnsi="Arial" w:cs="Arial"/>
                <w:sz w:val="20"/>
                <w:szCs w:val="20"/>
                <w:lang w:val="en-GB"/>
              </w:rPr>
            </w:pPr>
            <w:r w:rsidRPr="00AE689D">
              <w:rPr>
                <w:rFonts w:ascii="Arial" w:hAnsi="Arial" w:cs="Arial"/>
                <w:sz w:val="20"/>
                <w:szCs w:val="20"/>
                <w:lang w:val="en-GB"/>
              </w:rPr>
              <w:t>Moreover, whichever measure is used the costs and benefits should be discounted and summed to calculate their net present value (NPV)</w:t>
            </w:r>
            <w:r w:rsidRPr="00AE689D">
              <w:rPr>
                <w:rStyle w:val="FootnoteReference"/>
                <w:rFonts w:ascii="Arial" w:hAnsi="Arial" w:cs="Arial"/>
                <w:sz w:val="20"/>
                <w:szCs w:val="20"/>
                <w:lang w:val="en-GB"/>
              </w:rPr>
              <w:footnoteReference w:id="2"/>
            </w:r>
            <w:r w:rsidRPr="00AE689D">
              <w:rPr>
                <w:rFonts w:ascii="Arial" w:hAnsi="Arial" w:cs="Arial"/>
                <w:sz w:val="20"/>
                <w:szCs w:val="20"/>
                <w:lang w:val="en-GB"/>
              </w:rPr>
              <w:t xml:space="preserve">.  </w:t>
            </w:r>
          </w:p>
          <w:p w:rsidR="00075549" w:rsidRPr="00AE689D" w:rsidRDefault="00075549" w:rsidP="00AE689D">
            <w:pPr>
              <w:spacing w:line="276" w:lineRule="auto"/>
              <w:jc w:val="both"/>
              <w:rPr>
                <w:rFonts w:ascii="Arial" w:hAnsi="Arial" w:cs="Arial"/>
                <w:sz w:val="20"/>
                <w:szCs w:val="20"/>
                <w:lang w:val="en-GB"/>
              </w:rPr>
            </w:pPr>
          </w:p>
          <w:p w:rsidR="00075549" w:rsidRPr="00AE689D" w:rsidRDefault="00075549" w:rsidP="00AE689D">
            <w:pPr>
              <w:spacing w:line="276" w:lineRule="auto"/>
              <w:jc w:val="both"/>
              <w:rPr>
                <w:rFonts w:ascii="Arial" w:hAnsi="Arial" w:cs="Arial"/>
                <w:sz w:val="20"/>
                <w:szCs w:val="20"/>
                <w:lang w:val="en-GB"/>
              </w:rPr>
            </w:pPr>
          </w:p>
          <w:p w:rsidR="00075549" w:rsidRPr="00AE689D" w:rsidRDefault="00075549" w:rsidP="006B1711">
            <w:pPr>
              <w:spacing w:line="276" w:lineRule="auto"/>
              <w:jc w:val="both"/>
              <w:rPr>
                <w:rFonts w:ascii="Arial" w:hAnsi="Arial" w:cs="Arial"/>
                <w:sz w:val="20"/>
                <w:szCs w:val="20"/>
                <w:lang w:val="en-GB" w:eastAsia="de-DE"/>
              </w:rPr>
            </w:pPr>
          </w:p>
        </w:tc>
      </w:tr>
      <w:tr w:rsidR="00075549" w:rsidRPr="00F720BA" w:rsidTr="00EE3899">
        <w:tc>
          <w:tcPr>
            <w:tcW w:w="9600" w:type="dxa"/>
          </w:tcPr>
          <w:p w:rsidR="00075549" w:rsidRPr="00AE689D" w:rsidRDefault="00075549" w:rsidP="00EE3899">
            <w:pPr>
              <w:keepNext/>
              <w:outlineLvl w:val="2"/>
              <w:rPr>
                <w:rFonts w:ascii="Arial" w:hAnsi="Arial" w:cs="Arial"/>
                <w:b/>
                <w:szCs w:val="20"/>
                <w:lang w:val="en-GB" w:eastAsia="de-DE"/>
              </w:rPr>
            </w:pPr>
          </w:p>
          <w:p w:rsidR="00075549" w:rsidRPr="00AE689D" w:rsidRDefault="00075549" w:rsidP="00EE3899">
            <w:pPr>
              <w:keepNext/>
              <w:outlineLvl w:val="2"/>
              <w:rPr>
                <w:rFonts w:ascii="Arial" w:hAnsi="Arial" w:cs="Arial"/>
                <w:b/>
                <w:szCs w:val="20"/>
                <w:lang w:val="en-GB" w:eastAsia="de-DE"/>
              </w:rPr>
            </w:pPr>
            <w:r w:rsidRPr="00AE689D">
              <w:rPr>
                <w:rFonts w:ascii="Arial" w:hAnsi="Arial" w:cs="Arial"/>
                <w:b/>
                <w:szCs w:val="20"/>
                <w:lang w:val="en-GB" w:eastAsia="de-DE"/>
              </w:rPr>
              <w:t>Proposal</w:t>
            </w:r>
          </w:p>
          <w:p w:rsidR="00075549" w:rsidRPr="00AE689D" w:rsidRDefault="00075549" w:rsidP="00AE689D">
            <w:pPr>
              <w:spacing w:before="60" w:after="60" w:line="276" w:lineRule="auto"/>
              <w:rPr>
                <w:rFonts w:ascii="Arial" w:hAnsi="Arial" w:cs="Arial"/>
                <w:sz w:val="22"/>
                <w:szCs w:val="22"/>
                <w:lang w:val="en-GB"/>
              </w:rPr>
            </w:pPr>
          </w:p>
          <w:p w:rsidR="00075549" w:rsidRPr="00AE689D" w:rsidRDefault="00075549" w:rsidP="00AE689D">
            <w:pPr>
              <w:spacing w:before="60" w:after="60" w:line="276" w:lineRule="auto"/>
              <w:jc w:val="both"/>
              <w:rPr>
                <w:rFonts w:ascii="Arial" w:hAnsi="Arial" w:cs="Arial"/>
                <w:sz w:val="20"/>
                <w:szCs w:val="20"/>
                <w:lang w:val="en-GB"/>
              </w:rPr>
            </w:pPr>
            <w:r w:rsidRPr="00AE689D">
              <w:rPr>
                <w:rFonts w:ascii="Arial" w:hAnsi="Arial" w:cs="Arial"/>
                <w:sz w:val="20"/>
                <w:szCs w:val="20"/>
                <w:lang w:val="en-GB"/>
              </w:rPr>
              <w:t xml:space="preserve">It is proposed that FM PT50 uses ‘the economic surplus’ as measure for estimations of the socio-economic benefits of its  impact assessment of different uses of the spectrum 1452 – 1492 MHz.. </w:t>
            </w:r>
          </w:p>
          <w:p w:rsidR="00075549" w:rsidRPr="00AE689D" w:rsidRDefault="00075549" w:rsidP="00AE689D">
            <w:pPr>
              <w:pStyle w:val="BulletList1"/>
              <w:numPr>
                <w:ilvl w:val="0"/>
                <w:numId w:val="0"/>
              </w:numPr>
              <w:spacing w:line="276" w:lineRule="auto"/>
              <w:jc w:val="both"/>
              <w:rPr>
                <w:rFonts w:cs="Arial"/>
                <w:szCs w:val="20"/>
              </w:rPr>
            </w:pPr>
            <w:r w:rsidRPr="00AE689D">
              <w:rPr>
                <w:rFonts w:cs="Arial"/>
                <w:szCs w:val="20"/>
              </w:rPr>
              <w:t>Economic surplus is the standard measure used by policy makers and economists and is advocated in cost-benefit analysis textbooks</w:t>
            </w:r>
            <w:r w:rsidRPr="00AE689D">
              <w:rPr>
                <w:rStyle w:val="FootnoteReference"/>
                <w:rFonts w:cs="Arial"/>
                <w:szCs w:val="20"/>
              </w:rPr>
              <w:footnoteReference w:id="3"/>
            </w:r>
            <w:r w:rsidRPr="00AE689D">
              <w:rPr>
                <w:rFonts w:cs="Arial"/>
                <w:szCs w:val="20"/>
              </w:rPr>
              <w:t>.   It has been used for example in the analysis of options for release of the “digital dividend” undertaken and accepted earlier in estimations made for the European Commission.</w:t>
            </w:r>
            <w:r w:rsidRPr="00AE689D">
              <w:rPr>
                <w:rStyle w:val="FootnoteReference"/>
                <w:rFonts w:cs="Arial"/>
                <w:szCs w:val="20"/>
              </w:rPr>
              <w:footnoteReference w:id="4"/>
            </w:r>
            <w:r w:rsidRPr="00AE689D">
              <w:rPr>
                <w:rFonts w:cs="Arial"/>
                <w:szCs w:val="20"/>
              </w:rPr>
              <w:t xml:space="preserve"> </w:t>
            </w:r>
          </w:p>
          <w:p w:rsidR="00075549" w:rsidRPr="00AE689D" w:rsidRDefault="00075549" w:rsidP="00E12A21">
            <w:pPr>
              <w:spacing w:before="60" w:after="60" w:line="276" w:lineRule="auto"/>
              <w:jc w:val="both"/>
              <w:rPr>
                <w:sz w:val="20"/>
                <w:szCs w:val="20"/>
                <w:lang w:val="en-GB" w:eastAsia="de-DE"/>
              </w:rPr>
            </w:pPr>
          </w:p>
        </w:tc>
      </w:tr>
      <w:tr w:rsidR="00075549" w:rsidRPr="00F720BA" w:rsidTr="00EE3899">
        <w:tc>
          <w:tcPr>
            <w:tcW w:w="9600" w:type="dxa"/>
          </w:tcPr>
          <w:p w:rsidR="00075549" w:rsidRPr="00AE689D" w:rsidRDefault="00075549" w:rsidP="00AE689D">
            <w:pPr>
              <w:spacing w:line="276" w:lineRule="auto"/>
              <w:rPr>
                <w:rFonts w:ascii="Arial" w:hAnsi="Arial" w:cs="Arial"/>
                <w:sz w:val="20"/>
                <w:szCs w:val="20"/>
                <w:lang w:val="en-GB" w:eastAsia="de-DE"/>
              </w:rPr>
            </w:pPr>
          </w:p>
          <w:p w:rsidR="00075549" w:rsidRPr="00AE689D" w:rsidRDefault="00075549" w:rsidP="00AE689D">
            <w:pPr>
              <w:keepNext/>
              <w:spacing w:line="276" w:lineRule="auto"/>
              <w:outlineLvl w:val="2"/>
              <w:rPr>
                <w:rFonts w:ascii="Arial" w:hAnsi="Arial"/>
                <w:b/>
                <w:szCs w:val="20"/>
                <w:lang w:val="en-GB" w:eastAsia="de-DE"/>
              </w:rPr>
            </w:pPr>
            <w:r w:rsidRPr="00AE689D">
              <w:rPr>
                <w:rFonts w:ascii="Arial" w:hAnsi="Arial"/>
                <w:b/>
                <w:szCs w:val="20"/>
                <w:lang w:val="en-GB" w:eastAsia="de-DE"/>
              </w:rPr>
              <w:t>Background</w:t>
            </w:r>
          </w:p>
          <w:p w:rsidR="00075549" w:rsidRPr="00AE689D" w:rsidRDefault="00075549" w:rsidP="00AE689D">
            <w:pPr>
              <w:keepNext/>
              <w:spacing w:line="276" w:lineRule="auto"/>
              <w:outlineLvl w:val="2"/>
              <w:rPr>
                <w:rFonts w:ascii="Arial" w:hAnsi="Arial"/>
                <w:b/>
                <w:szCs w:val="20"/>
                <w:lang w:val="en-GB" w:eastAsia="de-DE"/>
              </w:rPr>
            </w:pPr>
          </w:p>
          <w:p w:rsidR="00075549" w:rsidRPr="00AE689D" w:rsidRDefault="00075549" w:rsidP="00AE689D">
            <w:pPr>
              <w:spacing w:before="60" w:after="60" w:line="276" w:lineRule="auto"/>
              <w:ind w:left="-8" w:firstLine="8"/>
              <w:jc w:val="both"/>
              <w:rPr>
                <w:rFonts w:ascii="Arial" w:hAnsi="Arial" w:cs="Arial"/>
                <w:iCs/>
                <w:sz w:val="20"/>
                <w:szCs w:val="20"/>
                <w:lang w:val="en-GB"/>
              </w:rPr>
            </w:pPr>
            <w:r w:rsidRPr="00AE689D">
              <w:rPr>
                <w:rFonts w:ascii="Arial" w:hAnsi="Arial" w:cs="Arial"/>
                <w:sz w:val="20"/>
                <w:szCs w:val="20"/>
                <w:lang w:val="en-GB"/>
              </w:rPr>
              <w:t>FM PT 50 defined a set of criteria to assess candidate applications and determine the best future use  of the 1452-1492 MHz band in CEPT. One of the agreed criteria of the impact assessment is the “</w:t>
            </w:r>
            <w:r w:rsidRPr="00AE689D">
              <w:rPr>
                <w:rFonts w:ascii="Arial" w:hAnsi="Arial" w:cs="Arial"/>
                <w:b/>
                <w:sz w:val="20"/>
                <w:szCs w:val="20"/>
                <w:lang w:val="en-GB"/>
              </w:rPr>
              <w:t>Extent (maximisation) of social and economic benefits”</w:t>
            </w:r>
            <w:r w:rsidRPr="00AE689D">
              <w:rPr>
                <w:rFonts w:ascii="Arial" w:hAnsi="Arial" w:cs="Arial"/>
                <w:sz w:val="20"/>
                <w:szCs w:val="20"/>
                <w:lang w:val="en-GB"/>
              </w:rPr>
              <w:t xml:space="preserve"> whereby the expected social (including public policy objectives) and economic benefits and costs of allocating the 1452-1492 MHz band to different uses should be evaluated and weighed against each other. As per WG FM PT 50 agreed criteria descrip</w:t>
            </w:r>
            <w:r>
              <w:rPr>
                <w:rFonts w:ascii="Arial" w:hAnsi="Arial" w:cs="Arial"/>
                <w:sz w:val="20"/>
                <w:szCs w:val="20"/>
                <w:lang w:val="en-GB"/>
              </w:rPr>
              <w:t>tion, this should be based on ‘</w:t>
            </w:r>
            <w:r w:rsidRPr="00AE689D">
              <w:rPr>
                <w:rFonts w:ascii="Arial" w:hAnsi="Arial" w:cs="Arial"/>
                <w:sz w:val="20"/>
                <w:szCs w:val="20"/>
                <w:lang w:val="en-GB"/>
              </w:rPr>
              <w:t xml:space="preserve">… quantitative data where relevant. Where quantitative data is not available a qualitative analysis of expected benefits and costs can be provided ‘.  To assess benefits, the issue of which common and agreed measure or indicator of benefits should be used in the impact assessment to be undertaken by WG FM PT50 has to be sorted out.  Questions were raised in FM PT50 whether this measure should be market </w:t>
            </w:r>
            <w:r w:rsidRPr="00AE689D">
              <w:rPr>
                <w:rFonts w:ascii="Arial" w:hAnsi="Arial" w:cs="Arial"/>
                <w:iCs/>
                <w:sz w:val="20"/>
                <w:szCs w:val="20"/>
                <w:lang w:val="en-GB"/>
              </w:rPr>
              <w:t>revenues, economic surplus or another indicator (e.g. GDP).</w:t>
            </w:r>
          </w:p>
          <w:p w:rsidR="00075549" w:rsidRPr="00AE689D" w:rsidRDefault="00075549" w:rsidP="00AE689D">
            <w:pPr>
              <w:spacing w:before="60" w:after="60" w:line="276" w:lineRule="auto"/>
              <w:jc w:val="both"/>
              <w:rPr>
                <w:rFonts w:ascii="Arial" w:hAnsi="Arial" w:cs="Arial"/>
                <w:iCs/>
                <w:sz w:val="20"/>
                <w:szCs w:val="20"/>
                <w:lang w:val="en-GB"/>
              </w:rPr>
            </w:pPr>
          </w:p>
          <w:p w:rsidR="00075549" w:rsidRPr="00AE689D" w:rsidRDefault="00075549" w:rsidP="00AE689D">
            <w:pPr>
              <w:spacing w:before="60" w:after="60" w:line="276" w:lineRule="auto"/>
              <w:jc w:val="both"/>
              <w:rPr>
                <w:rFonts w:ascii="Arial" w:hAnsi="Arial" w:cs="Arial"/>
                <w:sz w:val="20"/>
                <w:szCs w:val="20"/>
                <w:lang w:val="en-GB"/>
              </w:rPr>
            </w:pPr>
            <w:r w:rsidRPr="00AE689D">
              <w:rPr>
                <w:rFonts w:ascii="Arial" w:hAnsi="Arial" w:cs="Arial"/>
                <w:sz w:val="20"/>
                <w:szCs w:val="20"/>
                <w:lang w:val="en-GB"/>
              </w:rPr>
              <w:t xml:space="preserve">Below we define economic surplus and discuss its relationship to revenues. We also discuss issues with using GDP as this measure is sometimes used in impact assessments. </w:t>
            </w:r>
          </w:p>
          <w:p w:rsidR="00075549" w:rsidRPr="00AE689D" w:rsidRDefault="00075549" w:rsidP="00AE689D">
            <w:pPr>
              <w:pStyle w:val="BulletList1"/>
              <w:numPr>
                <w:ilvl w:val="0"/>
                <w:numId w:val="0"/>
              </w:numPr>
              <w:spacing w:line="276" w:lineRule="auto"/>
              <w:jc w:val="both"/>
            </w:pPr>
            <w:r w:rsidRPr="00AE689D">
              <w:t>In summary we find that:</w:t>
            </w:r>
          </w:p>
          <w:p w:rsidR="00075549" w:rsidRPr="00AE689D" w:rsidRDefault="00075549" w:rsidP="00AE689D">
            <w:pPr>
              <w:pStyle w:val="BulletList1"/>
              <w:numPr>
                <w:ilvl w:val="0"/>
                <w:numId w:val="17"/>
              </w:numPr>
              <w:spacing w:line="276" w:lineRule="auto"/>
              <w:jc w:val="both"/>
            </w:pPr>
            <w:r w:rsidRPr="00AE689D">
              <w:t>Revenues are not an appropriate measure of the socio-economic benefits of different uses of spectrum.  In fact its use could be highly misleading and will lead to a bias towards services that have high revenues largely as a result of having high costs of provision but not necessarily high benefits for either producers or consumers.</w:t>
            </w:r>
          </w:p>
          <w:p w:rsidR="00075549" w:rsidRPr="00AE689D" w:rsidRDefault="00075549" w:rsidP="00AE689D">
            <w:pPr>
              <w:pStyle w:val="BulletList1"/>
              <w:numPr>
                <w:ilvl w:val="0"/>
                <w:numId w:val="17"/>
              </w:numPr>
              <w:spacing w:line="276" w:lineRule="auto"/>
              <w:jc w:val="both"/>
            </w:pPr>
            <w:r w:rsidRPr="00AE689D">
              <w:t xml:space="preserve">GDP is an incomplete measure of socio-economic benefits, relative to economic surplus.  For example, a policy that removes statutory rights to holidays may increase GDP but make all workers feel worse off. GDP is a more accurate measure of the economic performance of a country or region than revenues, because unlike revenues it is net of payments to the rest of the world (i.e. imports) whose welfare is not typically counted in an EU impact assessment). </w:t>
            </w:r>
          </w:p>
          <w:p w:rsidR="00075549" w:rsidRPr="00AE689D" w:rsidRDefault="00075549" w:rsidP="00AE689D">
            <w:pPr>
              <w:pStyle w:val="BulletList1"/>
              <w:numPr>
                <w:ilvl w:val="0"/>
                <w:numId w:val="17"/>
              </w:numPr>
              <w:spacing w:line="276" w:lineRule="auto"/>
              <w:jc w:val="both"/>
            </w:pPr>
            <w:r w:rsidRPr="00AE689D">
              <w:t>Economic surplus is the appropriate measure to use. Economic surplus is more complicated to calculate than revenues but impact assessments undertaken for spectrum allocation decisions in Europe and elsewhere show that estimates can be produced that are no more or less contentious than estimates of future revenues</w:t>
            </w:r>
            <w:r w:rsidRPr="00AE689D">
              <w:rPr>
                <w:rStyle w:val="FootnoteReference"/>
              </w:rPr>
              <w:footnoteReference w:id="5"/>
            </w:r>
            <w:r w:rsidRPr="00AE689D">
              <w:t>. The socio-economic importance of the allocation decisions at stake justifies the relatively small additional effort involved in producing economic surplus estimates.</w:t>
            </w:r>
          </w:p>
          <w:p w:rsidR="00075549" w:rsidRPr="00AE689D" w:rsidRDefault="00075549" w:rsidP="00AE689D">
            <w:pPr>
              <w:pStyle w:val="Heading1"/>
              <w:keepLines/>
              <w:tabs>
                <w:tab w:val="num" w:pos="680"/>
              </w:tabs>
              <w:spacing w:before="480" w:after="240" w:line="276" w:lineRule="auto"/>
              <w:rPr>
                <w:rFonts w:ascii="Arial" w:hAnsi="Arial" w:cs="Arial"/>
                <w:sz w:val="28"/>
                <w:lang w:val="en-GB"/>
              </w:rPr>
            </w:pPr>
            <w:r w:rsidRPr="00AE689D">
              <w:rPr>
                <w:rFonts w:ascii="Arial" w:hAnsi="Arial" w:cs="Arial"/>
                <w:sz w:val="28"/>
                <w:lang w:val="en-GB"/>
              </w:rPr>
              <w:t>What is economic surplus?</w:t>
            </w:r>
          </w:p>
          <w:p w:rsidR="00075549" w:rsidRPr="00AE689D" w:rsidRDefault="00075549" w:rsidP="00AE689D">
            <w:pPr>
              <w:pStyle w:val="BulletList1"/>
              <w:numPr>
                <w:ilvl w:val="0"/>
                <w:numId w:val="0"/>
              </w:numPr>
              <w:spacing w:line="276" w:lineRule="auto"/>
              <w:jc w:val="both"/>
              <w:rPr>
                <w:rFonts w:cs="Arial"/>
                <w:szCs w:val="20"/>
              </w:rPr>
            </w:pPr>
            <w:r w:rsidRPr="00AE689D">
              <w:rPr>
                <w:rFonts w:cs="Arial"/>
                <w:szCs w:val="20"/>
              </w:rPr>
              <w:t>Economic surplus is the sum of consumer and producer surplus, where</w:t>
            </w:r>
          </w:p>
          <w:p w:rsidR="00075549" w:rsidRPr="00AE689D" w:rsidRDefault="00075549" w:rsidP="00AE689D">
            <w:pPr>
              <w:pStyle w:val="BulletList1"/>
              <w:numPr>
                <w:ilvl w:val="0"/>
                <w:numId w:val="17"/>
              </w:numPr>
              <w:spacing w:line="276" w:lineRule="auto"/>
              <w:jc w:val="both"/>
              <w:rPr>
                <w:rFonts w:cs="Arial"/>
                <w:szCs w:val="20"/>
              </w:rPr>
            </w:pPr>
            <w:r w:rsidRPr="00AE689D">
              <w:rPr>
                <w:rFonts w:cs="Arial"/>
                <w:szCs w:val="20"/>
              </w:rPr>
              <w:t xml:space="preserve">Consumer surplus equals the direct benefit to individuals from their own consumption of a good or service less the price paid for the good or service.  This is the difference between what users are willing to pay and the price they pay for a service.  It provides a measure of the net enjoyment or benefits individuals receive from consuming a good or service.  </w:t>
            </w:r>
          </w:p>
          <w:p w:rsidR="00075549" w:rsidRPr="00AE689D" w:rsidRDefault="00075549" w:rsidP="00AE689D">
            <w:pPr>
              <w:pStyle w:val="BulletList1"/>
              <w:numPr>
                <w:ilvl w:val="0"/>
                <w:numId w:val="17"/>
              </w:numPr>
              <w:spacing w:line="276" w:lineRule="auto"/>
              <w:jc w:val="both"/>
              <w:rPr>
                <w:rFonts w:cs="Arial"/>
                <w:szCs w:val="20"/>
              </w:rPr>
            </w:pPr>
            <w:r w:rsidRPr="00AE689D">
              <w:rPr>
                <w:rFonts w:cs="Arial"/>
                <w:szCs w:val="20"/>
              </w:rPr>
              <w:t xml:space="preserve">Producer surplus is the surplus to businesses from producing goods and services.  It is revenues less all of the costs of producing goods and services, including the cost of financing investments.  It can be thought of as the profits earned in excess of a normal rate of return for the business.  </w:t>
            </w:r>
          </w:p>
          <w:p w:rsidR="00075549" w:rsidRPr="00AE689D" w:rsidRDefault="00075549" w:rsidP="00AE689D">
            <w:pPr>
              <w:pStyle w:val="BodyText"/>
              <w:spacing w:line="276" w:lineRule="auto"/>
              <w:jc w:val="both"/>
              <w:rPr>
                <w:rFonts w:cs="Arial"/>
                <w:sz w:val="20"/>
                <w:szCs w:val="20"/>
              </w:rPr>
            </w:pPr>
            <w:r w:rsidRPr="00AE689D">
              <w:rPr>
                <w:rFonts w:cs="Arial"/>
                <w:sz w:val="20"/>
                <w:szCs w:val="20"/>
              </w:rPr>
              <w:t xml:space="preserve">To illustrate, consider a simple market for a good or service shown in </w:t>
            </w:r>
            <w:fldSimple w:instr=" REF _Ref308506864  \* MERGEFORMAT ">
              <w:r w:rsidRPr="00AE689D">
                <w:rPr>
                  <w:rFonts w:cs="Arial"/>
                  <w:sz w:val="20"/>
                  <w:szCs w:val="20"/>
                </w:rPr>
                <w:t xml:space="preserve">Figure </w:t>
              </w:r>
              <w:r w:rsidRPr="00AE689D">
                <w:rPr>
                  <w:rFonts w:cs="Arial"/>
                  <w:noProof/>
                  <w:sz w:val="20"/>
                  <w:szCs w:val="20"/>
                </w:rPr>
                <w:t>1</w:t>
              </w:r>
            </w:fldSimple>
            <w:r w:rsidRPr="00AE689D">
              <w:rPr>
                <w:rFonts w:cs="Arial"/>
                <w:sz w:val="20"/>
                <w:szCs w:val="20"/>
              </w:rPr>
              <w:t>, where the supply curve is given by S and the demand curve by D.  The market equilibrium is at the point where the two curves intersect i.e. supply equals demand at quantity Q* and price P*.  Here:</w:t>
            </w:r>
          </w:p>
          <w:p w:rsidR="00075549" w:rsidRPr="00AE689D" w:rsidRDefault="00075549" w:rsidP="00AE689D">
            <w:pPr>
              <w:pStyle w:val="BulletList1"/>
              <w:numPr>
                <w:ilvl w:val="0"/>
                <w:numId w:val="17"/>
              </w:numPr>
              <w:spacing w:line="276" w:lineRule="auto"/>
              <w:jc w:val="both"/>
              <w:rPr>
                <w:rFonts w:cs="Arial"/>
                <w:szCs w:val="20"/>
              </w:rPr>
            </w:pPr>
            <w:r w:rsidRPr="00AE689D">
              <w:rPr>
                <w:rFonts w:cs="Arial"/>
                <w:szCs w:val="20"/>
              </w:rPr>
              <w:t>Consumer surplus = the blue area marked CS = the area FEP*</w:t>
            </w:r>
          </w:p>
          <w:p w:rsidR="00075549" w:rsidRPr="00AE689D" w:rsidRDefault="00075549" w:rsidP="00AE689D">
            <w:pPr>
              <w:pStyle w:val="BulletList1"/>
              <w:numPr>
                <w:ilvl w:val="0"/>
                <w:numId w:val="17"/>
              </w:numPr>
              <w:spacing w:line="276" w:lineRule="auto"/>
              <w:jc w:val="both"/>
              <w:rPr>
                <w:rFonts w:cs="Arial"/>
                <w:szCs w:val="20"/>
              </w:rPr>
            </w:pPr>
            <w:r w:rsidRPr="00AE689D">
              <w:rPr>
                <w:rFonts w:cs="Arial"/>
                <w:szCs w:val="20"/>
              </w:rPr>
              <w:t>Producer surplus = the grey area marked PS = the area EGP*</w:t>
            </w:r>
          </w:p>
          <w:p w:rsidR="00075549" w:rsidRPr="00AE689D" w:rsidRDefault="00075549" w:rsidP="00AE689D">
            <w:pPr>
              <w:pStyle w:val="BulletList1"/>
              <w:numPr>
                <w:ilvl w:val="0"/>
                <w:numId w:val="0"/>
              </w:numPr>
              <w:spacing w:line="276" w:lineRule="auto"/>
              <w:jc w:val="both"/>
              <w:rPr>
                <w:rFonts w:cs="Arial"/>
                <w:szCs w:val="20"/>
              </w:rPr>
            </w:pPr>
            <w:r w:rsidRPr="00AE689D">
              <w:rPr>
                <w:rFonts w:cs="Arial"/>
                <w:szCs w:val="20"/>
              </w:rPr>
              <w:t>By contrast, producer</w:t>
            </w:r>
            <w:r w:rsidRPr="00AE689D">
              <w:t xml:space="preserve"> </w:t>
            </w:r>
            <w:r w:rsidRPr="00AE689D">
              <w:rPr>
                <w:rFonts w:cs="Arial"/>
                <w:szCs w:val="20"/>
              </w:rPr>
              <w:t>Revenues = P* x Q* = the area EP*OQ*.</w:t>
            </w:r>
          </w:p>
          <w:p w:rsidR="00075549" w:rsidRPr="00AE689D" w:rsidRDefault="00075549" w:rsidP="00AE689D">
            <w:pPr>
              <w:spacing w:line="276" w:lineRule="auto"/>
              <w:jc w:val="center"/>
              <w:rPr>
                <w:rFonts w:ascii="Arial" w:hAnsi="Arial" w:cs="Arial"/>
                <w:lang w:val="en-GB"/>
              </w:rPr>
            </w:pPr>
            <w:r w:rsidRPr="007C0DD2">
              <w:rPr>
                <w:rFonts w:ascii="Arial" w:hAnsi="Arial" w:cs="Arial"/>
                <w:noProof/>
              </w:rPr>
              <w:pict>
                <v:shape id="Picture 4" o:spid="_x0000_i1026" type="#_x0000_t75" style="width:199.5pt;height:205.5pt;visibility:visible">
                  <v:imagedata r:id="rId8" o:title=""/>
                </v:shape>
              </w:pict>
            </w:r>
          </w:p>
          <w:p w:rsidR="00075549" w:rsidRPr="00AE689D" w:rsidRDefault="00075549" w:rsidP="00AE689D">
            <w:pPr>
              <w:pStyle w:val="FigureCaption"/>
              <w:spacing w:line="276" w:lineRule="auto"/>
              <w:jc w:val="center"/>
              <w:rPr>
                <w:rFonts w:cs="Arial"/>
                <w:color w:val="auto"/>
              </w:rPr>
            </w:pPr>
            <w:bookmarkStart w:id="1" w:name="_Ref308506864"/>
            <w:bookmarkStart w:id="2" w:name="_Ref259011301"/>
            <w:r w:rsidRPr="00AE689D">
              <w:rPr>
                <w:rFonts w:cs="Arial"/>
                <w:color w:val="auto"/>
              </w:rPr>
              <w:t xml:space="preserve">Figure </w:t>
            </w:r>
            <w:r w:rsidRPr="00AE689D">
              <w:rPr>
                <w:rFonts w:cs="Arial"/>
                <w:color w:val="auto"/>
              </w:rPr>
              <w:fldChar w:fldCharType="begin"/>
            </w:r>
            <w:r w:rsidRPr="00AE689D">
              <w:rPr>
                <w:rFonts w:cs="Arial"/>
                <w:color w:val="auto"/>
              </w:rPr>
              <w:instrText xml:space="preserve"> SEQ Figure \* ARABIC</w:instrText>
            </w:r>
            <w:r w:rsidRPr="00AE689D">
              <w:rPr>
                <w:rFonts w:cs="Arial"/>
                <w:color w:val="auto"/>
              </w:rPr>
              <w:fldChar w:fldCharType="separate"/>
            </w:r>
            <w:r w:rsidRPr="00AE689D">
              <w:rPr>
                <w:rFonts w:cs="Arial"/>
                <w:noProof/>
                <w:color w:val="auto"/>
              </w:rPr>
              <w:t>1</w:t>
            </w:r>
            <w:r w:rsidRPr="00AE689D">
              <w:rPr>
                <w:rFonts w:cs="Arial"/>
                <w:color w:val="auto"/>
              </w:rPr>
              <w:fldChar w:fldCharType="end"/>
            </w:r>
            <w:bookmarkEnd w:id="1"/>
            <w:r w:rsidRPr="00AE689D">
              <w:rPr>
                <w:rFonts w:cs="Arial"/>
                <w:color w:val="auto"/>
              </w:rPr>
              <w:t xml:space="preserve">: </w:t>
            </w:r>
            <w:bookmarkEnd w:id="2"/>
            <w:r w:rsidRPr="00AE689D">
              <w:rPr>
                <w:rFonts w:cs="Arial"/>
                <w:color w:val="auto"/>
              </w:rPr>
              <w:t>Consumer and producer surplus</w:t>
            </w:r>
          </w:p>
          <w:p w:rsidR="00075549" w:rsidRPr="00AE689D" w:rsidRDefault="00075549" w:rsidP="00AE689D">
            <w:pPr>
              <w:pStyle w:val="Heading1"/>
              <w:keepLines/>
              <w:tabs>
                <w:tab w:val="num" w:pos="680"/>
              </w:tabs>
              <w:spacing w:before="480" w:after="240" w:line="276" w:lineRule="auto"/>
              <w:ind w:left="680" w:hanging="680"/>
              <w:rPr>
                <w:rFonts w:ascii="Arial" w:hAnsi="Arial" w:cs="Arial"/>
                <w:sz w:val="28"/>
                <w:szCs w:val="24"/>
                <w:lang w:val="en-GB"/>
              </w:rPr>
            </w:pPr>
            <w:r w:rsidRPr="00AE689D">
              <w:rPr>
                <w:rFonts w:ascii="Arial" w:hAnsi="Arial" w:cs="Arial"/>
                <w:sz w:val="28"/>
                <w:szCs w:val="24"/>
                <w:lang w:val="en-GB"/>
              </w:rPr>
              <w:t>Revenues versus economic surplus</w:t>
            </w:r>
          </w:p>
          <w:p w:rsidR="00075549" w:rsidRPr="00AE689D" w:rsidRDefault="00075549" w:rsidP="00AE689D">
            <w:pPr>
              <w:pStyle w:val="BodyText"/>
              <w:spacing w:line="276" w:lineRule="auto"/>
              <w:jc w:val="both"/>
              <w:rPr>
                <w:rFonts w:cs="Arial"/>
                <w:sz w:val="20"/>
                <w:szCs w:val="20"/>
              </w:rPr>
            </w:pPr>
            <w:r w:rsidRPr="00AE689D">
              <w:rPr>
                <w:rFonts w:cs="Arial"/>
                <w:sz w:val="20"/>
                <w:szCs w:val="20"/>
              </w:rPr>
              <w:t xml:space="preserve">As can be seen from </w:t>
            </w:r>
            <w:fldSimple w:instr=" REF _Ref308506864  \* MERGEFORMAT ">
              <w:r w:rsidRPr="00AE689D">
                <w:rPr>
                  <w:rFonts w:cs="Arial"/>
                  <w:sz w:val="20"/>
                  <w:szCs w:val="20"/>
                </w:rPr>
                <w:t xml:space="preserve">Figure </w:t>
              </w:r>
              <w:r w:rsidRPr="00AE689D">
                <w:rPr>
                  <w:rFonts w:cs="Arial"/>
                  <w:noProof/>
                  <w:sz w:val="20"/>
                  <w:szCs w:val="20"/>
                </w:rPr>
                <w:t>1</w:t>
              </w:r>
            </w:fldSimple>
            <w:r w:rsidRPr="00AE689D">
              <w:rPr>
                <w:rFonts w:cs="Arial"/>
                <w:sz w:val="20"/>
                <w:szCs w:val="20"/>
              </w:rPr>
              <w:t xml:space="preserve"> economic surplus is not the same thing as revenues.  However revenues are much easier to measure than economic surplus - they can be observed without knowing the shape of supply and demand curves - and they are often forecast. So we consider whether revenues can be taken as a proxy for surplus.  Unfortunately the answer is no. The reasoning is as follows.</w:t>
            </w:r>
          </w:p>
          <w:p w:rsidR="00075549" w:rsidRPr="00AE689D" w:rsidRDefault="00075549" w:rsidP="00AE689D">
            <w:pPr>
              <w:pStyle w:val="BodyText"/>
              <w:spacing w:line="276" w:lineRule="auto"/>
              <w:jc w:val="both"/>
              <w:rPr>
                <w:rFonts w:cs="Arial"/>
                <w:sz w:val="20"/>
                <w:szCs w:val="20"/>
              </w:rPr>
            </w:pPr>
            <w:r w:rsidRPr="00AE689D">
              <w:rPr>
                <w:rFonts w:cs="Arial"/>
                <w:sz w:val="20"/>
                <w:szCs w:val="20"/>
              </w:rPr>
              <w:t xml:space="preserve">Firstly producer surplus typically depends on the competitiveness of the market and related to this market regulation and the extent and nature of innovation.  For example, markets that are very competitive (and have low entry barriers) and where innovations can be easily copied tend to have low levels of surplus. Market revenues by contrast depend on the level of costs for making the good/service and consumer demand. Hence there is no real reason to expect revenues and producer surplus to be related. </w:t>
            </w:r>
          </w:p>
          <w:p w:rsidR="00075549" w:rsidRPr="00AE689D" w:rsidRDefault="00075549" w:rsidP="00AE689D">
            <w:pPr>
              <w:pStyle w:val="BodyText"/>
              <w:spacing w:line="276" w:lineRule="auto"/>
              <w:jc w:val="both"/>
              <w:rPr>
                <w:rFonts w:cs="Arial"/>
                <w:sz w:val="20"/>
                <w:szCs w:val="20"/>
              </w:rPr>
            </w:pPr>
            <w:r w:rsidRPr="00AE689D">
              <w:rPr>
                <w:rFonts w:cs="Arial"/>
                <w:sz w:val="20"/>
                <w:szCs w:val="20"/>
              </w:rPr>
              <w:t xml:space="preserve">Revenues and consumer surplus (CS) for a specific good or service are mathematically related under certain restrictive assumptions as follows: </w:t>
            </w:r>
          </w:p>
          <w:p w:rsidR="00075549" w:rsidRPr="00AE689D" w:rsidRDefault="00075549" w:rsidP="00AE689D">
            <w:pPr>
              <w:spacing w:line="276" w:lineRule="auto"/>
              <w:jc w:val="both"/>
              <w:rPr>
                <w:rFonts w:ascii="Arial" w:hAnsi="Arial" w:cs="Arial"/>
                <w:sz w:val="20"/>
                <w:szCs w:val="20"/>
                <w:lang w:val="en-GB"/>
              </w:rPr>
            </w:pPr>
            <w:r w:rsidRPr="007C0DD2">
              <w:pict>
                <v:shape id="_x0000_i1027" type="#_x0000_t75" style="width:69.7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3734E&quot;/&gt;&lt;wsp:rsid wsp:val=&quot;000031DE&quot;/&gt;&lt;wsp:rsid wsp:val=&quot;000071D1&quot;/&gt;&lt;wsp:rsid wsp:val=&quot;00011F35&quot;/&gt;&lt;wsp:rsid wsp:val=&quot;00040D49&quot;/&gt;&lt;wsp:rsid wsp:val=&quot;00041FAD&quot;/&gt;&lt;wsp:rsid wsp:val=&quot;00054FF3&quot;/&gt;&lt;wsp:rsid wsp:val=&quot;00083D11&quot;/&gt;&lt;wsp:rsid wsp:val=&quot;00094585&quot;/&gt;&lt;wsp:rsid wsp:val=&quot;000A1BB2&quot;/&gt;&lt;wsp:rsid wsp:val=&quot;000A3DD0&quot;/&gt;&lt;wsp:rsid wsp:val=&quot;000B18DF&quot;/&gt;&lt;wsp:rsid wsp:val=&quot;000B2084&quot;/&gt;&lt;wsp:rsid wsp:val=&quot;000C27CD&quot;/&gt;&lt;wsp:rsid wsp:val=&quot;000E340F&quot;/&gt;&lt;wsp:rsid wsp:val=&quot;000F11CB&quot;/&gt;&lt;wsp:rsid wsp:val=&quot;000F26BC&quot;/&gt;&lt;wsp:rsid wsp:val=&quot;00100397&quot;/&gt;&lt;wsp:rsid wsp:val=&quot;001167AA&quot;/&gt;&lt;wsp:rsid wsp:val=&quot;00124174&quot;/&gt;&lt;wsp:rsid wsp:val=&quot;001437D9&quot;/&gt;&lt;wsp:rsid wsp:val=&quot;001475B1&quot;/&gt;&lt;wsp:rsid wsp:val=&quot;00153BF8&quot;/&gt;&lt;wsp:rsid wsp:val=&quot;00155949&quot;/&gt;&lt;wsp:rsid wsp:val=&quot;001565BD&quot;/&gt;&lt;wsp:rsid wsp:val=&quot;00161304&quot;/&gt;&lt;wsp:rsid wsp:val=&quot;00164BE1&quot;/&gt;&lt;wsp:rsid wsp:val=&quot;001737E8&quot;/&gt;&lt;wsp:rsid wsp:val=&quot;001A657D&quot;/&gt;&lt;wsp:rsid wsp:val=&quot;001C604F&quot;/&gt;&lt;wsp:rsid wsp:val=&quot;001E618D&quot;/&gt;&lt;wsp:rsid wsp:val=&quot;001F3A55&quot;/&gt;&lt;wsp:rsid wsp:val=&quot;001F3CB4&quot;/&gt;&lt;wsp:rsid wsp:val=&quot;001F46BF&quot;/&gt;&lt;wsp:rsid wsp:val=&quot;0020378E&quot;/&gt;&lt;wsp:rsid wsp:val=&quot;00214472&quot;/&gt;&lt;wsp:rsid wsp:val=&quot;00224A99&quot;/&gt;&lt;wsp:rsid wsp:val=&quot;00224AB5&quot;/&gt;&lt;wsp:rsid wsp:val=&quot;00240165&quot;/&gt;&lt;wsp:rsid wsp:val=&quot;00247BE3&quot;/&gt;&lt;wsp:rsid wsp:val=&quot;00263510&quot;/&gt;&lt;wsp:rsid wsp:val=&quot;0026718B&quot;/&gt;&lt;wsp:rsid wsp:val=&quot;00286AF0&quot;/&gt;&lt;wsp:rsid wsp:val=&quot;002906A9&quot;/&gt;&lt;wsp:rsid wsp:val=&quot;00295F8C&quot;/&gt;&lt;wsp:rsid wsp:val=&quot;002A15F2&quot;/&gt;&lt;wsp:rsid wsp:val=&quot;002A47C6&quot;/&gt;&lt;wsp:rsid wsp:val=&quot;002B5E6D&quot;/&gt;&lt;wsp:rsid wsp:val=&quot;002B7C27&quot;/&gt;&lt;wsp:rsid wsp:val=&quot;002C4F52&quot;/&gt;&lt;wsp:rsid wsp:val=&quot;002F3C06&quot;/&gt;&lt;wsp:rsid wsp:val=&quot;002F5FFC&quot;/&gt;&lt;wsp:rsid wsp:val=&quot;0030009E&quot;/&gt;&lt;wsp:rsid wsp:val=&quot;00301217&quot;/&gt;&lt;wsp:rsid wsp:val=&quot;003107DC&quot;/&gt;&lt;wsp:rsid wsp:val=&quot;00312175&quot;/&gt;&lt;wsp:rsid wsp:val=&quot;00333D56&quot;/&gt;&lt;wsp:rsid wsp:val=&quot;00336D21&quot;/&gt;&lt;wsp:rsid wsp:val=&quot;0034457C&quot;/&gt;&lt;wsp:rsid wsp:val=&quot;003452C0&quot;/&gt;&lt;wsp:rsid wsp:val=&quot;00354D7E&quot;/&gt;&lt;wsp:rsid wsp:val=&quot;00354E43&quot;/&gt;&lt;wsp:rsid wsp:val=&quot;00355686&quot;/&gt;&lt;wsp:rsid wsp:val=&quot;00363BB4&quot;/&gt;&lt;wsp:rsid wsp:val=&quot;003646BB&quot;/&gt;&lt;wsp:rsid wsp:val=&quot;00367429&quot;/&gt;&lt;wsp:rsid wsp:val=&quot;00371244&quot;/&gt;&lt;wsp:rsid wsp:val=&quot;003748A9&quot;/&gt;&lt;wsp:rsid wsp:val=&quot;0037628F&quot;/&gt;&lt;wsp:rsid wsp:val=&quot;00384D14&quot;/&gt;&lt;wsp:rsid wsp:val=&quot;0039594D&quot;/&gt;&lt;wsp:rsid wsp:val=&quot;00395B54&quot;/&gt;&lt;wsp:rsid wsp:val=&quot;003A4920&quot;/&gt;&lt;wsp:rsid wsp:val=&quot;003A4E79&quot;/&gt;&lt;wsp:rsid wsp:val=&quot;003C0279&quot;/&gt;&lt;wsp:rsid wsp:val=&quot;003C4AEA&quot;/&gt;&lt;wsp:rsid wsp:val=&quot;003F099C&quot;/&gt;&lt;wsp:rsid wsp:val=&quot;003F1641&quot;/&gt;&lt;wsp:rsid wsp:val=&quot;00407BC1&quot;/&gt;&lt;wsp:rsid wsp:val=&quot;0041749A&quot;/&gt;&lt;wsp:rsid wsp:val=&quot;00417A7D&quot;/&gt;&lt;wsp:rsid wsp:val=&quot;00452EFB&quot;/&gt;&lt;wsp:rsid wsp:val=&quot;00483358&quot;/&gt;&lt;wsp:rsid wsp:val=&quot;004A78C1&quot;/&gt;&lt;wsp:rsid wsp:val=&quot;004A7DD7&quot;/&gt;&lt;wsp:rsid wsp:val=&quot;004B64F4&quot;/&gt;&lt;wsp:rsid wsp:val=&quot;004E4E74&quot;/&gt;&lt;wsp:rsid wsp:val=&quot;005034E2&quot;/&gt;&lt;wsp:rsid wsp:val=&quot;0051454C&quot;/&gt;&lt;wsp:rsid wsp:val=&quot;00527D93&quot;/&gt;&lt;wsp:rsid wsp:val=&quot;00535D8A&quot;/&gt;&lt;wsp:rsid wsp:val=&quot;0053749D&quot;/&gt;&lt;wsp:rsid wsp:val=&quot;005612CB&quot;/&gt;&lt;wsp:rsid wsp:val=&quot;00562793&quot;/&gt;&lt;wsp:rsid wsp:val=&quot;00592EDB&quot;/&gt;&lt;wsp:rsid wsp:val=&quot;005C7361&quot;/&gt;&lt;wsp:rsid wsp:val=&quot;005C7409&quot;/&gt;&lt;wsp:rsid wsp:val=&quot;005D4967&quot;/&gt;&lt;wsp:rsid wsp:val=&quot;00604D5B&quot;/&gt;&lt;wsp:rsid wsp:val=&quot;006275D0&quot;/&gt;&lt;wsp:rsid wsp:val=&quot;00650A33&quot;/&gt;&lt;wsp:rsid wsp:val=&quot;0065594B&quot;/&gt;&lt;wsp:rsid wsp:val=&quot;0066255B&quot;/&gt;&lt;wsp:rsid wsp:val=&quot;00662E6C&quot;/&gt;&lt;wsp:rsid wsp:val=&quot;00671ADF&quot;/&gt;&lt;wsp:rsid wsp:val=&quot;00684CFE&quot;/&gt;&lt;wsp:rsid wsp:val=&quot;0068651D&quot;/&gt;&lt;wsp:rsid wsp:val=&quot;0069239F&quot;/&gt;&lt;wsp:rsid wsp:val=&quot;006A0771&quot;/&gt;&lt;wsp:rsid wsp:val=&quot;006A0DE9&quot;/&gt;&lt;wsp:rsid wsp:val=&quot;006A3986&quot;/&gt;&lt;wsp:rsid wsp:val=&quot;006B1711&quot;/&gt;&lt;wsp:rsid wsp:val=&quot;006B3DF4&quot;/&gt;&lt;wsp:rsid wsp:val=&quot;006D1E70&quot;/&gt;&lt;wsp:rsid wsp:val=&quot;006E2AF1&quot;/&gt;&lt;wsp:rsid wsp:val=&quot;006E762F&quot;/&gt;&lt;wsp:rsid wsp:val=&quot;006F4B9F&quot;/&gt;&lt;wsp:rsid wsp:val=&quot;00770899&quot;/&gt;&lt;wsp:rsid wsp:val=&quot;00795069&quot;/&gt;&lt;wsp:rsid wsp:val=&quot;007A3561&quot;/&gt;&lt;wsp:rsid wsp:val=&quot;007C1795&quot;/&gt;&lt;wsp:rsid wsp:val=&quot;007D218D&quot;/&gt;&lt;wsp:rsid wsp:val=&quot;007D6ACE&quot;/&gt;&lt;wsp:rsid wsp:val=&quot;007E5E95&quot;/&gt;&lt;wsp:rsid wsp:val=&quot;007E6D83&quot;/&gt;&lt;wsp:rsid wsp:val=&quot;00811644&quot;/&gt;&lt;wsp:rsid wsp:val=&quot;00824C8F&quot;/&gt;&lt;wsp:rsid wsp:val=&quot;00841751&quot;/&gt;&lt;wsp:rsid wsp:val=&quot;008629EA&quot;/&gt;&lt;wsp:rsid wsp:val=&quot;00864282&quot;/&gt;&lt;wsp:rsid wsp:val=&quot;00870989&quot;/&gt;&lt;wsp:rsid wsp:val=&quot;00877760&quot;/&gt;&lt;wsp:rsid wsp:val=&quot;00886EE0&quot;/&gt;&lt;wsp:rsid wsp:val=&quot;008D79EE&quot;/&gt;&lt;wsp:rsid wsp:val=&quot;008F7AD7&quot;/&gt;&lt;wsp:rsid wsp:val=&quot;00924443&quot;/&gt;&lt;wsp:rsid wsp:val=&quot;00933FF2&quot;/&gt;&lt;wsp:rsid wsp:val=&quot;00981DAD&quot;/&gt;&lt;wsp:rsid wsp:val=&quot;00997BF5&quot;/&gt;&lt;wsp:rsid wsp:val=&quot;009A34D9&quot;/&gt;&lt;wsp:rsid wsp:val=&quot;009A681E&quot;/&gt;&lt;wsp:rsid wsp:val=&quot;009C16FD&quot;/&gt;&lt;wsp:rsid wsp:val=&quot;009D1EE7&quot;/&gt;&lt;wsp:rsid wsp:val=&quot;009F001F&quot;/&gt;&lt;wsp:rsid wsp:val=&quot;009F01BA&quot;/&gt;&lt;wsp:rsid wsp:val=&quot;009F05FF&quot;/&gt;&lt;wsp:rsid wsp:val=&quot;009F45D4&quot;/&gt;&lt;wsp:rsid wsp:val=&quot;009F52A3&quot;/&gt;&lt;wsp:rsid wsp:val=&quot;00A3734E&quot;/&gt;&lt;wsp:rsid wsp:val=&quot;00A447F0&quot;/&gt;&lt;wsp:rsid wsp:val=&quot;00A60878&quot;/&gt;&lt;wsp:rsid wsp:val=&quot;00A6497B&quot;/&gt;&lt;wsp:rsid wsp:val=&quot;00A667A2&quot;/&gt;&lt;wsp:rsid wsp:val=&quot;00A72B16&quot;/&gt;&lt;wsp:rsid wsp:val=&quot;00A73F45&quot;/&gt;&lt;wsp:rsid wsp:val=&quot;00A76F17&quot;/&gt;&lt;wsp:rsid wsp:val=&quot;00A843EA&quot;/&gt;&lt;wsp:rsid wsp:val=&quot;00A90B8D&quot;/&gt;&lt;wsp:rsid wsp:val=&quot;00A96A89&quot;/&gt;&lt;wsp:rsid wsp:val=&quot;00AC6FC1&quot;/&gt;&lt;wsp:rsid wsp:val=&quot;00AD2834&quot;/&gt;&lt;wsp:rsid wsp:val=&quot;00AE689D&quot;/&gt;&lt;wsp:rsid wsp:val=&quot;00AE7C07&quot;/&gt;&lt;wsp:rsid wsp:val=&quot;00B25E93&quot;/&gt;&lt;wsp:rsid wsp:val=&quot;00B34EB9&quot;/&gt;&lt;wsp:rsid wsp:val=&quot;00B359FC&quot;/&gt;&lt;wsp:rsid wsp:val=&quot;00B50140&quot;/&gt;&lt;wsp:rsid wsp:val=&quot;00B50668&quot;/&gt;&lt;wsp:rsid wsp:val=&quot;00B61E7E&quot;/&gt;&lt;wsp:rsid wsp:val=&quot;00B64FFB&quot;/&gt;&lt;wsp:rsid wsp:val=&quot;00B80619&quot;/&gt;&lt;wsp:rsid wsp:val=&quot;00B852A1&quot;/&gt;&lt;wsp:rsid wsp:val=&quot;00B85E85&quot;/&gt;&lt;wsp:rsid wsp:val=&quot;00BA42EE&quot;/&gt;&lt;wsp:rsid wsp:val=&quot;00BB5518&quot;/&gt;&lt;wsp:rsid wsp:val=&quot;00BD47AA&quot;/&gt;&lt;wsp:rsid wsp:val=&quot;00BE09E3&quot;/&gt;&lt;wsp:rsid wsp:val=&quot;00BF4193&quot;/&gt;&lt;wsp:rsid wsp:val=&quot;00BF4328&quot;/&gt;&lt;wsp:rsid wsp:val=&quot;00C04E5D&quot;/&gt;&lt;wsp:rsid wsp:val=&quot;00C25429&quot;/&gt;&lt;wsp:rsid wsp:val=&quot;00C414C1&quot;/&gt;&lt;wsp:rsid wsp:val=&quot;00C44DFE&quot;/&gt;&lt;wsp:rsid wsp:val=&quot;00C52917&quot;/&gt;&lt;wsp:rsid wsp:val=&quot;00C83A05&quot;/&gt;&lt;wsp:rsid wsp:val=&quot;00CA0C7B&quot;/&gt;&lt;wsp:rsid wsp:val=&quot;00CA35A6&quot;/&gt;&lt;wsp:rsid wsp:val=&quot;00CB0671&quot;/&gt;&lt;wsp:rsid wsp:val=&quot;00CB6008&quot;/&gt;&lt;wsp:rsid wsp:val=&quot;00CC369E&quot;/&gt;&lt;wsp:rsid wsp:val=&quot;00CD2EFB&quot;/&gt;&lt;wsp:rsid wsp:val=&quot;00CD7134&quot;/&gt;&lt;wsp:rsid wsp:val=&quot;00CE226E&quot;/&gt;&lt;wsp:rsid wsp:val=&quot;00CE37F8&quot;/&gt;&lt;wsp:rsid wsp:val=&quot;00CF613B&quot;/&gt;&lt;wsp:rsid wsp:val=&quot;00D0009B&quot;/&gt;&lt;wsp:rsid wsp:val=&quot;00D06068&quot;/&gt;&lt;wsp:rsid wsp:val=&quot;00D31267&quot;/&gt;&lt;wsp:rsid wsp:val=&quot;00D43F12&quot;/&gt;&lt;wsp:rsid wsp:val=&quot;00D46C4B&quot;/&gt;&lt;wsp:rsid wsp:val=&quot;00D670E7&quot;/&gt;&lt;wsp:rsid wsp:val=&quot;00D72AFD&quot;/&gt;&lt;wsp:rsid wsp:val=&quot;00D852BF&quot;/&gt;&lt;wsp:rsid wsp:val=&quot;00D95384&quot;/&gt;&lt;wsp:rsid wsp:val=&quot;00D96C9F&quot;/&gt;&lt;wsp:rsid wsp:val=&quot;00D97BDC&quot;/&gt;&lt;wsp:rsid wsp:val=&quot;00DD6B9D&quot;/&gt;&lt;wsp:rsid wsp:val=&quot;00DE5835&quot;/&gt;&lt;wsp:rsid wsp:val=&quot;00E12A21&quot;/&gt;&lt;wsp:rsid wsp:val=&quot;00E133FF&quot;/&gt;&lt;wsp:rsid wsp:val=&quot;00E51D71&quot;/&gt;&lt;wsp:rsid wsp:val=&quot;00E552E0&quot;/&gt;&lt;wsp:rsid wsp:val=&quot;00E72FC8&quot;/&gt;&lt;wsp:rsid wsp:val=&quot;00E76E16&quot;/&gt;&lt;wsp:rsid wsp:val=&quot;00E843BC&quot;/&gt;&lt;wsp:rsid wsp:val=&quot;00E96E72&quot;/&gt;&lt;wsp:rsid wsp:val=&quot;00EA1831&quot;/&gt;&lt;wsp:rsid wsp:val=&quot;00EB58D7&quot;/&gt;&lt;wsp:rsid wsp:val=&quot;00EB6D32&quot;/&gt;&lt;wsp:rsid wsp:val=&quot;00EC1DE8&quot;/&gt;&lt;wsp:rsid wsp:val=&quot;00EE3899&quot;/&gt;&lt;wsp:rsid wsp:val=&quot;00EF12AF&quot;/&gt;&lt;wsp:rsid wsp:val=&quot;00EF27CA&quot;/&gt;&lt;wsp:rsid wsp:val=&quot;00F01886&quot;/&gt;&lt;wsp:rsid wsp:val=&quot;00F03A95&quot;/&gt;&lt;wsp:rsid wsp:val=&quot;00F124F8&quot;/&gt;&lt;wsp:rsid wsp:val=&quot;00F27776&quot;/&gt;&lt;wsp:rsid wsp:val=&quot;00F307E5&quot;/&gt;&lt;wsp:rsid wsp:val=&quot;00F35BEF&quot;/&gt;&lt;wsp:rsid wsp:val=&quot;00F41ACC&quot;/&gt;&lt;wsp:rsid wsp:val=&quot;00F426A7&quot;/&gt;&lt;wsp:rsid wsp:val=&quot;00F56FB2&quot;/&gt;&lt;wsp:rsid wsp:val=&quot;00F62EF7&quot;/&gt;&lt;wsp:rsid wsp:val=&quot;00F92E14&quot;/&gt;&lt;wsp:rsid wsp:val=&quot;00F93B13&quot;/&gt;&lt;wsp:rsid wsp:val=&quot;00F948BE&quot;/&gt;&lt;wsp:rsid wsp:val=&quot;00FA3642&quot;/&gt;&lt;wsp:rsid wsp:val=&quot;00FC3BC8&quot;/&gt;&lt;wsp:rsid wsp:val=&quot;00FE3AE2&quot;/&gt;&lt;wsp:rsid wsp:val=&quot;00FF2C09&quot;/&gt;&lt;/wsp:rsids&gt;&lt;/w:docPr&gt;&lt;w:body&gt;&lt;w:p wsp:rsidR=&quot;00000000&quot; wsp:rsidRDefault=&quot;00B25E93&quot;&gt;&lt;m:oMathPara&gt;&lt;m:oMath&gt;&lt;m:r&gt;&lt;w:rPr&gt;&lt;w:rFonts w:ascii=&quot;Cambria Math&quot; w:h-ansi=&quot;Cambria Math&quot; w:cs=&quot;Arial&quot;/&gt;&lt;wx:font wx:val=&quot;Cambria Math&quot;/&gt;&lt;w:i/&gt;&lt;w:sz w:val=&quot;20&quot;/&gt;&lt;w:sz-cs w:val=&quot;20&quot;/&gt;&lt;w:lang w:val=&quot;EN-GB&quot;/&gt;&lt;/w:rPr&gt;&lt;m:t&gt;CS&lt;/m:t&gt;&lt;/m:r&gt;&lt;m:r&gt;&lt;w:rPr&gt;&lt;w:rFonts w:ascii=&quot;Cambria Math&quot; w:h-ansi=&quot;Arial&quot; w:cs=&quot;Arial&quot;/&gt;&lt;wx:font wx:val=&quot;Cambria Math&quot;/&gt;&lt;w:i/&gt;&lt;w:sz w:val=&quot;20&quot;/&gt;&lt;w:sz-cs w:val=&quot;20&quot;/&gt;&lt;w:lang w:val=&quot;EN-GB&quot;/&gt;&lt;/w:rPr&gt;&lt;m:t&gt;=&lt;/m:t&gt;&lt;/m:r&gt;&lt;m:f&gt;&lt;m:fPr&gt;&lt;m:ctrlPr&gt;&lt;w:rPr&gt;&lt;w:rFonts w:ascii=&quot;Cambria Math&quot; w:h-ansi=&quot;Arial&quot; w:cs=&quot;Arial&quot;/&gt;&lt;wx:font wx:val=&quot;Cambria Math&quot;/&gt;&lt;w:i/&gt;&lt;w:sz w:val=&quot;20&quot;/&gt;&lt;w:sz-cs w:val=&quot;20&quot;/&gt;&lt;w:lang w:val=&quot;EN-GB&quot;/&gt;&lt;/w:rPr&gt;&lt;/m:ctrlPr&gt;&lt;/m:fPr&gt;&lt;m:num&gt;&lt;m:r&gt;&lt;w:rPr&gt;&lt;w:rFonts w:ascii=&quot;Cambria Math&quot; w:h-ansi=&quot;Arial&quot; w:cs=&quot;Arial&quot;/&gt;&lt;wx:font wx:val=&quot;Cambria Math&quot;/&gt;&lt;w:i/&gt;&lt;w:sz w:val=&quot;20&quot;/&gt;&lt;w:sz-cs w:val=&quot;20&quot;/&gt;&lt;w:lang w:val=&quot;EN-GB&quot;/&gt;&lt;/w:rPr&gt;&lt;m:t&gt;1&lt;/m:t&gt;&lt;/m:r&gt;&lt;/m:num&gt;&lt;m:den&gt;&lt;m:r&gt;&lt;w:rPr&gt;&lt;w:rFonts w:ascii=&quot;Cambria Math&quot; w:h-ansi=&quot;Arial&quot; w:cs=&quot;Arial&quot;/&gt;&lt;wx:font wx:val=&quot;Cambria Math&quot;/&gt;&lt;w:i/&gt;&lt;w:sz w:val=&quot;20&quot;/&gt;&lt;w:sz-cs w:val=&quot;20&quot;/&gt;&lt;w:lang w:val=&quot;EN-GB&quot;/&gt;&lt;/w:rPr&gt;&lt;m:t&gt;2&lt;/m:t&gt;&lt;/m:r&gt;&lt;/m:den&gt;&lt;/m:f&gt;&lt;m:f&gt;&lt;m:fPr&gt;&lt;m:ctrlPr&gt;&lt;w:rPr&gt;&lt;w:rFonts w:ascii=&quot;Cambria Math&quot; w:h-ansi=&quot;Arial&quot; w:cs=&quot;Arial&quot;/&gt;&lt;wx:font wx:val=&quot;Cambria Math&quot;/&gt;&lt;w:i/&gt;&lt;w:sz w:val=&quot;20&quot;/&gt;&lt;w:sz-cs w:val=&quot;20&quot;/&gt;&lt;w:lang w:val=&quot;EN-GB&quot;/&gt;&lt;/w:rPr&gt;&lt;/m:ctrlPr&gt;&lt;/m:fPr&gt;&lt;m:num&gt;&lt;m:r&gt;&lt;w:rPr&gt;&lt;w:rFonts w:ascii=&quot;Cambria Math&quot; w:h-ansi=&quot;Cambria Math&quot; w:cs=&quot;Arial&quot;/&gt;&lt;wx:font wx:val=&quot;Cambria Math&quot;/&gt;&lt;w:i/&gt;&lt;w:sz w:val=&quot;20&quot;/&gt;&lt;w:sz-cs w:val=&quot;20&quot;/&gt;&lt;w:lang w:val=&quot;EN-GB&quot;/&gt;&lt;/w:rPr&gt;&lt;m:t&gt;Revenue&lt;/m:t&gt;&lt;/m:r&gt;&lt;/m:num&gt;&lt;m:den&gt;&lt;m:r&gt;&lt;w:rPr&gt;&lt;w:rFonts w:ascii=&quot;Cambria Math&quot; w:h-ansi=&quot;Cambria Math&quot; w:cs=&quot;Arial&quot;/&gt;&lt;wx:font wx:val=&quot;Cambria Math&quot;/&gt;&lt;w:i/&gt;&lt;w:sz w:val=&quot;20&quot;/&gt;&lt;w:sz-cs w:val=&quot;20&quot;/&gt;&lt;w:lang w:val=&quot;EN-GB&quot;/&gt;&lt;/w:rPr&gt;&lt;m:t&gt;Îµ&lt;/m:t&gt;&lt;/m:r&gt;&lt;/m:den&gt;&lt;/m:f&gt;&lt;/m:oMath&gt;&lt;/m:oMathPara&gt;&lt;/w:p&gt;&lt;w:sectPr wsp:rsidR=&quot;00000000&quot;&gt;&lt;w:pgSz w:w=&quot;12240&quot; w:h=&quot;15840&quot;/&gt;&lt;w:pgMar w:top=&quot;1417&quot; w:right=&quot;1417&quot; w:bottom=&quot;1417&quot; w:left=&quot;1417&quot; w:header=&quot;720&quot; w:footer=&quot;720&quot; w:gutter=&quot;0&quot;/&gt;&lt;w:cols w:space=&quot;720&quot;/&gt;&lt;/w:sectPr&gt;&lt;/w:body&gt;&lt;/w:wordDocument&gt;">
                  <v:imagedata r:id="rId9" o:title="" chromakey="white"/>
                </v:shape>
              </w:pict>
            </w:r>
          </w:p>
          <w:p w:rsidR="00075549" w:rsidRPr="00AE689D" w:rsidRDefault="00075549" w:rsidP="00AE689D">
            <w:pPr>
              <w:pStyle w:val="BodyText"/>
              <w:spacing w:line="276" w:lineRule="auto"/>
              <w:jc w:val="both"/>
              <w:rPr>
                <w:rFonts w:cs="Arial"/>
                <w:sz w:val="20"/>
                <w:szCs w:val="20"/>
              </w:rPr>
            </w:pPr>
            <w:r w:rsidRPr="00AE689D">
              <w:rPr>
                <w:rFonts w:cs="Arial"/>
                <w:sz w:val="20"/>
                <w:szCs w:val="20"/>
              </w:rPr>
              <w:t>where ε is the elasticity of demand (absolute value). This is an approximation</w:t>
            </w:r>
            <w:r w:rsidRPr="00AE689D">
              <w:rPr>
                <w:rFonts w:cs="Arial"/>
                <w:sz w:val="20"/>
                <w:szCs w:val="20"/>
                <w:vertAlign w:val="superscript"/>
              </w:rPr>
              <w:footnoteReference w:id="6"/>
            </w:r>
            <w:r w:rsidRPr="00AE689D">
              <w:rPr>
                <w:rFonts w:cs="Arial"/>
                <w:sz w:val="20"/>
                <w:szCs w:val="20"/>
              </w:rPr>
              <w:t xml:space="preserve"> that relies on a number of simplifying assumptions including the assumption is that the demand curve is linear; this allows the consumer surplus to be calculated as a triangle below this linear demand curve.  However the elasticity of demand is not normally constant – it usually varies at different points along a demand curve and importantly will differ between markets.  So even if revenues in two markets are the same it cannot be concluded that surplus is the same.  </w:t>
            </w:r>
          </w:p>
          <w:p w:rsidR="00075549" w:rsidRPr="00AE689D" w:rsidRDefault="00075549" w:rsidP="00AE689D">
            <w:pPr>
              <w:pStyle w:val="BodyText"/>
              <w:spacing w:line="276" w:lineRule="auto"/>
              <w:jc w:val="both"/>
              <w:rPr>
                <w:rFonts w:cs="Arial"/>
                <w:sz w:val="20"/>
                <w:szCs w:val="20"/>
              </w:rPr>
            </w:pPr>
            <w:r w:rsidRPr="00AE689D">
              <w:rPr>
                <w:rFonts w:cs="Arial"/>
                <w:sz w:val="20"/>
                <w:szCs w:val="20"/>
              </w:rPr>
              <w:t xml:space="preserve">To see this consider the following example in which there are two markets for services A and B, each of which uses L band spectrum. The supply and demand curves for A and B are shown in </w:t>
            </w:r>
            <w:fldSimple w:instr=" REF _Ref308510897  \* MERGEFORMAT ">
              <w:r w:rsidRPr="00AE689D">
                <w:rPr>
                  <w:rFonts w:cs="Arial"/>
                  <w:sz w:val="20"/>
                  <w:szCs w:val="20"/>
                </w:rPr>
                <w:t xml:space="preserve">Figure </w:t>
              </w:r>
              <w:r w:rsidRPr="00AE689D">
                <w:rPr>
                  <w:rFonts w:cs="Arial"/>
                  <w:noProof/>
                  <w:sz w:val="20"/>
                  <w:szCs w:val="20"/>
                </w:rPr>
                <w:t>2</w:t>
              </w:r>
            </w:fldSimple>
            <w:r w:rsidRPr="00AE689D">
              <w:t xml:space="preserve"> </w:t>
            </w:r>
            <w:r w:rsidRPr="00AE689D">
              <w:rPr>
                <w:rFonts w:cs="Arial"/>
                <w:sz w:val="20"/>
                <w:szCs w:val="20"/>
              </w:rPr>
              <w:t xml:space="preserve">and </w:t>
            </w:r>
            <w:fldSimple w:instr=" REF _Ref308510911  \* MERGEFORMAT ">
              <w:r w:rsidRPr="00AE689D">
                <w:rPr>
                  <w:rFonts w:cs="Arial"/>
                  <w:sz w:val="20"/>
                  <w:szCs w:val="20"/>
                </w:rPr>
                <w:t xml:space="preserve">Figure </w:t>
              </w:r>
              <w:r w:rsidRPr="00AE689D">
                <w:rPr>
                  <w:rFonts w:cs="Arial"/>
                  <w:noProof/>
                  <w:sz w:val="20"/>
                  <w:szCs w:val="20"/>
                </w:rPr>
                <w:t>3</w:t>
              </w:r>
            </w:fldSimple>
            <w:r w:rsidRPr="00AE689D">
              <w:rPr>
                <w:rFonts w:cs="Arial"/>
                <w:sz w:val="20"/>
                <w:szCs w:val="20"/>
              </w:rPr>
              <w:t xml:space="preserve"> respectively.  </w:t>
            </w:r>
          </w:p>
          <w:tbl>
            <w:tblPr>
              <w:tblW w:w="0" w:type="auto"/>
              <w:tblLayout w:type="fixed"/>
              <w:tblLook w:val="00A0"/>
            </w:tblPr>
            <w:tblGrid>
              <w:gridCol w:w="4644"/>
              <w:gridCol w:w="4644"/>
            </w:tblGrid>
            <w:tr w:rsidR="00075549" w:rsidRPr="00F720BA" w:rsidTr="007C0DD2">
              <w:tc>
                <w:tcPr>
                  <w:tcW w:w="4644" w:type="dxa"/>
                </w:tcPr>
                <w:p w:rsidR="00075549" w:rsidRPr="007C0DD2" w:rsidRDefault="00075549" w:rsidP="007C0DD2">
                  <w:pPr>
                    <w:pStyle w:val="FigureCaption"/>
                    <w:spacing w:line="276" w:lineRule="auto"/>
                    <w:jc w:val="both"/>
                    <w:rPr>
                      <w:rFonts w:cs="Arial"/>
                      <w:color w:val="auto"/>
                      <w:szCs w:val="20"/>
                    </w:rPr>
                  </w:pPr>
                  <w:bookmarkStart w:id="3" w:name="_Ref308510897"/>
                  <w:r w:rsidRPr="007C0DD2">
                    <w:rPr>
                      <w:rFonts w:cs="Arial"/>
                      <w:color w:val="auto"/>
                      <w:szCs w:val="20"/>
                    </w:rPr>
                    <w:t xml:space="preserve">Figure </w:t>
                  </w:r>
                  <w:r w:rsidRPr="007C0DD2">
                    <w:rPr>
                      <w:rFonts w:cs="Arial"/>
                      <w:color w:val="auto"/>
                      <w:szCs w:val="20"/>
                    </w:rPr>
                    <w:fldChar w:fldCharType="begin"/>
                  </w:r>
                  <w:r w:rsidRPr="007C0DD2">
                    <w:rPr>
                      <w:rFonts w:cs="Arial"/>
                      <w:color w:val="auto"/>
                      <w:szCs w:val="20"/>
                    </w:rPr>
                    <w:instrText xml:space="preserve"> SEQ Figure \* ARABIC</w:instrText>
                  </w:r>
                  <w:r w:rsidRPr="007C0DD2">
                    <w:rPr>
                      <w:rFonts w:cs="Arial"/>
                      <w:color w:val="auto"/>
                      <w:szCs w:val="20"/>
                    </w:rPr>
                    <w:fldChar w:fldCharType="separate"/>
                  </w:r>
                  <w:r w:rsidRPr="007C0DD2">
                    <w:rPr>
                      <w:rFonts w:cs="Arial"/>
                      <w:noProof/>
                      <w:color w:val="auto"/>
                      <w:szCs w:val="20"/>
                    </w:rPr>
                    <w:t>2</w:t>
                  </w:r>
                  <w:r w:rsidRPr="007C0DD2">
                    <w:rPr>
                      <w:rFonts w:cs="Arial"/>
                      <w:color w:val="auto"/>
                      <w:szCs w:val="20"/>
                    </w:rPr>
                    <w:fldChar w:fldCharType="end"/>
                  </w:r>
                  <w:bookmarkEnd w:id="3"/>
                  <w:r w:rsidRPr="007C0DD2">
                    <w:rPr>
                      <w:rFonts w:cs="Arial"/>
                      <w:color w:val="auto"/>
                      <w:szCs w:val="20"/>
                    </w:rPr>
                    <w:t>: Consumer and producer surplus in Market A</w:t>
                  </w:r>
                </w:p>
              </w:tc>
              <w:tc>
                <w:tcPr>
                  <w:tcW w:w="4644" w:type="dxa"/>
                </w:tcPr>
                <w:p w:rsidR="00075549" w:rsidRPr="007C0DD2" w:rsidRDefault="00075549" w:rsidP="007C0DD2">
                  <w:pPr>
                    <w:pStyle w:val="FigureCaption"/>
                    <w:spacing w:line="276" w:lineRule="auto"/>
                    <w:jc w:val="both"/>
                    <w:rPr>
                      <w:rFonts w:cs="Arial"/>
                      <w:color w:val="auto"/>
                      <w:szCs w:val="20"/>
                    </w:rPr>
                  </w:pPr>
                  <w:bookmarkStart w:id="4" w:name="_Ref308510911"/>
                  <w:r w:rsidRPr="007C0DD2">
                    <w:rPr>
                      <w:rFonts w:cs="Arial"/>
                      <w:color w:val="auto"/>
                      <w:szCs w:val="20"/>
                    </w:rPr>
                    <w:t xml:space="preserve">Figure </w:t>
                  </w:r>
                  <w:r w:rsidRPr="007C0DD2">
                    <w:rPr>
                      <w:rFonts w:cs="Arial"/>
                      <w:color w:val="auto"/>
                      <w:szCs w:val="20"/>
                    </w:rPr>
                    <w:fldChar w:fldCharType="begin"/>
                  </w:r>
                  <w:r w:rsidRPr="007C0DD2">
                    <w:rPr>
                      <w:rFonts w:cs="Arial"/>
                      <w:color w:val="auto"/>
                      <w:szCs w:val="20"/>
                    </w:rPr>
                    <w:instrText xml:space="preserve"> SEQ Figure \* ARABIC</w:instrText>
                  </w:r>
                  <w:r w:rsidRPr="007C0DD2">
                    <w:rPr>
                      <w:rFonts w:cs="Arial"/>
                      <w:color w:val="auto"/>
                      <w:szCs w:val="20"/>
                    </w:rPr>
                    <w:fldChar w:fldCharType="separate"/>
                  </w:r>
                  <w:r w:rsidRPr="007C0DD2">
                    <w:rPr>
                      <w:rFonts w:cs="Arial"/>
                      <w:noProof/>
                      <w:color w:val="auto"/>
                      <w:szCs w:val="20"/>
                    </w:rPr>
                    <w:t>3</w:t>
                  </w:r>
                  <w:r w:rsidRPr="007C0DD2">
                    <w:rPr>
                      <w:rFonts w:cs="Arial"/>
                      <w:color w:val="auto"/>
                      <w:szCs w:val="20"/>
                    </w:rPr>
                    <w:fldChar w:fldCharType="end"/>
                  </w:r>
                  <w:bookmarkEnd w:id="4"/>
                  <w:r w:rsidRPr="007C0DD2">
                    <w:rPr>
                      <w:rFonts w:cs="Arial"/>
                      <w:color w:val="auto"/>
                      <w:szCs w:val="20"/>
                    </w:rPr>
                    <w:t>: Consumer and producer surplus in Market B</w:t>
                  </w:r>
                </w:p>
              </w:tc>
            </w:tr>
            <w:tr w:rsidR="00075549" w:rsidRPr="00AE689D" w:rsidTr="007C0DD2">
              <w:tc>
                <w:tcPr>
                  <w:tcW w:w="4644" w:type="dxa"/>
                </w:tcPr>
                <w:p w:rsidR="00075549" w:rsidRPr="007C0DD2" w:rsidRDefault="00075549" w:rsidP="007C0DD2">
                  <w:pPr>
                    <w:pStyle w:val="BodyText"/>
                    <w:spacing w:line="276" w:lineRule="auto"/>
                    <w:jc w:val="both"/>
                    <w:rPr>
                      <w:rFonts w:cs="Arial"/>
                      <w:sz w:val="20"/>
                      <w:szCs w:val="20"/>
                    </w:rPr>
                  </w:pPr>
                  <w:r w:rsidRPr="007C0DD2">
                    <w:rPr>
                      <w:rFonts w:cs="Arial"/>
                      <w:noProof/>
                      <w:sz w:val="20"/>
                      <w:szCs w:val="20"/>
                      <w:lang w:val="fr-FR" w:eastAsia="fr-FR"/>
                    </w:rPr>
                    <w:pict>
                      <v:shape id="Picture 21" o:spid="_x0000_i1028" type="#_x0000_t75" style="width:195.75pt;height:208.5pt;visibility:visible">
                        <v:imagedata r:id="rId10" o:title=""/>
                      </v:shape>
                    </w:pict>
                  </w:r>
                </w:p>
              </w:tc>
              <w:tc>
                <w:tcPr>
                  <w:tcW w:w="4644" w:type="dxa"/>
                </w:tcPr>
                <w:p w:rsidR="00075549" w:rsidRPr="007C0DD2" w:rsidRDefault="00075549" w:rsidP="007C0DD2">
                  <w:pPr>
                    <w:pStyle w:val="BodyText"/>
                    <w:spacing w:line="276" w:lineRule="auto"/>
                    <w:jc w:val="both"/>
                    <w:rPr>
                      <w:rFonts w:cs="Arial"/>
                      <w:sz w:val="20"/>
                      <w:szCs w:val="20"/>
                    </w:rPr>
                  </w:pPr>
                  <w:r w:rsidRPr="007C0DD2">
                    <w:rPr>
                      <w:rFonts w:cs="Arial"/>
                      <w:noProof/>
                      <w:sz w:val="20"/>
                      <w:szCs w:val="20"/>
                      <w:lang w:val="fr-FR" w:eastAsia="fr-FR"/>
                    </w:rPr>
                    <w:pict>
                      <v:shape id="Picture 22" o:spid="_x0000_i1029" type="#_x0000_t75" style="width:191.25pt;height:206.25pt;visibility:visible">
                        <v:imagedata r:id="rId11" o:title=""/>
                      </v:shape>
                    </w:pict>
                  </w:r>
                </w:p>
              </w:tc>
            </w:tr>
          </w:tbl>
          <w:p w:rsidR="00075549" w:rsidRPr="00AE689D" w:rsidRDefault="00075549" w:rsidP="00AE689D">
            <w:pPr>
              <w:pStyle w:val="BodyText"/>
              <w:spacing w:line="276" w:lineRule="auto"/>
              <w:jc w:val="both"/>
              <w:rPr>
                <w:sz w:val="20"/>
              </w:rPr>
            </w:pPr>
            <w:r w:rsidRPr="00AE689D">
              <w:rPr>
                <w:sz w:val="20"/>
              </w:rPr>
              <w:t>A is a relatively high cost service which has a limited market Y and sells at 3 times the price of another service B which has a larger potential market 3Y. For simplicity we assume that revenues are the same in both markets and equal 3XY (same size area).  It can be seen from the two graphs that while the revenues may be the same in the two markets, the demand curves differ considerably – in slope and positioning – and so the consumer surplus also differs considerably.</w:t>
            </w:r>
          </w:p>
          <w:p w:rsidR="00075549" w:rsidRPr="00AE689D" w:rsidRDefault="00075549" w:rsidP="00AE689D">
            <w:pPr>
              <w:pStyle w:val="BodyText"/>
              <w:spacing w:line="276" w:lineRule="auto"/>
              <w:jc w:val="both"/>
              <w:rPr>
                <w:sz w:val="20"/>
              </w:rPr>
            </w:pPr>
            <w:r w:rsidRPr="00AE689D">
              <w:rPr>
                <w:sz w:val="20"/>
              </w:rPr>
              <w:t>If spectrum allocation choices were made on the basis of revenues this would give the wrong answer. Economic benefits are clearly higher for market B as compared with market A because of the high level of consumer surplus.</w:t>
            </w:r>
          </w:p>
          <w:p w:rsidR="00075549" w:rsidRPr="00AE689D" w:rsidRDefault="00075549" w:rsidP="00AE689D">
            <w:pPr>
              <w:pStyle w:val="BodyText"/>
              <w:spacing w:line="276" w:lineRule="auto"/>
              <w:jc w:val="both"/>
              <w:rPr>
                <w:rFonts w:cs="Arial"/>
                <w:sz w:val="20"/>
                <w:szCs w:val="20"/>
              </w:rPr>
            </w:pPr>
          </w:p>
          <w:p w:rsidR="00075549" w:rsidRPr="00AE689D" w:rsidRDefault="00075549" w:rsidP="00AE689D">
            <w:pPr>
              <w:pStyle w:val="BodyText"/>
              <w:spacing w:line="276" w:lineRule="auto"/>
              <w:jc w:val="both"/>
              <w:rPr>
                <w:rFonts w:cs="Arial"/>
                <w:sz w:val="20"/>
                <w:szCs w:val="20"/>
              </w:rPr>
            </w:pPr>
          </w:p>
          <w:p w:rsidR="00075549" w:rsidRPr="00AE689D" w:rsidRDefault="00075549" w:rsidP="00AE689D">
            <w:pPr>
              <w:pStyle w:val="Heading1"/>
              <w:keepLines/>
              <w:tabs>
                <w:tab w:val="num" w:pos="680"/>
              </w:tabs>
              <w:spacing w:before="480" w:after="240" w:line="276" w:lineRule="auto"/>
              <w:ind w:left="680" w:hanging="680"/>
              <w:rPr>
                <w:rFonts w:ascii="Arial" w:hAnsi="Arial" w:cs="Arial"/>
                <w:sz w:val="24"/>
                <w:lang w:val="en-GB"/>
              </w:rPr>
            </w:pPr>
            <w:r w:rsidRPr="00AE689D">
              <w:rPr>
                <w:rFonts w:ascii="Arial" w:hAnsi="Arial" w:cs="Arial"/>
                <w:sz w:val="24"/>
                <w:lang w:val="en-GB"/>
              </w:rPr>
              <w:t>Gross Domestic Product (GDP) as a measure of economic wellbeing</w:t>
            </w:r>
          </w:p>
          <w:p w:rsidR="00075549" w:rsidRPr="00AE689D" w:rsidRDefault="00075549" w:rsidP="00AE689D">
            <w:pPr>
              <w:pStyle w:val="BodyText"/>
              <w:spacing w:line="276" w:lineRule="auto"/>
              <w:jc w:val="both"/>
              <w:rPr>
                <w:rFonts w:cs="Arial"/>
                <w:sz w:val="20"/>
                <w:szCs w:val="20"/>
              </w:rPr>
            </w:pPr>
            <w:r w:rsidRPr="00AE689D">
              <w:rPr>
                <w:rFonts w:cs="Arial"/>
                <w:sz w:val="20"/>
                <w:szCs w:val="20"/>
              </w:rPr>
              <w:t xml:space="preserve">GDP is a commonly used measure of economic performance.  It is the market value of all final goods and services produced in a country i.e. is domestic value added which can be shown to be identical to the sum of payments to labour (i.e. salaries, wages and bonuses) plus payments to capital (i.e. profits).  </w:t>
            </w:r>
          </w:p>
          <w:p w:rsidR="00075549" w:rsidRPr="00AE689D" w:rsidRDefault="00075549" w:rsidP="00AE689D">
            <w:pPr>
              <w:pStyle w:val="BodyText"/>
              <w:spacing w:line="276" w:lineRule="auto"/>
              <w:jc w:val="both"/>
              <w:rPr>
                <w:rFonts w:cs="Arial"/>
                <w:sz w:val="20"/>
                <w:szCs w:val="20"/>
              </w:rPr>
            </w:pPr>
            <w:r w:rsidRPr="00AE689D">
              <w:rPr>
                <w:rFonts w:cs="Arial"/>
                <w:sz w:val="20"/>
                <w:szCs w:val="20"/>
              </w:rPr>
              <w:t>It is well known that GDP is an imperfect measure of wellbeing or welfare</w:t>
            </w:r>
            <w:r w:rsidRPr="00AE689D">
              <w:rPr>
                <w:rStyle w:val="FootnoteReference"/>
                <w:rFonts w:cs="Arial"/>
                <w:sz w:val="20"/>
                <w:szCs w:val="20"/>
              </w:rPr>
              <w:footnoteReference w:id="7"/>
            </w:r>
            <w:r w:rsidRPr="00AE689D">
              <w:rPr>
                <w:rFonts w:cs="Arial"/>
                <w:sz w:val="20"/>
                <w:szCs w:val="20"/>
              </w:rPr>
              <w:t>. Criticisms include:</w:t>
            </w:r>
          </w:p>
          <w:p w:rsidR="00075549" w:rsidRPr="00AE689D" w:rsidRDefault="00075549" w:rsidP="00AE689D">
            <w:pPr>
              <w:pStyle w:val="BulletList1"/>
              <w:numPr>
                <w:ilvl w:val="0"/>
                <w:numId w:val="17"/>
              </w:numPr>
              <w:spacing w:line="276" w:lineRule="auto"/>
              <w:jc w:val="both"/>
              <w:rPr>
                <w:rFonts w:cs="Arial"/>
                <w:szCs w:val="20"/>
              </w:rPr>
            </w:pPr>
            <w:r w:rsidRPr="00AE689D">
              <w:rPr>
                <w:rFonts w:cs="Arial"/>
                <w:szCs w:val="20"/>
              </w:rPr>
              <w:t xml:space="preserve">Outputs of the services sector, particularly government services and those where quality change rapidly (e.g. ICT), are poorly measured – government services are usually valued based on the costs of the inputs taking no account of whether more inputs provide more outputs for example. </w:t>
            </w:r>
          </w:p>
          <w:p w:rsidR="00075549" w:rsidRPr="00AE689D" w:rsidRDefault="00075549" w:rsidP="00AE689D">
            <w:pPr>
              <w:pStyle w:val="BulletList1"/>
              <w:numPr>
                <w:ilvl w:val="0"/>
                <w:numId w:val="17"/>
              </w:numPr>
              <w:spacing w:line="276" w:lineRule="auto"/>
              <w:jc w:val="both"/>
              <w:rPr>
                <w:rFonts w:cs="Arial"/>
                <w:szCs w:val="20"/>
              </w:rPr>
            </w:pPr>
            <w:r w:rsidRPr="00AE689D">
              <w:rPr>
                <w:rFonts w:cs="Arial"/>
                <w:szCs w:val="20"/>
              </w:rPr>
              <w:t>There is no accounting for the benefits to individual from different uses of their time other than paid work.  All time use that generates additional GDP is counted as a benefit, even if it reduces leisure time and potentially makes people feel worse off.</w:t>
            </w:r>
          </w:p>
          <w:p w:rsidR="00075549" w:rsidRPr="00AE689D" w:rsidRDefault="00075549" w:rsidP="00AE689D">
            <w:pPr>
              <w:pStyle w:val="BulletList1"/>
              <w:numPr>
                <w:ilvl w:val="0"/>
                <w:numId w:val="17"/>
              </w:numPr>
              <w:spacing w:line="276" w:lineRule="auto"/>
              <w:jc w:val="both"/>
              <w:rPr>
                <w:rFonts w:cs="Arial"/>
                <w:szCs w:val="20"/>
              </w:rPr>
            </w:pPr>
            <w:r w:rsidRPr="00AE689D">
              <w:rPr>
                <w:rFonts w:cs="Arial"/>
                <w:szCs w:val="20"/>
              </w:rPr>
              <w:t xml:space="preserve">It does not capture phenomena that have an increasing impact on the well-being of citizens.  For example, traffic jams may increase GDP if more petrol is consumed but reduce quality of life.  </w:t>
            </w:r>
          </w:p>
          <w:p w:rsidR="00075549" w:rsidRPr="00AE689D" w:rsidRDefault="00075549" w:rsidP="00AE689D">
            <w:pPr>
              <w:pStyle w:val="BulletList1"/>
              <w:numPr>
                <w:ilvl w:val="0"/>
                <w:numId w:val="17"/>
              </w:numPr>
              <w:spacing w:line="276" w:lineRule="auto"/>
              <w:jc w:val="both"/>
              <w:rPr>
                <w:rFonts w:cs="Arial"/>
                <w:szCs w:val="20"/>
              </w:rPr>
            </w:pPr>
            <w:r w:rsidRPr="00AE689D">
              <w:rPr>
                <w:rFonts w:cs="Arial"/>
                <w:szCs w:val="20"/>
              </w:rPr>
              <w:t>Many aspects of environmental pollution (noise, air and water pollution) are simply not counted.  Although these factors may have indirect effects on productivity and so GDP.</w:t>
            </w:r>
          </w:p>
          <w:p w:rsidR="00075549" w:rsidRPr="00AE689D" w:rsidRDefault="00075549" w:rsidP="00AE689D">
            <w:pPr>
              <w:spacing w:line="276" w:lineRule="auto"/>
              <w:jc w:val="both"/>
              <w:rPr>
                <w:rFonts w:ascii="Arial" w:hAnsi="Arial" w:cs="Arial"/>
                <w:sz w:val="20"/>
                <w:szCs w:val="20"/>
                <w:lang w:val="en-GB"/>
              </w:rPr>
            </w:pPr>
          </w:p>
          <w:p w:rsidR="00075549" w:rsidRPr="00AE689D" w:rsidRDefault="00075549" w:rsidP="00AE689D">
            <w:pPr>
              <w:spacing w:line="276" w:lineRule="auto"/>
              <w:jc w:val="both"/>
              <w:rPr>
                <w:rFonts w:ascii="Arial" w:hAnsi="Arial" w:cs="Arial"/>
                <w:sz w:val="20"/>
                <w:szCs w:val="20"/>
                <w:lang w:val="en-GB"/>
              </w:rPr>
            </w:pPr>
            <w:r w:rsidRPr="00AE689D">
              <w:rPr>
                <w:rFonts w:ascii="Arial" w:hAnsi="Arial" w:cs="Arial"/>
                <w:sz w:val="20"/>
                <w:szCs w:val="20"/>
                <w:lang w:val="en-GB"/>
              </w:rPr>
              <w:t>By contrast the consumer surplus framework has been used to derive values of changes in the environment, and leisure and work time are both valued in the framework.  There is a large literature that values time savings</w:t>
            </w:r>
            <w:r w:rsidRPr="00AE689D">
              <w:rPr>
                <w:rStyle w:val="FootnoteReference"/>
                <w:rFonts w:ascii="Arial" w:hAnsi="Arial" w:cs="Arial"/>
                <w:sz w:val="20"/>
                <w:szCs w:val="20"/>
                <w:lang w:val="en-GB"/>
              </w:rPr>
              <w:footnoteReference w:id="8"/>
            </w:r>
            <w:r w:rsidRPr="00AE689D">
              <w:rPr>
                <w:rFonts w:ascii="Arial" w:hAnsi="Arial" w:cs="Arial"/>
                <w:sz w:val="20"/>
                <w:szCs w:val="20"/>
                <w:lang w:val="en-GB"/>
              </w:rPr>
              <w:t>, environment impacts</w:t>
            </w:r>
            <w:r w:rsidRPr="00AE689D">
              <w:rPr>
                <w:rStyle w:val="FootnoteReference"/>
                <w:rFonts w:ascii="Arial" w:hAnsi="Arial" w:cs="Arial"/>
                <w:sz w:val="20"/>
                <w:szCs w:val="20"/>
                <w:lang w:val="en-GB"/>
              </w:rPr>
              <w:footnoteReference w:id="9"/>
            </w:r>
            <w:r w:rsidRPr="00AE689D">
              <w:rPr>
                <w:rFonts w:ascii="Arial" w:hAnsi="Arial" w:cs="Arial"/>
                <w:sz w:val="20"/>
                <w:szCs w:val="20"/>
                <w:lang w:val="en-GB"/>
              </w:rPr>
              <w:t xml:space="preserve"> and so forth.  This has developed in order to estimate the socio-economic consequences of a wide range of public policies</w:t>
            </w:r>
          </w:p>
          <w:p w:rsidR="00075549" w:rsidRPr="00AE689D" w:rsidRDefault="00075549" w:rsidP="00367429">
            <w:pPr>
              <w:spacing w:line="276" w:lineRule="auto"/>
              <w:jc w:val="both"/>
              <w:rPr>
                <w:rFonts w:ascii="Arial" w:hAnsi="Arial" w:cs="Arial"/>
                <w:lang w:val="en-GB"/>
              </w:rPr>
            </w:pPr>
          </w:p>
          <w:p w:rsidR="00075549" w:rsidRPr="00AE689D" w:rsidRDefault="00075549" w:rsidP="000071D1">
            <w:pPr>
              <w:spacing w:line="276" w:lineRule="auto"/>
              <w:jc w:val="both"/>
              <w:rPr>
                <w:u w:val="single"/>
                <w:lang w:val="en-GB"/>
              </w:rPr>
            </w:pPr>
          </w:p>
        </w:tc>
      </w:tr>
    </w:tbl>
    <w:p w:rsidR="00075549" w:rsidRPr="00AE689D" w:rsidRDefault="00075549" w:rsidP="00AD2834">
      <w:pPr>
        <w:rPr>
          <w:rFonts w:cs="Calibri"/>
          <w:lang w:val="en-GB"/>
        </w:rPr>
      </w:pPr>
    </w:p>
    <w:sectPr w:rsidR="00075549" w:rsidRPr="00AE689D" w:rsidSect="00C44DF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549" w:rsidRDefault="00075549" w:rsidP="001F3A55">
      <w:r>
        <w:separator/>
      </w:r>
    </w:p>
  </w:endnote>
  <w:endnote w:type="continuationSeparator" w:id="0">
    <w:p w:rsidR="00075549" w:rsidRDefault="00075549" w:rsidP="001F3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549" w:rsidRDefault="00075549" w:rsidP="001F3A55">
      <w:r>
        <w:separator/>
      </w:r>
    </w:p>
  </w:footnote>
  <w:footnote w:type="continuationSeparator" w:id="0">
    <w:p w:rsidR="00075549" w:rsidRDefault="00075549" w:rsidP="001F3A55">
      <w:r>
        <w:continuationSeparator/>
      </w:r>
    </w:p>
  </w:footnote>
  <w:footnote w:id="1">
    <w:p w:rsidR="00075549" w:rsidRDefault="00075549" w:rsidP="00F307E5">
      <w:pPr>
        <w:pStyle w:val="FootnoteText"/>
      </w:pPr>
      <w:r w:rsidRPr="00AE689D">
        <w:rPr>
          <w:rStyle w:val="FootnoteReference"/>
          <w:rFonts w:ascii="Arial" w:hAnsi="Arial" w:cs="Arial"/>
          <w:sz w:val="16"/>
        </w:rPr>
        <w:footnoteRef/>
      </w:r>
      <w:r w:rsidRPr="00AE689D">
        <w:rPr>
          <w:rFonts w:ascii="Arial" w:hAnsi="Arial" w:cs="Arial"/>
          <w:sz w:val="16"/>
        </w:rPr>
        <w:t xml:space="preserve"> See for example, a study in the </w:t>
      </w:r>
      <w:smartTag w:uri="urn:schemas-microsoft-com:office:smarttags" w:element="place">
        <w:smartTag w:uri="urn:schemas-microsoft-com:office:smarttags" w:element="country-region">
          <w:r w:rsidRPr="00AE689D">
            <w:rPr>
              <w:rFonts w:ascii="Arial" w:hAnsi="Arial" w:cs="Arial"/>
              <w:sz w:val="16"/>
            </w:rPr>
            <w:t>US</w:t>
          </w:r>
        </w:smartTag>
      </w:smartTag>
      <w:r w:rsidRPr="00AE689D">
        <w:rPr>
          <w:rFonts w:ascii="Arial" w:hAnsi="Arial" w:cs="Arial"/>
          <w:sz w:val="16"/>
        </w:rPr>
        <w:t xml:space="preserve"> debate over the digital dividend </w:t>
      </w:r>
      <w:r w:rsidRPr="00AE689D">
        <w:rPr>
          <w:rFonts w:ascii="Arial" w:hAnsi="Arial" w:cs="Arial"/>
          <w:sz w:val="16"/>
          <w:szCs w:val="16"/>
        </w:rPr>
        <w:t xml:space="preserve">The Brattle Group. The Need for Additional Spectrum for Wireless Broadband: The Economic Benefits and Costs of Reallocations. </w:t>
      </w:r>
      <w:hyperlink r:id="rId1" w:history="1">
        <w:r w:rsidRPr="00AE689D">
          <w:rPr>
            <w:rStyle w:val="Hyperlink"/>
            <w:rFonts w:ascii="Arial" w:hAnsi="Arial" w:cs="Arial"/>
            <w:sz w:val="16"/>
            <w:szCs w:val="16"/>
          </w:rPr>
          <w:t>http://www.brattle.com/_documents/UploadLibrary/Upload809.pdf</w:t>
        </w:r>
      </w:hyperlink>
    </w:p>
  </w:footnote>
  <w:footnote w:id="2">
    <w:p w:rsidR="00075549" w:rsidRDefault="00075549" w:rsidP="006B1711">
      <w:pPr>
        <w:pStyle w:val="FootnoteText"/>
      </w:pPr>
      <w:r w:rsidRPr="00AE689D">
        <w:rPr>
          <w:rStyle w:val="FootnoteReference"/>
          <w:rFonts w:ascii="Arial" w:hAnsi="Arial" w:cs="Arial"/>
          <w:sz w:val="16"/>
        </w:rPr>
        <w:footnoteRef/>
      </w:r>
      <w:r w:rsidRPr="00AE689D">
        <w:rPr>
          <w:rFonts w:ascii="Arial" w:hAnsi="Arial" w:cs="Arial"/>
          <w:sz w:val="16"/>
        </w:rPr>
        <w:t xml:space="preserve"> The social discount rate should be used for these calculations.  The EC’s Impact Assessment Guidelines propose a social discount rate </w:t>
      </w:r>
      <w:hyperlink r:id="rId2" w:history="1">
        <w:r w:rsidRPr="00AE689D">
          <w:rPr>
            <w:rStyle w:val="Hyperlink"/>
            <w:rFonts w:ascii="Arial" w:hAnsi="Arial" w:cs="Arial"/>
            <w:sz w:val="16"/>
            <w:szCs w:val="16"/>
          </w:rPr>
          <w:t>http://ec.europa.eu/governance/impact/commission_guidelines/docs/ia_guidelines_annexes_en.pdf</w:t>
        </w:r>
      </w:hyperlink>
    </w:p>
  </w:footnote>
  <w:footnote w:id="3">
    <w:p w:rsidR="00075549" w:rsidRDefault="00075549" w:rsidP="00E12A21">
      <w:pPr>
        <w:pStyle w:val="FootnoteText"/>
      </w:pPr>
      <w:r w:rsidRPr="00AE689D">
        <w:rPr>
          <w:rStyle w:val="FootnoteReference"/>
          <w:rFonts w:ascii="Arial" w:hAnsi="Arial" w:cs="Arial"/>
          <w:sz w:val="16"/>
          <w:szCs w:val="16"/>
        </w:rPr>
        <w:footnoteRef/>
      </w:r>
      <w:r w:rsidRPr="00AE689D">
        <w:rPr>
          <w:rFonts w:ascii="Arial" w:hAnsi="Arial" w:cs="Arial"/>
          <w:sz w:val="16"/>
          <w:szCs w:val="16"/>
        </w:rPr>
        <w:t xml:space="preserve"> See for example, Boardman </w:t>
      </w:r>
      <w:r w:rsidRPr="00AE689D">
        <w:rPr>
          <w:rFonts w:ascii="Arial" w:hAnsi="Arial" w:cs="Arial"/>
          <w:i/>
          <w:sz w:val="16"/>
          <w:szCs w:val="16"/>
        </w:rPr>
        <w:t>et al</w:t>
      </w:r>
      <w:r w:rsidRPr="00AE689D">
        <w:rPr>
          <w:rFonts w:ascii="Arial" w:hAnsi="Arial" w:cs="Arial"/>
          <w:sz w:val="16"/>
          <w:szCs w:val="16"/>
        </w:rPr>
        <w:t>.  2006.  Cost-benefit analysis – concepts and practice.  Third Edition.</w:t>
      </w:r>
    </w:p>
  </w:footnote>
  <w:footnote w:id="4">
    <w:p w:rsidR="00075549" w:rsidRDefault="00075549" w:rsidP="00E12A21">
      <w:pPr>
        <w:pStyle w:val="FootnoteText"/>
      </w:pPr>
      <w:r w:rsidRPr="00AE689D">
        <w:rPr>
          <w:rStyle w:val="FootnoteReference"/>
          <w:rFonts w:ascii="Arial" w:hAnsi="Arial" w:cs="Arial"/>
          <w:sz w:val="16"/>
          <w:szCs w:val="16"/>
        </w:rPr>
        <w:footnoteRef/>
      </w:r>
      <w:r w:rsidRPr="00AE689D">
        <w:rPr>
          <w:rFonts w:ascii="Arial" w:hAnsi="Arial" w:cs="Arial"/>
          <w:sz w:val="16"/>
          <w:szCs w:val="16"/>
        </w:rPr>
        <w:t xml:space="preserve"> http://www.analysysmason.com/EC_digital_dividend_study </w:t>
      </w:r>
      <w:bookmarkStart w:id="0" w:name="_GoBack"/>
      <w:bookmarkEnd w:id="0"/>
    </w:p>
  </w:footnote>
  <w:footnote w:id="5">
    <w:p w:rsidR="00075549" w:rsidRDefault="00075549" w:rsidP="00CC369E">
      <w:pPr>
        <w:pStyle w:val="FootnoteText"/>
      </w:pPr>
      <w:r w:rsidRPr="00AE689D">
        <w:rPr>
          <w:rStyle w:val="FootnoteReference"/>
          <w:rFonts w:ascii="Arial" w:hAnsi="Arial" w:cs="Arial"/>
          <w:sz w:val="16"/>
          <w:szCs w:val="16"/>
        </w:rPr>
        <w:footnoteRef/>
      </w:r>
      <w:r w:rsidRPr="00AE689D">
        <w:rPr>
          <w:rFonts w:ascii="Arial" w:hAnsi="Arial" w:cs="Arial"/>
          <w:sz w:val="16"/>
          <w:szCs w:val="16"/>
        </w:rPr>
        <w:t xml:space="preserve"> See for example, a study in the </w:t>
      </w:r>
      <w:smartTag w:uri="urn:schemas-microsoft-com:office:smarttags" w:element="place">
        <w:smartTag w:uri="urn:schemas-microsoft-com:office:smarttags" w:element="country-region">
          <w:r w:rsidRPr="00AE689D">
            <w:rPr>
              <w:rFonts w:ascii="Arial" w:hAnsi="Arial" w:cs="Arial"/>
              <w:sz w:val="16"/>
              <w:szCs w:val="16"/>
            </w:rPr>
            <w:t>US</w:t>
          </w:r>
        </w:smartTag>
      </w:smartTag>
      <w:r w:rsidRPr="00AE689D">
        <w:rPr>
          <w:rFonts w:ascii="Arial" w:hAnsi="Arial" w:cs="Arial"/>
          <w:sz w:val="16"/>
          <w:szCs w:val="16"/>
        </w:rPr>
        <w:t xml:space="preserve"> debate over the digital dividend The Brattle Group. The Need for Additional Spectrum for Wireless Broadband: The Economic Benefits and Costs of Reallocations. </w:t>
      </w:r>
      <w:hyperlink r:id="rId3" w:history="1">
        <w:r w:rsidRPr="00AE689D">
          <w:rPr>
            <w:rStyle w:val="Hyperlink"/>
            <w:rFonts w:ascii="Arial" w:hAnsi="Arial" w:cs="Arial"/>
            <w:sz w:val="16"/>
            <w:szCs w:val="16"/>
          </w:rPr>
          <w:t>http://www.brattle.com/_documents/UploadLibrary/Upload809.pdf</w:t>
        </w:r>
      </w:hyperlink>
    </w:p>
  </w:footnote>
  <w:footnote w:id="6">
    <w:p w:rsidR="00075549" w:rsidRDefault="00075549" w:rsidP="000A1BB2">
      <w:pPr>
        <w:pStyle w:val="FootnoteText"/>
        <w:spacing w:line="286" w:lineRule="auto"/>
      </w:pPr>
      <w:r w:rsidRPr="00AE689D">
        <w:rPr>
          <w:rStyle w:val="FootnoteReference"/>
          <w:rFonts w:ascii="Arial" w:hAnsi="Arial" w:cs="Arial"/>
          <w:sz w:val="16"/>
          <w:szCs w:val="16"/>
        </w:rPr>
        <w:footnoteRef/>
      </w:r>
      <w:r w:rsidRPr="00AE689D">
        <w:rPr>
          <w:rFonts w:ascii="Arial" w:hAnsi="Arial" w:cs="Arial"/>
          <w:sz w:val="16"/>
          <w:szCs w:val="16"/>
        </w:rPr>
        <w:t xml:space="preserve"> For example see </w:t>
      </w:r>
      <w:r w:rsidRPr="00AE689D">
        <w:rPr>
          <w:rFonts w:ascii="Arial" w:hAnsi="Arial" w:cs="Arial"/>
          <w:i/>
          <w:sz w:val="16"/>
          <w:szCs w:val="16"/>
        </w:rPr>
        <w:t>Jerry Hausman. 2002.  “Mobile Telephone”, Handbook of Telecommunications Economics, Volume 1, Elsevier</w:t>
      </w:r>
      <w:r w:rsidRPr="00AE689D">
        <w:rPr>
          <w:rFonts w:ascii="Arial" w:hAnsi="Arial" w:cs="Arial"/>
          <w:sz w:val="16"/>
          <w:szCs w:val="16"/>
        </w:rPr>
        <w:t xml:space="preserve"> and </w:t>
      </w:r>
      <w:smartTag w:uri="urn:schemas-microsoft-com:office:smarttags" w:element="place">
        <w:r w:rsidRPr="00AE689D">
          <w:rPr>
            <w:rFonts w:ascii="Arial" w:hAnsi="Arial" w:cs="Arial"/>
            <w:i/>
            <w:sz w:val="16"/>
            <w:szCs w:val="16"/>
          </w:rPr>
          <w:t>Europe</w:t>
        </w:r>
      </w:smartTag>
      <w:r w:rsidRPr="00AE689D">
        <w:rPr>
          <w:rFonts w:ascii="Arial" w:hAnsi="Arial" w:cs="Arial"/>
          <w:i/>
          <w:sz w:val="16"/>
          <w:szCs w:val="16"/>
        </w:rPr>
        <w:t xml:space="preserve"> Economics. 2006.  “Economic Impact of the use of radio spectrum in the </w:t>
      </w:r>
      <w:smartTag w:uri="urn:schemas-microsoft-com:office:smarttags" w:element="place">
        <w:smartTag w:uri="urn:schemas-microsoft-com:office:smarttags" w:element="country-region">
          <w:r w:rsidRPr="00AE689D">
            <w:rPr>
              <w:rFonts w:ascii="Arial" w:hAnsi="Arial" w:cs="Arial"/>
              <w:i/>
              <w:sz w:val="16"/>
              <w:szCs w:val="16"/>
            </w:rPr>
            <w:t>UK</w:t>
          </w:r>
        </w:smartTag>
      </w:smartTag>
      <w:r w:rsidRPr="00AE689D">
        <w:rPr>
          <w:rFonts w:ascii="Arial" w:hAnsi="Arial" w:cs="Arial"/>
          <w:i/>
          <w:sz w:val="16"/>
          <w:szCs w:val="16"/>
        </w:rPr>
        <w:t>”</w:t>
      </w:r>
    </w:p>
  </w:footnote>
  <w:footnote w:id="7">
    <w:p w:rsidR="00075549" w:rsidRDefault="00075549" w:rsidP="000A1BB2">
      <w:pPr>
        <w:pStyle w:val="FootnoteText"/>
      </w:pPr>
      <w:r w:rsidRPr="00AE689D">
        <w:rPr>
          <w:rStyle w:val="FootnoteReference"/>
          <w:rFonts w:ascii="Arial" w:hAnsi="Arial" w:cs="Arial"/>
          <w:sz w:val="16"/>
        </w:rPr>
        <w:footnoteRef/>
      </w:r>
      <w:r w:rsidRPr="00AE689D">
        <w:rPr>
          <w:rFonts w:ascii="Arial" w:hAnsi="Arial" w:cs="Arial"/>
          <w:sz w:val="16"/>
        </w:rPr>
        <w:t xml:space="preserve"> See for example Report by the Commission on the Measurement of Economic Performance and Social Progress, Professors Stiglitz, Sen and Fitoussi, A report for the French President, 2008</w:t>
      </w:r>
    </w:p>
  </w:footnote>
  <w:footnote w:id="8">
    <w:p w:rsidR="00075549" w:rsidRDefault="00075549" w:rsidP="000A1BB2">
      <w:pPr>
        <w:pStyle w:val="FootnoteText"/>
        <w:spacing w:line="220" w:lineRule="exact"/>
      </w:pPr>
      <w:r w:rsidRPr="00AE689D">
        <w:rPr>
          <w:rStyle w:val="FootnoteReference"/>
          <w:rFonts w:ascii="Arial" w:hAnsi="Arial" w:cs="Arial"/>
          <w:sz w:val="16"/>
          <w:szCs w:val="16"/>
        </w:rPr>
        <w:footnoteRef/>
      </w:r>
      <w:r w:rsidRPr="00AE689D">
        <w:rPr>
          <w:rFonts w:ascii="Arial" w:hAnsi="Arial" w:cs="Arial"/>
          <w:sz w:val="16"/>
          <w:szCs w:val="16"/>
        </w:rPr>
        <w:t xml:space="preserve"> Department for Transport.  2003.  “Value of travel time savings in the UK: summary report.”  </w:t>
      </w:r>
      <w:hyperlink r:id="rId4" w:history="1">
        <w:r w:rsidRPr="00AE689D">
          <w:rPr>
            <w:rStyle w:val="Hyperlink"/>
            <w:rFonts w:ascii="Arial" w:hAnsi="Arial" w:cs="Arial"/>
            <w:sz w:val="16"/>
            <w:szCs w:val="16"/>
          </w:rPr>
          <w:t>http://www.dft.gov.uk/pdf/pgr/economics/rdg/valueoftraveltimesavingsinth3130</w:t>
        </w:r>
      </w:hyperlink>
      <w:r w:rsidRPr="00AE689D">
        <w:rPr>
          <w:rFonts w:ascii="Arial" w:hAnsi="Arial" w:cs="Arial"/>
          <w:sz w:val="16"/>
          <w:szCs w:val="16"/>
        </w:rPr>
        <w:t xml:space="preserve"> </w:t>
      </w:r>
    </w:p>
  </w:footnote>
  <w:footnote w:id="9">
    <w:p w:rsidR="00075549" w:rsidRDefault="00075549" w:rsidP="000A1BB2">
      <w:pPr>
        <w:pStyle w:val="FootnoteText"/>
      </w:pPr>
      <w:r w:rsidRPr="00AE689D">
        <w:rPr>
          <w:rStyle w:val="FootnoteReference"/>
          <w:rFonts w:ascii="Arial" w:hAnsi="Arial" w:cs="Arial"/>
          <w:sz w:val="16"/>
        </w:rPr>
        <w:footnoteRef/>
      </w:r>
      <w:r w:rsidRPr="00AE689D">
        <w:rPr>
          <w:rFonts w:ascii="Arial" w:hAnsi="Arial" w:cs="Arial"/>
          <w:sz w:val="16"/>
        </w:rPr>
        <w:t xml:space="preserve"> Handbook of Environmental Economics, Volume 2, Valuing Environmental Changes, Elsevier, 2005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C22427A"/>
    <w:lvl w:ilvl="0">
      <w:start w:val="1"/>
      <w:numFmt w:val="decimal"/>
      <w:lvlText w:val="%1."/>
      <w:lvlJc w:val="left"/>
      <w:pPr>
        <w:tabs>
          <w:tab w:val="num" w:pos="1492"/>
        </w:tabs>
        <w:ind w:left="1492" w:hanging="360"/>
      </w:pPr>
      <w:rPr>
        <w:rFonts w:cs="Times New Roman"/>
      </w:rPr>
    </w:lvl>
  </w:abstractNum>
  <w:abstractNum w:abstractNumId="1">
    <w:nsid w:val="FFFFFF7E"/>
    <w:multiLevelType w:val="singleLevel"/>
    <w:tmpl w:val="7E506574"/>
    <w:lvl w:ilvl="0">
      <w:start w:val="1"/>
      <w:numFmt w:val="decimal"/>
      <w:pStyle w:val="ListNumber5"/>
      <w:lvlText w:val="%1."/>
      <w:lvlJc w:val="left"/>
      <w:pPr>
        <w:tabs>
          <w:tab w:val="num" w:pos="926"/>
        </w:tabs>
        <w:ind w:left="926" w:hanging="360"/>
      </w:pPr>
      <w:rPr>
        <w:rFonts w:cs="Times New Roman"/>
      </w:rPr>
    </w:lvl>
  </w:abstractNum>
  <w:abstractNum w:abstractNumId="2">
    <w:nsid w:val="FFFFFFFE"/>
    <w:multiLevelType w:val="singleLevel"/>
    <w:tmpl w:val="E19467C2"/>
    <w:lvl w:ilvl="0">
      <w:numFmt w:val="decimal"/>
      <w:lvlText w:val="*"/>
      <w:lvlJc w:val="left"/>
      <w:rPr>
        <w:rFonts w:cs="Times New Roman"/>
      </w:rPr>
    </w:lvl>
  </w:abstractNum>
  <w:abstractNum w:abstractNumId="3">
    <w:nsid w:val="0B8A51B0"/>
    <w:multiLevelType w:val="hybridMultilevel"/>
    <w:tmpl w:val="282A157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4">
    <w:nsid w:val="0BEA4F39"/>
    <w:multiLevelType w:val="multilevel"/>
    <w:tmpl w:val="EFB6D65A"/>
    <w:lvl w:ilvl="0">
      <w:start w:val="4"/>
      <w:numFmt w:val="decimal"/>
      <w:lvlText w:val="%1"/>
      <w:lvlJc w:val="left"/>
      <w:pPr>
        <w:tabs>
          <w:tab w:val="num" w:pos="420"/>
        </w:tabs>
        <w:ind w:left="420" w:hanging="420"/>
      </w:pPr>
      <w:rPr>
        <w:rFonts w:cs="Times New Roman"/>
        <w:b/>
        <w:bCs/>
      </w:rPr>
    </w:lvl>
    <w:lvl w:ilvl="1">
      <w:start w:val="13"/>
      <w:numFmt w:val="decimal"/>
      <w:lvlText w:val="%1.%2"/>
      <w:lvlJc w:val="left"/>
      <w:pPr>
        <w:tabs>
          <w:tab w:val="num" w:pos="420"/>
        </w:tabs>
        <w:ind w:left="420" w:hanging="42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5">
    <w:nsid w:val="18995409"/>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92C6D6D"/>
    <w:multiLevelType w:val="multilevel"/>
    <w:tmpl w:val="D2EE72BE"/>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nsid w:val="201907F0"/>
    <w:multiLevelType w:val="hybridMultilevel"/>
    <w:tmpl w:val="0574A294"/>
    <w:lvl w:ilvl="0" w:tplc="15D617F2">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5B06DCE"/>
    <w:multiLevelType w:val="multilevel"/>
    <w:tmpl w:val="835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0C219E"/>
    <w:multiLevelType w:val="hybridMultilevel"/>
    <w:tmpl w:val="950EC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4B1302"/>
    <w:multiLevelType w:val="hybridMultilevel"/>
    <w:tmpl w:val="8EB66762"/>
    <w:lvl w:ilvl="0" w:tplc="73EA536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42DC3598"/>
    <w:multiLevelType w:val="multilevel"/>
    <w:tmpl w:val="74FC82BC"/>
    <w:lvl w:ilvl="0">
      <w:start w:val="4"/>
      <w:numFmt w:val="decimal"/>
      <w:lvlText w:val="%1"/>
      <w:lvlJc w:val="left"/>
      <w:pPr>
        <w:tabs>
          <w:tab w:val="num" w:pos="705"/>
        </w:tabs>
        <w:ind w:left="705" w:hanging="705"/>
      </w:pPr>
      <w:rPr>
        <w:rFonts w:cs="Times New Roman"/>
        <w:b/>
        <w:bCs/>
      </w:rPr>
    </w:lvl>
    <w:lvl w:ilvl="1">
      <w:start w:val="1"/>
      <w:numFmt w:val="decimal"/>
      <w:lvlText w:val="%1.%2"/>
      <w:lvlJc w:val="left"/>
      <w:pPr>
        <w:tabs>
          <w:tab w:val="num" w:pos="705"/>
        </w:tabs>
        <w:ind w:left="705" w:hanging="70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2">
    <w:nsid w:val="48495192"/>
    <w:multiLevelType w:val="hybridMultilevel"/>
    <w:tmpl w:val="0778C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A572D4F"/>
    <w:multiLevelType w:val="hybridMultilevel"/>
    <w:tmpl w:val="F5D0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567335"/>
    <w:multiLevelType w:val="hybridMultilevel"/>
    <w:tmpl w:val="6EBE034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nsid w:val="657A4DE7"/>
    <w:multiLevelType w:val="multilevel"/>
    <w:tmpl w:val="0410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CC104BF"/>
    <w:multiLevelType w:val="multilevel"/>
    <w:tmpl w:val="6A72EFD0"/>
    <w:lvl w:ilvl="0">
      <w:start w:val="1"/>
      <w:numFmt w:val="bullet"/>
      <w:lvlText w:val=""/>
      <w:lvlJc w:val="left"/>
      <w:pPr>
        <w:tabs>
          <w:tab w:val="num" w:pos="1065"/>
        </w:tabs>
        <w:ind w:left="1065" w:hanging="360"/>
      </w:pPr>
      <w:rPr>
        <w:rFonts w:ascii="Symbol" w:hAnsi="Symbol"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7">
    <w:nsid w:val="71DD7632"/>
    <w:multiLevelType w:val="multilevel"/>
    <w:tmpl w:val="C5F4B03E"/>
    <w:lvl w:ilvl="0">
      <w:start w:val="1"/>
      <w:numFmt w:val="decimal"/>
      <w:lvlText w:val="●"/>
      <w:lvlJc w:val="left"/>
      <w:pPr>
        <w:tabs>
          <w:tab w:val="num" w:pos="400"/>
        </w:tabs>
        <w:ind w:left="400" w:hanging="400"/>
      </w:pPr>
      <w:rPr>
        <w:rFonts w:ascii="Arial" w:hAnsi="Arial" w:cs="Arial"/>
        <w:color w:val="4F2683"/>
      </w:rPr>
    </w:lvl>
    <w:lvl w:ilvl="1">
      <w:start w:val="1"/>
      <w:numFmt w:val="lowerLetter"/>
      <w:lvlText w:val="–"/>
      <w:lvlJc w:val="left"/>
      <w:pPr>
        <w:tabs>
          <w:tab w:val="num" w:pos="800"/>
        </w:tabs>
        <w:ind w:left="800" w:hanging="400"/>
      </w:pPr>
      <w:rPr>
        <w:rFonts w:ascii="Arial" w:hAnsi="Arial" w:cs="Arial"/>
        <w:color w:val="4F2683"/>
      </w:rPr>
    </w:lvl>
    <w:lvl w:ilvl="2">
      <w:start w:val="1"/>
      <w:numFmt w:val="lowerRoman"/>
      <w:lvlText w:val="–"/>
      <w:lvlJc w:val="left"/>
      <w:pPr>
        <w:tabs>
          <w:tab w:val="num" w:pos="1200"/>
        </w:tabs>
        <w:ind w:left="1200" w:hanging="400"/>
      </w:pPr>
      <w:rPr>
        <w:rFonts w:ascii="Arial" w:hAnsi="Arial" w:cs="Arial"/>
        <w:color w:val="4F2683"/>
      </w:rPr>
    </w:lvl>
    <w:lvl w:ilvl="3">
      <w:start w:val="1"/>
      <w:numFmt w:val="decimal"/>
      <w:lvlText w:null="1"/>
      <w:lvlJc w:val="left"/>
      <w:pPr>
        <w:tabs>
          <w:tab w:val="num" w:pos="0"/>
        </w:tabs>
      </w:pPr>
      <w:rPr>
        <w:rFonts w:cs="Times New Roman"/>
        <w:color w:val="000000"/>
      </w:rPr>
    </w:lvl>
    <w:lvl w:ilvl="4">
      <w:start w:val="1"/>
      <w:numFmt w:val="lowerLetter"/>
      <w:lvlText w:null="1"/>
      <w:lvlJc w:val="left"/>
      <w:pPr>
        <w:tabs>
          <w:tab w:val="num" w:pos="0"/>
        </w:tabs>
      </w:pPr>
      <w:rPr>
        <w:rFonts w:cs="Times New Roman"/>
        <w:color w:val="000000"/>
      </w:rPr>
    </w:lvl>
    <w:lvl w:ilvl="5">
      <w:start w:val="1"/>
      <w:numFmt w:val="lowerRoman"/>
      <w:lvlText w:null="1"/>
      <w:lvlJc w:val="left"/>
      <w:pPr>
        <w:tabs>
          <w:tab w:val="num" w:pos="0"/>
        </w:tabs>
      </w:pPr>
      <w:rPr>
        <w:rFonts w:cs="Times New Roman"/>
        <w:color w:val="000000"/>
      </w:rPr>
    </w:lvl>
    <w:lvl w:ilvl="6">
      <w:start w:val="1"/>
      <w:numFmt w:val="decimal"/>
      <w:lvlText w:null="1"/>
      <w:lvlJc w:val="left"/>
      <w:pPr>
        <w:tabs>
          <w:tab w:val="num" w:pos="0"/>
        </w:tabs>
      </w:pPr>
      <w:rPr>
        <w:rFonts w:cs="Times New Roman"/>
        <w:color w:val="000000"/>
      </w:rPr>
    </w:lvl>
    <w:lvl w:ilvl="7">
      <w:start w:val="1"/>
      <w:numFmt w:val="lowerLetter"/>
      <w:lvlText w:null="1"/>
      <w:lvlJc w:val="left"/>
      <w:pPr>
        <w:tabs>
          <w:tab w:val="num" w:pos="0"/>
        </w:tabs>
      </w:pPr>
      <w:rPr>
        <w:rFonts w:cs="Times New Roman"/>
        <w:color w:val="000000"/>
      </w:rPr>
    </w:lvl>
    <w:lvl w:ilvl="8">
      <w:start w:val="1"/>
      <w:numFmt w:val="lowerRoman"/>
      <w:lvlText w:null="1"/>
      <w:lvlJc w:val="left"/>
      <w:pPr>
        <w:tabs>
          <w:tab w:val="num" w:pos="0"/>
        </w:tabs>
      </w:pPr>
      <w:rPr>
        <w:rFonts w:cs="Times New Roman"/>
        <w:color w:val="000000"/>
      </w:rPr>
    </w:lvl>
  </w:abstractNum>
  <w:abstractNum w:abstractNumId="18">
    <w:nsid w:val="771D76F3"/>
    <w:multiLevelType w:val="hybridMultilevel"/>
    <w:tmpl w:val="25B03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E8172D4"/>
    <w:multiLevelType w:val="multilevel"/>
    <w:tmpl w:val="121866B2"/>
    <w:lvl w:ilvl="0">
      <w:start w:val="1"/>
      <w:numFmt w:val="decimal"/>
      <w:lvlText w:val=""/>
      <w:lvlJc w:val="left"/>
      <w:pPr>
        <w:tabs>
          <w:tab w:val="num" w:pos="760"/>
        </w:tabs>
        <w:ind w:left="760" w:hanging="400"/>
      </w:pPr>
      <w:rPr>
        <w:rFonts w:ascii="Symbol" w:hAnsi="Symbol" w:cs="Times New Roman" w:hint="default"/>
        <w:color w:val="4F2683"/>
      </w:rPr>
    </w:lvl>
    <w:lvl w:ilvl="1">
      <w:start w:val="1"/>
      <w:numFmt w:val="lowerLetter"/>
      <w:lvlText w:val="–"/>
      <w:lvlJc w:val="left"/>
      <w:pPr>
        <w:tabs>
          <w:tab w:val="num" w:pos="1160"/>
        </w:tabs>
        <w:ind w:left="1160" w:hanging="400"/>
      </w:pPr>
      <w:rPr>
        <w:rFonts w:ascii="Arial" w:hAnsi="Arial" w:cs="Arial"/>
        <w:color w:val="4F2683"/>
      </w:rPr>
    </w:lvl>
    <w:lvl w:ilvl="2">
      <w:start w:val="1"/>
      <w:numFmt w:val="lowerRoman"/>
      <w:lvlText w:val="–"/>
      <w:lvlJc w:val="left"/>
      <w:pPr>
        <w:tabs>
          <w:tab w:val="num" w:pos="1560"/>
        </w:tabs>
        <w:ind w:left="1560" w:hanging="400"/>
      </w:pPr>
      <w:rPr>
        <w:rFonts w:ascii="Arial" w:hAnsi="Arial" w:cs="Arial"/>
        <w:color w:val="4F2683"/>
      </w:rPr>
    </w:lvl>
    <w:lvl w:ilvl="3">
      <w:start w:val="1"/>
      <w:numFmt w:val="decimal"/>
      <w:lvlText w:val="·"/>
      <w:lvlJc w:val="left"/>
      <w:pPr>
        <w:tabs>
          <w:tab w:val="num" w:pos="1720"/>
        </w:tabs>
        <w:ind w:left="1720" w:hanging="340"/>
      </w:pPr>
      <w:rPr>
        <w:rFonts w:ascii="Symbol" w:hAnsi="Symbol" w:cs="Times New Roman" w:hint="default"/>
      </w:rPr>
    </w:lvl>
    <w:lvl w:ilvl="4">
      <w:start w:val="1"/>
      <w:numFmt w:val="lowerLetter"/>
      <w:lvlText w:val="·"/>
      <w:lvlJc w:val="left"/>
      <w:pPr>
        <w:tabs>
          <w:tab w:val="num" w:pos="2060"/>
        </w:tabs>
        <w:ind w:left="2060" w:hanging="340"/>
      </w:pPr>
      <w:rPr>
        <w:rFonts w:ascii="Symbol" w:hAnsi="Symbol" w:cs="Times New Roman" w:hint="default"/>
      </w:rPr>
    </w:lvl>
    <w:lvl w:ilvl="5">
      <w:start w:val="1"/>
      <w:numFmt w:val="lowerRoman"/>
      <w:lvlText w:val="·"/>
      <w:lvlJc w:val="left"/>
      <w:pPr>
        <w:tabs>
          <w:tab w:val="num" w:pos="2400"/>
        </w:tabs>
        <w:ind w:left="2400" w:hanging="340"/>
      </w:pPr>
      <w:rPr>
        <w:rFonts w:ascii="Symbol" w:hAnsi="Symbol" w:cs="Times New Roman" w:hint="default"/>
      </w:rPr>
    </w:lvl>
    <w:lvl w:ilvl="6">
      <w:start w:val="1"/>
      <w:numFmt w:val="decimal"/>
      <w:lvlText w:val="·"/>
      <w:lvlJc w:val="left"/>
      <w:pPr>
        <w:tabs>
          <w:tab w:val="num" w:pos="2740"/>
        </w:tabs>
        <w:ind w:left="2740" w:hanging="340"/>
      </w:pPr>
      <w:rPr>
        <w:rFonts w:ascii="Symbol" w:hAnsi="Symbol" w:cs="Times New Roman" w:hint="default"/>
      </w:rPr>
    </w:lvl>
    <w:lvl w:ilvl="7">
      <w:start w:val="1"/>
      <w:numFmt w:val="lowerLetter"/>
      <w:lvlText w:val="·"/>
      <w:lvlJc w:val="left"/>
      <w:pPr>
        <w:tabs>
          <w:tab w:val="num" w:pos="3080"/>
        </w:tabs>
        <w:ind w:left="3080" w:hanging="340"/>
      </w:pPr>
      <w:rPr>
        <w:rFonts w:ascii="Symbol" w:hAnsi="Symbol" w:cs="Times New Roman" w:hint="default"/>
      </w:rPr>
    </w:lvl>
    <w:lvl w:ilvl="8">
      <w:start w:val="1"/>
      <w:numFmt w:val="lowerRoman"/>
      <w:lvlText w:val="·"/>
      <w:lvlJc w:val="left"/>
      <w:pPr>
        <w:tabs>
          <w:tab w:val="num" w:pos="3420"/>
        </w:tabs>
        <w:ind w:left="3420" w:hanging="340"/>
      </w:pPr>
      <w:rPr>
        <w:rFonts w:ascii="Symbol" w:hAnsi="Symbol" w:cs="Times New Roman" w:hint="default"/>
      </w:rPr>
    </w:lvl>
  </w:abstractNum>
  <w:abstractNum w:abstractNumId="20">
    <w:nsid w:val="7E8915FE"/>
    <w:multiLevelType w:val="hybridMultilevel"/>
    <w:tmpl w:val="CE7E73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4"/>
  </w:num>
  <w:num w:numId="4">
    <w:abstractNumId w:val="15"/>
  </w:num>
  <w:num w:numId="5">
    <w:abstractNumId w:val="6"/>
  </w:num>
  <w:num w:numId="6">
    <w:abstractNumId w:val="5"/>
  </w:num>
  <w:num w:numId="7">
    <w:abstractNumId w:val="7"/>
  </w:num>
  <w:num w:numId="8">
    <w:abstractNumId w:val="20"/>
  </w:num>
  <w:num w:numId="9">
    <w:abstractNumId w:val="10"/>
  </w:num>
  <w:num w:numId="10">
    <w:abstractNumId w:val="8"/>
  </w:num>
  <w:num w:numId="11">
    <w:abstractNumId w:val="3"/>
  </w:num>
  <w:num w:numId="1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4"/>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 w:ilvl="0">
        <w:numFmt w:val="bullet"/>
        <w:lvlText w:val=""/>
        <w:legacy w:legacy="1" w:legacySpace="0" w:legacyIndent="360"/>
        <w:lvlJc w:val="left"/>
        <w:pPr>
          <w:ind w:left="360" w:hanging="360"/>
        </w:pPr>
        <w:rPr>
          <w:rFonts w:ascii="Symbol" w:hAnsi="Symbol" w:hint="default"/>
        </w:rPr>
      </w:lvl>
    </w:lvlOverride>
  </w:num>
  <w:num w:numId="16">
    <w:abstractNumId w:val="19"/>
  </w:num>
  <w:num w:numId="17">
    <w:abstractNumId w:val="17"/>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8"/>
  </w:num>
  <w:num w:numId="21">
    <w:abstractNumId w:val="1"/>
  </w:num>
  <w:num w:numId="22">
    <w:abstractNumId w:val="1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34E"/>
    <w:rsid w:val="000031DE"/>
    <w:rsid w:val="000071D1"/>
    <w:rsid w:val="00011F35"/>
    <w:rsid w:val="00040D49"/>
    <w:rsid w:val="00041FAD"/>
    <w:rsid w:val="00054FF3"/>
    <w:rsid w:val="00075549"/>
    <w:rsid w:val="00083D11"/>
    <w:rsid w:val="00094585"/>
    <w:rsid w:val="000A1BB2"/>
    <w:rsid w:val="000A3DD0"/>
    <w:rsid w:val="000B18DF"/>
    <w:rsid w:val="000B2084"/>
    <w:rsid w:val="000C27CD"/>
    <w:rsid w:val="000E340F"/>
    <w:rsid w:val="000F11CB"/>
    <w:rsid w:val="000F26BC"/>
    <w:rsid w:val="00100397"/>
    <w:rsid w:val="001167AA"/>
    <w:rsid w:val="00124174"/>
    <w:rsid w:val="001437D9"/>
    <w:rsid w:val="001475B1"/>
    <w:rsid w:val="00153BF8"/>
    <w:rsid w:val="00155949"/>
    <w:rsid w:val="001565BD"/>
    <w:rsid w:val="00161304"/>
    <w:rsid w:val="00164BE1"/>
    <w:rsid w:val="001737E8"/>
    <w:rsid w:val="001A657D"/>
    <w:rsid w:val="001C604F"/>
    <w:rsid w:val="001E618D"/>
    <w:rsid w:val="001F3A55"/>
    <w:rsid w:val="001F3CB4"/>
    <w:rsid w:val="001F46BF"/>
    <w:rsid w:val="0020378E"/>
    <w:rsid w:val="00214472"/>
    <w:rsid w:val="00224A99"/>
    <w:rsid w:val="00224AB5"/>
    <w:rsid w:val="00240165"/>
    <w:rsid w:val="00247BE3"/>
    <w:rsid w:val="00263510"/>
    <w:rsid w:val="0026718B"/>
    <w:rsid w:val="00286AF0"/>
    <w:rsid w:val="002906A9"/>
    <w:rsid w:val="00295F8C"/>
    <w:rsid w:val="002A15F2"/>
    <w:rsid w:val="002A47C6"/>
    <w:rsid w:val="002B5E6D"/>
    <w:rsid w:val="002B7C27"/>
    <w:rsid w:val="002C4F52"/>
    <w:rsid w:val="002F3C06"/>
    <w:rsid w:val="002F5FFC"/>
    <w:rsid w:val="0030009E"/>
    <w:rsid w:val="00301217"/>
    <w:rsid w:val="003107DC"/>
    <w:rsid w:val="00312175"/>
    <w:rsid w:val="00333D56"/>
    <w:rsid w:val="00336D21"/>
    <w:rsid w:val="0034457C"/>
    <w:rsid w:val="003452C0"/>
    <w:rsid w:val="00354D7E"/>
    <w:rsid w:val="00354E43"/>
    <w:rsid w:val="00355686"/>
    <w:rsid w:val="00363BB4"/>
    <w:rsid w:val="003646BB"/>
    <w:rsid w:val="00367429"/>
    <w:rsid w:val="00371244"/>
    <w:rsid w:val="003748A9"/>
    <w:rsid w:val="0037628F"/>
    <w:rsid w:val="00384D14"/>
    <w:rsid w:val="0039594D"/>
    <w:rsid w:val="00395B54"/>
    <w:rsid w:val="003A4920"/>
    <w:rsid w:val="003A4E79"/>
    <w:rsid w:val="003C0279"/>
    <w:rsid w:val="003C4AEA"/>
    <w:rsid w:val="003F099C"/>
    <w:rsid w:val="003F1641"/>
    <w:rsid w:val="00407BC1"/>
    <w:rsid w:val="0041749A"/>
    <w:rsid w:val="00417A7D"/>
    <w:rsid w:val="00452EFB"/>
    <w:rsid w:val="00483358"/>
    <w:rsid w:val="004A78C1"/>
    <w:rsid w:val="004A7DD7"/>
    <w:rsid w:val="004B64F4"/>
    <w:rsid w:val="004E4E74"/>
    <w:rsid w:val="005034E2"/>
    <w:rsid w:val="0051454C"/>
    <w:rsid w:val="00527D93"/>
    <w:rsid w:val="00535D8A"/>
    <w:rsid w:val="0053749D"/>
    <w:rsid w:val="005612CB"/>
    <w:rsid w:val="00562793"/>
    <w:rsid w:val="00592EDB"/>
    <w:rsid w:val="005C7361"/>
    <w:rsid w:val="005C7409"/>
    <w:rsid w:val="005D4967"/>
    <w:rsid w:val="00604D5B"/>
    <w:rsid w:val="006275D0"/>
    <w:rsid w:val="00650A33"/>
    <w:rsid w:val="0065594B"/>
    <w:rsid w:val="0066255B"/>
    <w:rsid w:val="00662E6C"/>
    <w:rsid w:val="00671ADF"/>
    <w:rsid w:val="00684CFE"/>
    <w:rsid w:val="0068651D"/>
    <w:rsid w:val="0069239F"/>
    <w:rsid w:val="006A0771"/>
    <w:rsid w:val="006A0DE9"/>
    <w:rsid w:val="006A3986"/>
    <w:rsid w:val="006B1711"/>
    <w:rsid w:val="006B3DF4"/>
    <w:rsid w:val="006D1E70"/>
    <w:rsid w:val="006E2AF1"/>
    <w:rsid w:val="006E762F"/>
    <w:rsid w:val="006F4B9F"/>
    <w:rsid w:val="00770899"/>
    <w:rsid w:val="00795069"/>
    <w:rsid w:val="007A3561"/>
    <w:rsid w:val="007C0DD2"/>
    <w:rsid w:val="007C1795"/>
    <w:rsid w:val="007D218D"/>
    <w:rsid w:val="007D6ACE"/>
    <w:rsid w:val="007E5E95"/>
    <w:rsid w:val="007E6D83"/>
    <w:rsid w:val="00811644"/>
    <w:rsid w:val="00824C8F"/>
    <w:rsid w:val="00841751"/>
    <w:rsid w:val="008629EA"/>
    <w:rsid w:val="00864282"/>
    <w:rsid w:val="00870989"/>
    <w:rsid w:val="00877760"/>
    <w:rsid w:val="00886EE0"/>
    <w:rsid w:val="008D79EE"/>
    <w:rsid w:val="008F7AD7"/>
    <w:rsid w:val="00924443"/>
    <w:rsid w:val="00933FF2"/>
    <w:rsid w:val="00981DAD"/>
    <w:rsid w:val="00997BF5"/>
    <w:rsid w:val="009A34D9"/>
    <w:rsid w:val="009A681E"/>
    <w:rsid w:val="009C16FD"/>
    <w:rsid w:val="009D1EE7"/>
    <w:rsid w:val="009F001F"/>
    <w:rsid w:val="009F01BA"/>
    <w:rsid w:val="009F05FF"/>
    <w:rsid w:val="009F45D4"/>
    <w:rsid w:val="009F52A3"/>
    <w:rsid w:val="00A3734E"/>
    <w:rsid w:val="00A447F0"/>
    <w:rsid w:val="00A60878"/>
    <w:rsid w:val="00A6497B"/>
    <w:rsid w:val="00A667A2"/>
    <w:rsid w:val="00A72B16"/>
    <w:rsid w:val="00A73F45"/>
    <w:rsid w:val="00A76F17"/>
    <w:rsid w:val="00A843EA"/>
    <w:rsid w:val="00A90B8D"/>
    <w:rsid w:val="00A96A89"/>
    <w:rsid w:val="00AC6FC1"/>
    <w:rsid w:val="00AD2834"/>
    <w:rsid w:val="00AE689D"/>
    <w:rsid w:val="00AE7C07"/>
    <w:rsid w:val="00B34EB9"/>
    <w:rsid w:val="00B359FC"/>
    <w:rsid w:val="00B50140"/>
    <w:rsid w:val="00B50668"/>
    <w:rsid w:val="00B61E7E"/>
    <w:rsid w:val="00B64FFB"/>
    <w:rsid w:val="00B80619"/>
    <w:rsid w:val="00B852A1"/>
    <w:rsid w:val="00B85E85"/>
    <w:rsid w:val="00BA42EE"/>
    <w:rsid w:val="00BB5518"/>
    <w:rsid w:val="00BD47AA"/>
    <w:rsid w:val="00BE09E3"/>
    <w:rsid w:val="00BF4193"/>
    <w:rsid w:val="00BF4328"/>
    <w:rsid w:val="00C04E5D"/>
    <w:rsid w:val="00C25429"/>
    <w:rsid w:val="00C414C1"/>
    <w:rsid w:val="00C44DFE"/>
    <w:rsid w:val="00C52917"/>
    <w:rsid w:val="00C83A05"/>
    <w:rsid w:val="00CA0C7B"/>
    <w:rsid w:val="00CA35A6"/>
    <w:rsid w:val="00CB0671"/>
    <w:rsid w:val="00CB6008"/>
    <w:rsid w:val="00CC369E"/>
    <w:rsid w:val="00CD2EFB"/>
    <w:rsid w:val="00CD7134"/>
    <w:rsid w:val="00CE226E"/>
    <w:rsid w:val="00CE37F8"/>
    <w:rsid w:val="00CF613B"/>
    <w:rsid w:val="00D0009B"/>
    <w:rsid w:val="00D06068"/>
    <w:rsid w:val="00D31267"/>
    <w:rsid w:val="00D43F12"/>
    <w:rsid w:val="00D46C4B"/>
    <w:rsid w:val="00D670E7"/>
    <w:rsid w:val="00D72AFD"/>
    <w:rsid w:val="00D852BF"/>
    <w:rsid w:val="00D95384"/>
    <w:rsid w:val="00D96C9F"/>
    <w:rsid w:val="00D97BDC"/>
    <w:rsid w:val="00DD6B9D"/>
    <w:rsid w:val="00DE5835"/>
    <w:rsid w:val="00E12A21"/>
    <w:rsid w:val="00E133FF"/>
    <w:rsid w:val="00E51D71"/>
    <w:rsid w:val="00E552E0"/>
    <w:rsid w:val="00E72FC8"/>
    <w:rsid w:val="00E76E16"/>
    <w:rsid w:val="00E843BC"/>
    <w:rsid w:val="00E96E72"/>
    <w:rsid w:val="00EA1831"/>
    <w:rsid w:val="00EB58D7"/>
    <w:rsid w:val="00EB6D32"/>
    <w:rsid w:val="00EC1DE8"/>
    <w:rsid w:val="00EE3899"/>
    <w:rsid w:val="00EF12AF"/>
    <w:rsid w:val="00EF27CA"/>
    <w:rsid w:val="00F01886"/>
    <w:rsid w:val="00F03A95"/>
    <w:rsid w:val="00F124F8"/>
    <w:rsid w:val="00F27776"/>
    <w:rsid w:val="00F307E5"/>
    <w:rsid w:val="00F35BEF"/>
    <w:rsid w:val="00F41ACC"/>
    <w:rsid w:val="00F426A7"/>
    <w:rsid w:val="00F56FB2"/>
    <w:rsid w:val="00F62EF7"/>
    <w:rsid w:val="00F720BA"/>
    <w:rsid w:val="00F92E14"/>
    <w:rsid w:val="00F93B13"/>
    <w:rsid w:val="00F948BE"/>
    <w:rsid w:val="00FA3642"/>
    <w:rsid w:val="00FC3BC8"/>
    <w:rsid w:val="00FD0EAF"/>
    <w:rsid w:val="00FE3AE2"/>
    <w:rsid w:val="00FF2C0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List Number 5"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D96C9F"/>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uiPriority w:val="99"/>
    <w:qFormat/>
    <w:locked/>
    <w:rsid w:val="000E340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D96C9F"/>
    <w:pPr>
      <w:keepNext/>
      <w:spacing w:before="240" w:after="60"/>
      <w:outlineLvl w:val="2"/>
    </w:pPr>
    <w:rPr>
      <w:rFonts w:ascii="Calibri" w:hAnsi="Calibri"/>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6C9F"/>
    <w:rPr>
      <w:rFonts w:ascii="Calibri" w:hAnsi="Calibri"/>
      <w:b/>
      <w:kern w:val="32"/>
      <w:sz w:val="32"/>
      <w:lang w:val="fr-FR" w:eastAsia="fr-FR"/>
    </w:rPr>
  </w:style>
  <w:style w:type="character" w:customStyle="1" w:styleId="Heading2Char">
    <w:name w:val="Heading 2 Char"/>
    <w:basedOn w:val="DefaultParagraphFont"/>
    <w:link w:val="Heading2"/>
    <w:uiPriority w:val="99"/>
    <w:semiHidden/>
    <w:locked/>
    <w:rsid w:val="000E340F"/>
    <w:rPr>
      <w:rFonts w:ascii="Cambria" w:hAnsi="Cambria" w:cs="Times New Roman"/>
      <w:b/>
      <w:bCs/>
      <w:i/>
      <w:iCs/>
      <w:sz w:val="28"/>
      <w:szCs w:val="28"/>
      <w:lang w:val="fr-FR" w:eastAsia="fr-FR"/>
    </w:rPr>
  </w:style>
  <w:style w:type="character" w:customStyle="1" w:styleId="Heading3Char">
    <w:name w:val="Heading 3 Char"/>
    <w:basedOn w:val="DefaultParagraphFont"/>
    <w:link w:val="Heading3"/>
    <w:uiPriority w:val="99"/>
    <w:locked/>
    <w:rsid w:val="00D96C9F"/>
    <w:rPr>
      <w:rFonts w:ascii="Calibri" w:hAnsi="Calibri"/>
      <w:b/>
      <w:sz w:val="26"/>
      <w:lang w:val="fr-FR" w:eastAsia="fr-FR"/>
    </w:rPr>
  </w:style>
  <w:style w:type="paragraph" w:styleId="BodyText">
    <w:name w:val="Body Text"/>
    <w:aliases w:val="bt,heading3,Body Text - Level 2,Body,b,(Ctrl Shift B),Body Text Char1 Char,Body Text Char1 Char Char,NoticeText-List,Body Text Char Char Char,BT,GS,Heading 1 text,t1,taten_body"/>
    <w:basedOn w:val="Normal"/>
    <w:link w:val="BodyTextChar"/>
    <w:uiPriority w:val="99"/>
    <w:rsid w:val="00D96C9F"/>
    <w:pPr>
      <w:spacing w:before="120" w:after="120" w:line="288" w:lineRule="auto"/>
    </w:pPr>
    <w:rPr>
      <w:rFonts w:ascii="Arial" w:hAnsi="Arial"/>
      <w:lang w:val="en-GB" w:eastAsia="en-GB"/>
    </w:rPr>
  </w:style>
  <w:style w:type="character" w:customStyle="1" w:styleId="BodyTextChar">
    <w:name w:val="Body Text Char"/>
    <w:aliases w:val="bt Char,heading3 Char,Body Text - Level 2 Char,Body Char,b Char,(Ctrl Shift B) Char,Body Text Char1 Char Char1,Body Text Char1 Char Char Char,NoticeText-List Char,Body Text Char Char Char Char,BT Char,GS Char,Heading 1 text Char,t1 Char"/>
    <w:basedOn w:val="DefaultParagraphFont"/>
    <w:link w:val="BodyText"/>
    <w:uiPriority w:val="99"/>
    <w:locked/>
    <w:rsid w:val="00D96C9F"/>
    <w:rPr>
      <w:rFonts w:ascii="Arial" w:hAnsi="Arial"/>
      <w:sz w:val="24"/>
      <w:lang w:val="en-GB" w:eastAsia="en-GB"/>
    </w:rPr>
  </w:style>
  <w:style w:type="paragraph" w:customStyle="1" w:styleId="Elencoacolori-Colore11">
    <w:name w:val="Elenco a colori - Colore 11"/>
    <w:basedOn w:val="Normal"/>
    <w:uiPriority w:val="99"/>
    <w:rsid w:val="00D96C9F"/>
    <w:pPr>
      <w:spacing w:line="276" w:lineRule="auto"/>
      <w:ind w:left="720"/>
      <w:contextualSpacing/>
      <w:jc w:val="both"/>
    </w:pPr>
    <w:rPr>
      <w:rFonts w:ascii="Calibri" w:hAnsi="Calibri"/>
      <w:sz w:val="22"/>
      <w:szCs w:val="22"/>
      <w:lang w:val="en-GB" w:eastAsia="en-US"/>
    </w:rPr>
  </w:style>
  <w:style w:type="paragraph" w:styleId="BalloonText">
    <w:name w:val="Balloon Text"/>
    <w:basedOn w:val="Normal"/>
    <w:link w:val="BalloonTextChar"/>
    <w:uiPriority w:val="99"/>
    <w:rsid w:val="00D96C9F"/>
    <w:rPr>
      <w:rFonts w:ascii="Tahoma" w:hAnsi="Tahoma"/>
      <w:sz w:val="16"/>
      <w:szCs w:val="16"/>
    </w:rPr>
  </w:style>
  <w:style w:type="character" w:customStyle="1" w:styleId="BalloonTextChar">
    <w:name w:val="Balloon Text Char"/>
    <w:basedOn w:val="DefaultParagraphFont"/>
    <w:link w:val="BalloonText"/>
    <w:uiPriority w:val="99"/>
    <w:locked/>
    <w:rsid w:val="00D96C9F"/>
    <w:rPr>
      <w:rFonts w:ascii="Tahoma" w:hAnsi="Tahoma"/>
      <w:sz w:val="16"/>
      <w:lang w:val="fr-FR" w:eastAsia="fr-FR"/>
    </w:rPr>
  </w:style>
  <w:style w:type="character" w:styleId="Strong">
    <w:name w:val="Strong"/>
    <w:basedOn w:val="DefaultParagraphFont"/>
    <w:uiPriority w:val="99"/>
    <w:qFormat/>
    <w:rsid w:val="00D96C9F"/>
    <w:rPr>
      <w:rFonts w:cs="Times New Roman"/>
      <w:b/>
    </w:rPr>
  </w:style>
  <w:style w:type="character" w:styleId="Hyperlink">
    <w:name w:val="Hyperlink"/>
    <w:basedOn w:val="DefaultParagraphFont"/>
    <w:uiPriority w:val="99"/>
    <w:rsid w:val="00D96C9F"/>
    <w:rPr>
      <w:rFonts w:cs="Times New Roman"/>
      <w:color w:val="0000FF"/>
      <w:u w:val="single"/>
    </w:rPr>
  </w:style>
  <w:style w:type="paragraph" w:styleId="ListParagraph">
    <w:name w:val="List Paragraph"/>
    <w:basedOn w:val="Normal"/>
    <w:uiPriority w:val="99"/>
    <w:qFormat/>
    <w:rsid w:val="00B64FFB"/>
    <w:pPr>
      <w:ind w:left="1304"/>
    </w:pPr>
  </w:style>
  <w:style w:type="table" w:styleId="TableGrid">
    <w:name w:val="Table Grid"/>
    <w:basedOn w:val="TableNormal"/>
    <w:uiPriority w:val="99"/>
    <w:rsid w:val="001F3A5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ALTS FOOTNOTE,Footnote Text2,Footnote Text11,ALTS FOOTNOTE11,Footnote Text Char111,Footnote Text Char Char Char11,Footnote Text Char1 Char Char Char Char11,Footnote Text Char1 Char Char Char11,ALTS FOOTNOTE2,Char Char Char,f,fn"/>
    <w:basedOn w:val="Normal"/>
    <w:link w:val="FootnoteTextChar"/>
    <w:uiPriority w:val="99"/>
    <w:rsid w:val="001F3A55"/>
    <w:pPr>
      <w:spacing w:after="200" w:line="276" w:lineRule="auto"/>
    </w:pPr>
    <w:rPr>
      <w:rFonts w:ascii="Calibri" w:hAnsi="Calibri"/>
      <w:sz w:val="20"/>
      <w:szCs w:val="20"/>
      <w:lang w:val="en-GB" w:eastAsia="en-GB"/>
    </w:rPr>
  </w:style>
  <w:style w:type="character" w:customStyle="1" w:styleId="FootnoteTextChar">
    <w:name w:val="Footnote Text Char"/>
    <w:aliases w:val="ALTS FOOTNOTE Char,Footnote Text2 Char,Footnote Text11 Char,ALTS FOOTNOTE11 Char,Footnote Text Char111 Char,Footnote Text Char Char Char11 Char,Footnote Text Char1 Char Char Char Char11 Char,Footnote Text Char1 Char Char Char11 Char"/>
    <w:basedOn w:val="DefaultParagraphFont"/>
    <w:link w:val="FootnoteText"/>
    <w:uiPriority w:val="99"/>
    <w:locked/>
    <w:rsid w:val="001F3A55"/>
    <w:rPr>
      <w:rFonts w:ascii="Calibri" w:hAnsi="Calibri"/>
      <w:lang w:val="en-GB" w:eastAsia="en-GB"/>
    </w:rPr>
  </w:style>
  <w:style w:type="character" w:styleId="FootnoteReference">
    <w:name w:val="footnote reference"/>
    <w:aliases w:val="Appel note de bas de p,Footnote,Footnote symbol"/>
    <w:basedOn w:val="DefaultParagraphFont"/>
    <w:uiPriority w:val="99"/>
    <w:rsid w:val="001F3A55"/>
    <w:rPr>
      <w:rFonts w:cs="Times New Roman"/>
      <w:vertAlign w:val="superscript"/>
    </w:rPr>
  </w:style>
  <w:style w:type="paragraph" w:customStyle="1" w:styleId="BulletList2">
    <w:name w:val="Bullet List 2"/>
    <w:basedOn w:val="BulletList1"/>
    <w:uiPriority w:val="99"/>
    <w:rsid w:val="00D72AFD"/>
    <w:pPr>
      <w:numPr>
        <w:ilvl w:val="1"/>
      </w:numPr>
      <w:tabs>
        <w:tab w:val="num" w:pos="576"/>
        <w:tab w:val="num" w:pos="926"/>
        <w:tab w:val="num" w:pos="1209"/>
      </w:tabs>
      <w:ind w:left="576" w:hanging="576"/>
    </w:pPr>
  </w:style>
  <w:style w:type="paragraph" w:customStyle="1" w:styleId="BulletList1">
    <w:name w:val="Bullet List 1"/>
    <w:basedOn w:val="Normal"/>
    <w:link w:val="BulletList1Char"/>
    <w:uiPriority w:val="99"/>
    <w:rsid w:val="00D72AFD"/>
    <w:pPr>
      <w:numPr>
        <w:numId w:val="15"/>
      </w:numPr>
      <w:tabs>
        <w:tab w:val="num" w:pos="760"/>
      </w:tabs>
      <w:spacing w:before="120" w:after="120" w:line="287" w:lineRule="auto"/>
      <w:ind w:left="760" w:hanging="400"/>
    </w:pPr>
    <w:rPr>
      <w:rFonts w:ascii="Arial" w:hAnsi="Arial"/>
      <w:sz w:val="20"/>
      <w:lang w:val="en-GB" w:eastAsia="en-GB"/>
    </w:rPr>
  </w:style>
  <w:style w:type="paragraph" w:customStyle="1" w:styleId="BulletList3">
    <w:name w:val="Bullet List 3"/>
    <w:basedOn w:val="BulletList2"/>
    <w:uiPriority w:val="99"/>
    <w:rsid w:val="00D72AFD"/>
    <w:pPr>
      <w:numPr>
        <w:ilvl w:val="2"/>
      </w:numPr>
      <w:tabs>
        <w:tab w:val="num" w:pos="720"/>
        <w:tab w:val="num" w:pos="1560"/>
      </w:tabs>
      <w:ind w:left="720" w:hanging="720"/>
    </w:pPr>
  </w:style>
  <w:style w:type="paragraph" w:customStyle="1" w:styleId="BulletList4">
    <w:name w:val="Bullet List 4"/>
    <w:basedOn w:val="BulletList3"/>
    <w:uiPriority w:val="99"/>
    <w:rsid w:val="00D72AFD"/>
    <w:pPr>
      <w:numPr>
        <w:ilvl w:val="3"/>
      </w:numPr>
      <w:tabs>
        <w:tab w:val="num" w:pos="864"/>
        <w:tab w:val="num" w:pos="1720"/>
      </w:tabs>
      <w:ind w:left="864" w:hanging="864"/>
    </w:pPr>
  </w:style>
  <w:style w:type="paragraph" w:customStyle="1" w:styleId="BulletList5">
    <w:name w:val="Bullet List 5"/>
    <w:basedOn w:val="BulletList4"/>
    <w:uiPriority w:val="99"/>
    <w:rsid w:val="00D72AFD"/>
    <w:pPr>
      <w:numPr>
        <w:ilvl w:val="4"/>
      </w:numPr>
      <w:tabs>
        <w:tab w:val="num" w:pos="1008"/>
        <w:tab w:val="num" w:pos="2060"/>
      </w:tabs>
      <w:ind w:left="1008" w:hanging="1008"/>
    </w:pPr>
  </w:style>
  <w:style w:type="paragraph" w:customStyle="1" w:styleId="BulletList6">
    <w:name w:val="Bullet List 6"/>
    <w:basedOn w:val="BulletList5"/>
    <w:uiPriority w:val="99"/>
    <w:rsid w:val="00D72AFD"/>
    <w:pPr>
      <w:numPr>
        <w:ilvl w:val="5"/>
      </w:numPr>
      <w:tabs>
        <w:tab w:val="num" w:pos="1152"/>
        <w:tab w:val="num" w:pos="2400"/>
      </w:tabs>
      <w:ind w:left="1152" w:hanging="1152"/>
    </w:pPr>
  </w:style>
  <w:style w:type="paragraph" w:customStyle="1" w:styleId="BulletList7">
    <w:name w:val="Bullet List 7"/>
    <w:basedOn w:val="BulletList6"/>
    <w:uiPriority w:val="99"/>
    <w:rsid w:val="00D72AFD"/>
    <w:pPr>
      <w:numPr>
        <w:ilvl w:val="6"/>
      </w:numPr>
      <w:tabs>
        <w:tab w:val="num" w:pos="1296"/>
        <w:tab w:val="num" w:pos="2740"/>
      </w:tabs>
      <w:ind w:left="1296" w:hanging="1296"/>
    </w:pPr>
  </w:style>
  <w:style w:type="paragraph" w:customStyle="1" w:styleId="BulletList8">
    <w:name w:val="Bullet List 8"/>
    <w:basedOn w:val="BulletList7"/>
    <w:uiPriority w:val="99"/>
    <w:rsid w:val="00D72AFD"/>
    <w:pPr>
      <w:numPr>
        <w:ilvl w:val="7"/>
      </w:numPr>
      <w:tabs>
        <w:tab w:val="num" w:pos="1440"/>
        <w:tab w:val="num" w:pos="3080"/>
      </w:tabs>
      <w:ind w:left="1440" w:hanging="1440"/>
    </w:pPr>
  </w:style>
  <w:style w:type="paragraph" w:customStyle="1" w:styleId="BulletList9">
    <w:name w:val="Bullet List 9"/>
    <w:basedOn w:val="BulletList8"/>
    <w:uiPriority w:val="99"/>
    <w:rsid w:val="00D72AFD"/>
    <w:pPr>
      <w:numPr>
        <w:ilvl w:val="8"/>
      </w:numPr>
      <w:tabs>
        <w:tab w:val="num" w:pos="1584"/>
        <w:tab w:val="num" w:pos="3420"/>
      </w:tabs>
      <w:ind w:left="1584" w:hanging="1584"/>
    </w:pPr>
  </w:style>
  <w:style w:type="character" w:customStyle="1" w:styleId="BulletList1Char">
    <w:name w:val="Bullet List 1 Char"/>
    <w:basedOn w:val="DefaultParagraphFont"/>
    <w:link w:val="BulletList1"/>
    <w:uiPriority w:val="99"/>
    <w:locked/>
    <w:rsid w:val="00D72AFD"/>
    <w:rPr>
      <w:rFonts w:ascii="Arial" w:hAnsi="Arial" w:cs="Times New Roman"/>
      <w:sz w:val="24"/>
      <w:szCs w:val="24"/>
      <w:lang w:val="en-GB" w:eastAsia="en-GB" w:bidi="ar-SA"/>
    </w:rPr>
  </w:style>
  <w:style w:type="character" w:customStyle="1" w:styleId="FootnoteTextChar1">
    <w:name w:val="Footnote Text Char1"/>
    <w:aliases w:val="ALTS FOOTNOTE Char1,Footnote Text2 Char1,Footnote Text11 Char1,ALTS FOOTNOTE11 Char1,Footnote Text Char111 Char1,Footnote Text Char Char Char11 Char1,Footnote Text Char1 Char Char Char Char11 Char1,ALTS FOOTNOTE2 Char,f Char,fn Char"/>
    <w:basedOn w:val="DefaultParagraphFont"/>
    <w:uiPriority w:val="99"/>
    <w:locked/>
    <w:rsid w:val="00C83A05"/>
    <w:rPr>
      <w:rFonts w:ascii="Arial" w:hAnsi="Arial" w:cs="Times New Roman"/>
      <w:sz w:val="24"/>
      <w:szCs w:val="24"/>
      <w:lang w:val="en-GB" w:eastAsia="de-DE"/>
    </w:rPr>
  </w:style>
  <w:style w:type="paragraph" w:customStyle="1" w:styleId="FigureCaption">
    <w:name w:val="Figure Caption"/>
    <w:basedOn w:val="Normal"/>
    <w:next w:val="BodyText"/>
    <w:uiPriority w:val="99"/>
    <w:rsid w:val="00C83A05"/>
    <w:pPr>
      <w:keepNext/>
      <w:keepLines/>
      <w:spacing w:before="360" w:after="120" w:line="288" w:lineRule="auto"/>
    </w:pPr>
    <w:rPr>
      <w:rFonts w:ascii="Arial" w:hAnsi="Arial"/>
      <w:b/>
      <w:color w:val="939598"/>
      <w:sz w:val="20"/>
      <w:lang w:val="en-GB" w:eastAsia="en-GB"/>
    </w:rPr>
  </w:style>
  <w:style w:type="paragraph" w:customStyle="1" w:styleId="AfterTable">
    <w:name w:val="After Table"/>
    <w:basedOn w:val="BodyText"/>
    <w:next w:val="BodyText"/>
    <w:uiPriority w:val="99"/>
    <w:rsid w:val="00C83A05"/>
    <w:pPr>
      <w:spacing w:before="360"/>
    </w:pPr>
    <w:rPr>
      <w:sz w:val="20"/>
    </w:rPr>
  </w:style>
  <w:style w:type="paragraph" w:customStyle="1" w:styleId="TableCaption">
    <w:name w:val="Table Caption"/>
    <w:basedOn w:val="BodyText"/>
    <w:next w:val="BodyText"/>
    <w:uiPriority w:val="99"/>
    <w:rsid w:val="00301217"/>
    <w:pPr>
      <w:keepNext/>
      <w:keepLines/>
      <w:spacing w:before="360"/>
    </w:pPr>
    <w:rPr>
      <w:b/>
      <w:color w:val="939598"/>
      <w:sz w:val="20"/>
    </w:rPr>
  </w:style>
  <w:style w:type="character" w:styleId="PageNumber">
    <w:name w:val="page number"/>
    <w:basedOn w:val="DefaultParagraphFont"/>
    <w:uiPriority w:val="99"/>
    <w:rsid w:val="006E2AF1"/>
    <w:rPr>
      <w:rFonts w:cs="Times New Roman"/>
    </w:rPr>
  </w:style>
  <w:style w:type="paragraph" w:styleId="ListNumber5">
    <w:name w:val="List Number 5"/>
    <w:basedOn w:val="Normal"/>
    <w:uiPriority w:val="99"/>
    <w:rsid w:val="006E2AF1"/>
    <w:pPr>
      <w:numPr>
        <w:numId w:val="21"/>
      </w:numPr>
      <w:tabs>
        <w:tab w:val="clear" w:pos="926"/>
        <w:tab w:val="num" w:pos="1492"/>
      </w:tabs>
      <w:ind w:left="1492"/>
      <w:contextualSpacing/>
    </w:pPr>
    <w:rPr>
      <w:sz w:val="20"/>
      <w:lang w:val="en-GB" w:eastAsia="en-GB"/>
    </w:rPr>
  </w:style>
  <w:style w:type="paragraph" w:customStyle="1" w:styleId="Default">
    <w:name w:val="Default"/>
    <w:uiPriority w:val="99"/>
    <w:rsid w:val="00F93B13"/>
    <w:pPr>
      <w:autoSpaceDE w:val="0"/>
      <w:autoSpaceDN w:val="0"/>
      <w:adjustRightInd w:val="0"/>
    </w:pPr>
    <w:rPr>
      <w:rFonts w:ascii="Calibri" w:hAnsi="Calibri" w:cs="Calibri"/>
      <w:color w:val="000000"/>
      <w:sz w:val="24"/>
      <w:szCs w:val="24"/>
      <w:lang w:val="en-US" w:eastAsia="en-US"/>
    </w:rPr>
  </w:style>
  <w:style w:type="paragraph" w:customStyle="1" w:styleId="Heading1unnumbered">
    <w:name w:val="Heading 1 unnumbered"/>
    <w:basedOn w:val="Heading1"/>
    <w:next w:val="BodyText"/>
    <w:uiPriority w:val="99"/>
    <w:rsid w:val="000A1BB2"/>
    <w:pPr>
      <w:keepLines/>
      <w:spacing w:before="480" w:after="240"/>
    </w:pPr>
    <w:rPr>
      <w:rFonts w:ascii="Arial" w:hAnsi="Arial" w:cs="Arial"/>
      <w:color w:val="4F2683"/>
      <w:kern w:val="0"/>
      <w:sz w:val="28"/>
      <w:lang w:val="en-GB" w:eastAsia="en-GB"/>
    </w:rPr>
  </w:style>
</w:styles>
</file>

<file path=word/webSettings.xml><?xml version="1.0" encoding="utf-8"?>
<w:webSettings xmlns:r="http://schemas.openxmlformats.org/officeDocument/2006/relationships" xmlns:w="http://schemas.openxmlformats.org/wordprocessingml/2006/main">
  <w:divs>
    <w:div w:id="253827351">
      <w:marLeft w:val="0"/>
      <w:marRight w:val="0"/>
      <w:marTop w:val="0"/>
      <w:marBottom w:val="0"/>
      <w:divBdr>
        <w:top w:val="none" w:sz="0" w:space="0" w:color="auto"/>
        <w:left w:val="none" w:sz="0" w:space="0" w:color="auto"/>
        <w:bottom w:val="none" w:sz="0" w:space="0" w:color="auto"/>
        <w:right w:val="none" w:sz="0" w:space="0" w:color="auto"/>
      </w:divBdr>
    </w:div>
    <w:div w:id="253827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brattle.com/_documents/UploadLibrary/Upload809.pdf" TargetMode="External"/><Relationship Id="rId2" Type="http://schemas.openxmlformats.org/officeDocument/2006/relationships/hyperlink" Target="http://ec.europa.eu/governance/impact/commission_guidelines/docs/ia_guidelines_annexes_en.pdf" TargetMode="External"/><Relationship Id="rId1" Type="http://schemas.openxmlformats.org/officeDocument/2006/relationships/hyperlink" Target="http://www.brattle.com/_documents/UploadLibrary/Upload809.pdf" TargetMode="External"/><Relationship Id="rId4" Type="http://schemas.openxmlformats.org/officeDocument/2006/relationships/hyperlink" Target="http://www.dft.gov.uk/pdf/pgr/economics/rdg/valueoftraveltimesavingsinth3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1620</Words>
  <Characters>8912</Characters>
  <Application>Microsoft Office Outlook</Application>
  <DocSecurity>0</DocSecurity>
  <Lines>0</Lines>
  <Paragraphs>0</Paragraphs>
  <ScaleCrop>false</ScaleCrop>
  <Company>Qualcomm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Ardito, Luigi</dc:creator>
  <cp:keywords/>
  <dc:description/>
  <cp:lastModifiedBy>Benoist Deschamps</cp:lastModifiedBy>
  <cp:revision>3</cp:revision>
  <cp:lastPrinted>2011-07-08T12:52:00Z</cp:lastPrinted>
  <dcterms:created xsi:type="dcterms:W3CDTF">2011-11-14T09:24:00Z</dcterms:created>
  <dcterms:modified xsi:type="dcterms:W3CDTF">2011-11-14T16:47:00Z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-1096443022</vt:i4>
  </property>
  <property fmtid="{D5CDD505-2E9C-101B-9397-08002B2CF9AE}" pid="4" name="_EmailSubject">
    <vt:lpwstr>Note of benefits measures</vt:lpwstr>
  </property>
  <property fmtid="{D5CDD505-2E9C-101B-9397-08002B2CF9AE}" pid="5" name="_AuthorEmail">
    <vt:lpwstr>wchourba@qualcomm.com</vt:lpwstr>
  </property>
  <property fmtid="{D5CDD505-2E9C-101B-9397-08002B2CF9AE}" pid="6" name="_AuthorEmailDisplayName">
    <vt:lpwstr>Chourbaji, Wassim</vt:lpwstr>
  </property>
  <property fmtid="{D5CDD505-2E9C-101B-9397-08002B2CF9AE}" pid="7" name="_ReviewingToolsShownOnce">
    <vt:lpwstr/>
  </property>
</Properties>
</file>