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8" w:type="dxa"/>
        <w:tblLayout w:type="fixed"/>
        <w:tblLook w:val="0000"/>
      </w:tblPr>
      <w:tblGrid>
        <w:gridCol w:w="8"/>
        <w:gridCol w:w="3500"/>
        <w:gridCol w:w="300"/>
        <w:gridCol w:w="1262"/>
        <w:gridCol w:w="438"/>
        <w:gridCol w:w="360"/>
        <w:gridCol w:w="900"/>
        <w:gridCol w:w="940"/>
        <w:gridCol w:w="1900"/>
      </w:tblGrid>
      <w:tr w:rsidR="002275A5" w:rsidRPr="00D33BCE" w:rsidTr="00CF613B">
        <w:tc>
          <w:tcPr>
            <w:tcW w:w="5070" w:type="dxa"/>
            <w:gridSpan w:val="4"/>
          </w:tcPr>
          <w:p w:rsidR="002275A5" w:rsidRPr="00D33BCE" w:rsidRDefault="002275A5" w:rsidP="00C44DFE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  <w:r w:rsidRPr="003C1E3A">
              <w:rPr>
                <w:b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125.25pt;height:73.5pt;visibility:visible">
                  <v:imagedata r:id="rId7" o:title=""/>
                </v:shape>
              </w:pict>
            </w:r>
          </w:p>
        </w:tc>
        <w:tc>
          <w:tcPr>
            <w:tcW w:w="2638" w:type="dxa"/>
            <w:gridSpan w:val="4"/>
          </w:tcPr>
          <w:p w:rsidR="002275A5" w:rsidRPr="00D33BCE" w:rsidRDefault="002275A5" w:rsidP="00C44DFE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  <w:p w:rsidR="002275A5" w:rsidRPr="00D33BCE" w:rsidRDefault="002275A5" w:rsidP="00C44DFE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  <w:p w:rsidR="002275A5" w:rsidRPr="00D33BCE" w:rsidRDefault="002275A5" w:rsidP="00C44DFE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  <w:p w:rsidR="002275A5" w:rsidRPr="00D33BCE" w:rsidRDefault="002275A5" w:rsidP="00C44DFE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</w:tc>
        <w:tc>
          <w:tcPr>
            <w:tcW w:w="1900" w:type="dxa"/>
          </w:tcPr>
          <w:p w:rsidR="002275A5" w:rsidRPr="00D33BCE" w:rsidRDefault="002275A5" w:rsidP="00C44DFE">
            <w:pPr>
              <w:jc w:val="right"/>
              <w:rPr>
                <w:rFonts w:ascii="Arial" w:hAnsi="Arial" w:cs="Arial"/>
                <w:b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 w:val="22"/>
                <w:lang w:val="en-GB" w:eastAsia="de-DE"/>
              </w:rPr>
              <w:t>FM50(11)</w:t>
            </w:r>
            <w:r>
              <w:rPr>
                <w:rFonts w:ascii="Arial" w:hAnsi="Arial" w:cs="Arial"/>
                <w:b/>
                <w:sz w:val="22"/>
                <w:lang w:val="en-GB" w:eastAsia="de-DE"/>
              </w:rPr>
              <w:t>047</w:t>
            </w:r>
          </w:p>
        </w:tc>
      </w:tr>
      <w:tr w:rsidR="002275A5" w:rsidRPr="00D33BCE">
        <w:tc>
          <w:tcPr>
            <w:tcW w:w="9608" w:type="dxa"/>
            <w:gridSpan w:val="9"/>
          </w:tcPr>
          <w:p w:rsidR="002275A5" w:rsidRDefault="002275A5" w:rsidP="00EE3899">
            <w:pPr>
              <w:rPr>
                <w:rFonts w:ascii="Arial" w:hAnsi="Arial" w:cs="Arial"/>
                <w:b/>
                <w:bCs/>
                <w:lang w:val="fi-FI"/>
              </w:rPr>
            </w:pPr>
          </w:p>
          <w:p w:rsidR="002275A5" w:rsidRPr="00CF613B" w:rsidRDefault="002275A5" w:rsidP="00EE3899">
            <w:pPr>
              <w:rPr>
                <w:rFonts w:ascii="Arial" w:hAnsi="Arial" w:cs="Arial"/>
                <w:b/>
                <w:bCs/>
                <w:lang w:val="fi-FI"/>
              </w:rPr>
            </w:pPr>
            <w:r>
              <w:rPr>
                <w:rFonts w:ascii="Arial" w:hAnsi="Arial" w:cs="Arial"/>
                <w:b/>
                <w:bCs/>
                <w:lang w:val="fi-FI"/>
              </w:rPr>
              <w:t>3rd</w:t>
            </w:r>
            <w:r w:rsidRPr="00CF613B">
              <w:rPr>
                <w:rFonts w:ascii="Arial" w:hAnsi="Arial" w:cs="Arial"/>
                <w:b/>
                <w:bCs/>
                <w:lang w:val="fi-FI"/>
              </w:rPr>
              <w:t xml:space="preserve"> Meeting of FM50</w:t>
            </w:r>
          </w:p>
        </w:tc>
      </w:tr>
      <w:tr w:rsidR="002275A5" w:rsidRPr="00D33BCE" w:rsidTr="004B64F4">
        <w:trPr>
          <w:trHeight w:val="360"/>
        </w:trPr>
        <w:tc>
          <w:tcPr>
            <w:tcW w:w="6768" w:type="dxa"/>
            <w:gridSpan w:val="7"/>
          </w:tcPr>
          <w:p w:rsidR="002275A5" w:rsidRPr="00CF613B" w:rsidRDefault="002275A5" w:rsidP="004B64F4">
            <w:pPr>
              <w:ind w:right="282"/>
              <w:rPr>
                <w:rFonts w:ascii="Arial" w:hAnsi="Arial" w:cs="Arial"/>
                <w:b/>
                <w:bCs/>
                <w:lang w:val="fi-FI"/>
              </w:rPr>
            </w:pPr>
            <w:r>
              <w:rPr>
                <w:rFonts w:ascii="Arial" w:hAnsi="Arial" w:cs="Arial"/>
                <w:b/>
                <w:bCs/>
                <w:lang w:val="fi-FI"/>
              </w:rPr>
              <w:t xml:space="preserve">30 November </w:t>
            </w:r>
            <w:r w:rsidRPr="00CF613B">
              <w:rPr>
                <w:rFonts w:ascii="Arial" w:hAnsi="Arial" w:cs="Arial"/>
                <w:b/>
                <w:bCs/>
                <w:lang w:val="fi-FI"/>
              </w:rPr>
              <w:t>-</w:t>
            </w:r>
            <w:r>
              <w:rPr>
                <w:rFonts w:ascii="Arial" w:hAnsi="Arial" w:cs="Arial"/>
                <w:b/>
                <w:bCs/>
                <w:lang w:val="fi-FI"/>
              </w:rPr>
              <w:t xml:space="preserve"> </w:t>
            </w:r>
            <w:r w:rsidRPr="00CF613B">
              <w:rPr>
                <w:rFonts w:ascii="Arial" w:hAnsi="Arial" w:cs="Arial"/>
                <w:b/>
                <w:bCs/>
                <w:lang w:val="fi-FI"/>
              </w:rPr>
              <w:t xml:space="preserve">2 </w:t>
            </w:r>
            <w:r>
              <w:rPr>
                <w:rFonts w:ascii="Arial" w:hAnsi="Arial" w:cs="Arial"/>
                <w:b/>
                <w:bCs/>
                <w:lang w:val="fi-FI"/>
              </w:rPr>
              <w:t>December</w:t>
            </w:r>
            <w:r w:rsidRPr="00CF613B">
              <w:rPr>
                <w:rFonts w:ascii="Arial" w:hAnsi="Arial" w:cs="Arial"/>
                <w:b/>
                <w:bCs/>
                <w:lang w:val="fi-FI"/>
              </w:rPr>
              <w:t xml:space="preserve"> 2011, </w:t>
            </w:r>
            <w:r>
              <w:rPr>
                <w:rFonts w:ascii="Arial" w:hAnsi="Arial" w:cs="Arial"/>
                <w:b/>
                <w:bCs/>
                <w:lang w:val="fi-FI"/>
              </w:rPr>
              <w:t>Helsinki</w:t>
            </w:r>
            <w:r w:rsidRPr="00CF613B">
              <w:rPr>
                <w:rFonts w:ascii="Arial" w:hAnsi="Arial" w:cs="Arial"/>
                <w:b/>
                <w:bCs/>
                <w:lang w:val="fi-FI"/>
              </w:rPr>
              <w:t xml:space="preserve">, </w:t>
            </w:r>
            <w:r>
              <w:rPr>
                <w:rFonts w:ascii="Arial" w:hAnsi="Arial" w:cs="Arial"/>
                <w:b/>
                <w:bCs/>
                <w:lang w:val="fi-FI"/>
              </w:rPr>
              <w:t>Finland</w:t>
            </w:r>
          </w:p>
        </w:tc>
        <w:tc>
          <w:tcPr>
            <w:tcW w:w="2840" w:type="dxa"/>
            <w:gridSpan w:val="2"/>
          </w:tcPr>
          <w:p w:rsidR="002275A5" w:rsidRPr="00CF613B" w:rsidRDefault="002275A5" w:rsidP="00C44DFE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</w:tc>
      </w:tr>
      <w:tr w:rsidR="002275A5" w:rsidRPr="00182F50" w:rsidTr="00CF613B">
        <w:trPr>
          <w:cantSplit/>
          <w:trHeight w:val="1191"/>
        </w:trPr>
        <w:tc>
          <w:tcPr>
            <w:tcW w:w="9608" w:type="dxa"/>
            <w:gridSpan w:val="9"/>
          </w:tcPr>
          <w:p w:rsidR="002275A5" w:rsidRPr="00CF613B" w:rsidRDefault="002275A5" w:rsidP="008C3C47">
            <w:pPr>
              <w:tabs>
                <w:tab w:val="left" w:pos="1582"/>
              </w:tabs>
              <w:jc w:val="both"/>
              <w:outlineLvl w:val="0"/>
              <w:rPr>
                <w:rFonts w:ascii="Arial" w:hAnsi="Arial" w:cs="Arial"/>
                <w:b/>
                <w:lang w:val="en-GB" w:eastAsia="de-DE"/>
              </w:rPr>
            </w:pPr>
            <w:r w:rsidRPr="00CF613B">
              <w:rPr>
                <w:rFonts w:ascii="Arial" w:hAnsi="Arial" w:cs="Arial"/>
                <w:b/>
                <w:lang w:val="en-GB" w:eastAsia="de-DE"/>
              </w:rPr>
              <w:t>Date issued:</w:t>
            </w:r>
            <w:r w:rsidRPr="00CF613B">
              <w:rPr>
                <w:rFonts w:ascii="Arial" w:hAnsi="Arial" w:cs="Arial"/>
                <w:b/>
                <w:lang w:val="en-GB" w:eastAsia="de-DE"/>
              </w:rPr>
              <w:tab/>
            </w:r>
            <w:r>
              <w:rPr>
                <w:rFonts w:ascii="Arial" w:hAnsi="Arial" w:cs="Arial"/>
                <w:b/>
                <w:lang w:val="en-GB" w:eastAsia="de-DE"/>
              </w:rPr>
              <w:t>15</w:t>
            </w:r>
            <w:r w:rsidRPr="008C3C47">
              <w:rPr>
                <w:rFonts w:ascii="Arial" w:hAnsi="Arial" w:cs="Arial"/>
                <w:b/>
                <w:vertAlign w:val="superscript"/>
                <w:lang w:val="en-GB" w:eastAsia="de-DE"/>
              </w:rPr>
              <w:t>th</w:t>
            </w:r>
            <w:r>
              <w:rPr>
                <w:rFonts w:ascii="Arial" w:hAnsi="Arial" w:cs="Arial"/>
                <w:b/>
                <w:lang w:val="en-GB" w:eastAsia="de-DE"/>
              </w:rPr>
              <w:t xml:space="preserve"> November 2011</w:t>
            </w:r>
          </w:p>
          <w:p w:rsidR="002275A5" w:rsidRPr="00CF613B" w:rsidRDefault="002275A5" w:rsidP="00C44DFE">
            <w:pPr>
              <w:tabs>
                <w:tab w:val="left" w:pos="1582"/>
              </w:tabs>
              <w:spacing w:before="120"/>
              <w:jc w:val="both"/>
              <w:outlineLvl w:val="0"/>
              <w:rPr>
                <w:rFonts w:ascii="Arial" w:hAnsi="Arial" w:cs="Arial"/>
                <w:b/>
                <w:lang w:val="en-GB" w:eastAsia="de-DE"/>
              </w:rPr>
            </w:pPr>
            <w:r w:rsidRPr="00CF613B">
              <w:rPr>
                <w:rFonts w:ascii="Arial" w:hAnsi="Arial" w:cs="Arial"/>
                <w:b/>
                <w:lang w:val="en-GB" w:eastAsia="de-DE"/>
              </w:rPr>
              <w:t>Source:</w:t>
            </w:r>
            <w:r w:rsidRPr="00CF613B">
              <w:rPr>
                <w:rFonts w:ascii="Arial" w:hAnsi="Arial" w:cs="Arial"/>
                <w:b/>
                <w:lang w:val="en-GB" w:eastAsia="de-DE"/>
              </w:rPr>
              <w:tab/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b/>
                    <w:lang w:val="en-GB" w:eastAsia="de-DE"/>
                  </w:rPr>
                  <w:t>France</w:t>
                </w:r>
              </w:smartTag>
            </w:smartTag>
          </w:p>
          <w:p w:rsidR="002275A5" w:rsidRPr="00CF613B" w:rsidRDefault="002275A5" w:rsidP="00217D07">
            <w:pPr>
              <w:tabs>
                <w:tab w:val="left" w:pos="1571"/>
              </w:tabs>
              <w:spacing w:before="120" w:after="120"/>
              <w:jc w:val="both"/>
              <w:outlineLvl w:val="0"/>
              <w:rPr>
                <w:rFonts w:ascii="Arial" w:hAnsi="Arial" w:cs="Arial"/>
                <w:b/>
                <w:lang w:val="en-GB" w:eastAsia="de-DE"/>
              </w:rPr>
            </w:pPr>
            <w:r w:rsidRPr="00CF613B">
              <w:rPr>
                <w:rFonts w:ascii="Arial" w:hAnsi="Arial" w:cs="Arial"/>
                <w:b/>
                <w:lang w:val="en-GB" w:eastAsia="de-DE"/>
              </w:rPr>
              <w:t>Subject:</w:t>
            </w:r>
            <w:r w:rsidRPr="00CF613B">
              <w:rPr>
                <w:rFonts w:ascii="Arial" w:hAnsi="Arial" w:cs="Arial"/>
                <w:b/>
                <w:lang w:val="en-GB" w:eastAsia="de-DE"/>
              </w:rPr>
              <w:tab/>
            </w:r>
            <w:r>
              <w:rPr>
                <w:rFonts w:ascii="Arial" w:hAnsi="Arial" w:cs="Arial"/>
                <w:b/>
                <w:lang w:val="en-GB" w:eastAsia="de-DE"/>
              </w:rPr>
              <w:t>BDA2GC assessment vis-à-vis the compatibility with the current regulatory framework</w:t>
            </w:r>
          </w:p>
        </w:tc>
      </w:tr>
      <w:tr w:rsidR="002275A5" w:rsidRPr="00D33BCE" w:rsidTr="00604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8" w:type="dxa"/>
          <w:wAfter w:w="3740" w:type="dxa"/>
        </w:trPr>
        <w:tc>
          <w:tcPr>
            <w:tcW w:w="3500" w:type="dxa"/>
            <w:tcBorders>
              <w:top w:val="nil"/>
              <w:left w:val="nil"/>
              <w:bottom w:val="nil"/>
            </w:tcBorders>
          </w:tcPr>
          <w:p w:rsidR="002275A5" w:rsidRPr="00D33BCE" w:rsidRDefault="002275A5" w:rsidP="00C44DFE">
            <w:pPr>
              <w:tabs>
                <w:tab w:val="left" w:pos="2930"/>
              </w:tabs>
              <w:jc w:val="both"/>
              <w:rPr>
                <w:rFonts w:ascii="Arial" w:hAnsi="Arial" w:cs="Arial"/>
                <w:b/>
                <w:sz w:val="20"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 w:val="22"/>
                <w:lang w:val="en-GB" w:eastAsia="de-DE"/>
              </w:rPr>
              <w:t>Password protected:</w:t>
            </w:r>
            <w:r w:rsidRPr="00D33BCE">
              <w:rPr>
                <w:rFonts w:ascii="Arial" w:hAnsi="Arial" w:cs="Arial"/>
                <w:b/>
                <w:sz w:val="22"/>
                <w:lang w:val="en-GB" w:eastAsia="de-DE"/>
              </w:rPr>
              <w:tab/>
              <w:t>yes</w:t>
            </w:r>
          </w:p>
        </w:tc>
        <w:tc>
          <w:tcPr>
            <w:tcW w:w="300" w:type="dxa"/>
          </w:tcPr>
          <w:p w:rsidR="002275A5" w:rsidRPr="00D33BCE" w:rsidRDefault="002275A5" w:rsidP="00C44DFE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2275A5" w:rsidRPr="00D33BCE" w:rsidRDefault="002275A5" w:rsidP="00C44DFE">
            <w:pPr>
              <w:tabs>
                <w:tab w:val="left" w:pos="1130"/>
              </w:tabs>
              <w:jc w:val="both"/>
              <w:rPr>
                <w:rFonts w:ascii="Arial" w:hAnsi="Arial" w:cs="Arial"/>
                <w:b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 w:val="22"/>
                <w:lang w:val="en-GB" w:eastAsia="de-DE"/>
              </w:rPr>
              <w:tab/>
              <w:t>No</w:t>
            </w:r>
          </w:p>
        </w:tc>
        <w:tc>
          <w:tcPr>
            <w:tcW w:w="360" w:type="dxa"/>
          </w:tcPr>
          <w:p w:rsidR="002275A5" w:rsidRPr="00D33BCE" w:rsidRDefault="002275A5" w:rsidP="00C44DFE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 w:val="22"/>
                <w:lang w:val="en-GB" w:eastAsia="de-DE"/>
              </w:rPr>
              <w:t>x</w:t>
            </w:r>
          </w:p>
        </w:tc>
      </w:tr>
    </w:tbl>
    <w:p w:rsidR="002275A5" w:rsidRPr="00D33BCE" w:rsidRDefault="002275A5" w:rsidP="00C44DFE">
      <w:pPr>
        <w:jc w:val="both"/>
        <w:rPr>
          <w:sz w:val="22"/>
          <w:lang w:val="en-GB" w:eastAsia="de-DE"/>
        </w:rPr>
      </w:pPr>
    </w:p>
    <w:p w:rsidR="002275A5" w:rsidRPr="00D33BCE" w:rsidRDefault="002275A5" w:rsidP="00C44DFE">
      <w:pPr>
        <w:jc w:val="both"/>
        <w:rPr>
          <w:sz w:val="22"/>
          <w:lang w:val="en-GB" w:eastAsia="de-DE"/>
        </w:rPr>
      </w:pPr>
    </w:p>
    <w:tbl>
      <w:tblPr>
        <w:tblW w:w="96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2275A5" w:rsidRPr="00182F50">
        <w:tc>
          <w:tcPr>
            <w:tcW w:w="9600" w:type="dxa"/>
          </w:tcPr>
          <w:p w:rsidR="002275A5" w:rsidRPr="00217D07" w:rsidRDefault="002275A5" w:rsidP="00C44DFE">
            <w:pPr>
              <w:rPr>
                <w:rFonts w:ascii="Arial" w:hAnsi="Arial" w:cs="Arial"/>
                <w:b/>
                <w:lang w:val="en-GB" w:eastAsia="de-DE"/>
              </w:rPr>
            </w:pPr>
          </w:p>
          <w:p w:rsidR="002275A5" w:rsidRPr="00217D07" w:rsidRDefault="002275A5" w:rsidP="00C44DFE">
            <w:pPr>
              <w:keepNext/>
              <w:outlineLvl w:val="2"/>
              <w:rPr>
                <w:rFonts w:ascii="Arial" w:hAnsi="Arial" w:cs="Arial"/>
                <w:b/>
                <w:lang w:val="en-GB" w:eastAsia="de-DE"/>
              </w:rPr>
            </w:pPr>
            <w:r w:rsidRPr="00217D07">
              <w:rPr>
                <w:rFonts w:ascii="Arial" w:hAnsi="Arial" w:cs="Arial"/>
                <w:b/>
                <w:sz w:val="22"/>
                <w:szCs w:val="22"/>
                <w:lang w:val="en-GB" w:eastAsia="de-DE"/>
              </w:rPr>
              <w:t>Summary</w:t>
            </w:r>
          </w:p>
          <w:p w:rsidR="002275A5" w:rsidRPr="00217D07" w:rsidRDefault="002275A5" w:rsidP="00D06068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:rsidR="002275A5" w:rsidRPr="00217D07" w:rsidRDefault="002275A5" w:rsidP="00CA1521">
            <w:pPr>
              <w:jc w:val="both"/>
              <w:rPr>
                <w:rFonts w:ascii="Arial" w:hAnsi="Arial" w:cs="Arial"/>
                <w:lang w:val="en-GB"/>
              </w:rPr>
            </w:pPr>
            <w:r w:rsidRPr="00217D0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BDA2GC system is an Aeronautical Mobile Service (AMS), as per the conclusion of FM PT48 endorsed by WG FM. FM PT48 and WG FM also 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oncluded that an ITU A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llocation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of a band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to either the Mobile Service (without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the explicit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exclusion of the Aeronautical Mobile Service) or to the Aeronautical Mobile Service is appropriate for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DA2GC.</w:t>
            </w:r>
          </w:p>
          <w:p w:rsidR="002275A5" w:rsidRPr="00217D07" w:rsidRDefault="002275A5" w:rsidP="00CA1521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2275A5" w:rsidRPr="00217D07" w:rsidRDefault="002275A5" w:rsidP="006101CF">
            <w:pPr>
              <w:spacing w:before="80"/>
              <w:jc w:val="both"/>
              <w:rPr>
                <w:rFonts w:ascii="Arial" w:hAnsi="Arial" w:cs="Arial"/>
                <w:lang w:val="en-GB"/>
              </w:rPr>
            </w:pP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The band 1452 – 1492 MHz is allocated to the 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obile Service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except aeronautical mobile in Region 1 in the ITU Radio Regulation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(Article 5)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. The BDA2GC application is therefore not 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ompatible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with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current ITU Radio Regulations applicable in the band 1452-1492 MHz,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Comp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atibility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would be ensured by suppressing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the exception to the A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onautical M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obile in Region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1. This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requires a WRC decision which usually extend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over 2 conferences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cycles and requires one WRC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to develop an agenda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item and associated Resolution and a subsequent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WRC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to take the appropriate decisions regarding the allocation. This will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lead to WRC-18/19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at the earliest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In addition, taking into account the services to which the band 1452-1492 MHz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is currently allocated in Region 1, operation of the system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under No. </w:t>
            </w:r>
            <w:r w:rsidRPr="00E20730">
              <w:rPr>
                <w:rFonts w:ascii="Arial" w:hAnsi="Arial" w:cs="Arial"/>
                <w:sz w:val="22"/>
                <w:szCs w:val="22"/>
                <w:lang w:val="en-GB"/>
              </w:rPr>
              <w:t>4.4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Radio Regulation, on a non interference non protection basis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wouldn’t be appropriate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2275A5" w:rsidRPr="00217D07" w:rsidRDefault="002275A5" w:rsidP="000802B1">
            <w:pPr>
              <w:spacing w:line="276" w:lineRule="auto"/>
              <w:jc w:val="both"/>
              <w:rPr>
                <w:rFonts w:ascii="Arial" w:hAnsi="Arial" w:cs="Arial"/>
                <w:lang w:val="en-GB" w:eastAsia="de-DE"/>
              </w:rPr>
            </w:pPr>
          </w:p>
        </w:tc>
      </w:tr>
      <w:tr w:rsidR="002275A5" w:rsidRPr="00182F50" w:rsidTr="00EE3899">
        <w:tc>
          <w:tcPr>
            <w:tcW w:w="9600" w:type="dxa"/>
          </w:tcPr>
          <w:p w:rsidR="002275A5" w:rsidRPr="00217D07" w:rsidRDefault="002275A5" w:rsidP="00EE3899">
            <w:pPr>
              <w:keepNext/>
              <w:outlineLvl w:val="2"/>
              <w:rPr>
                <w:rFonts w:ascii="Arial" w:hAnsi="Arial" w:cs="Arial"/>
                <w:b/>
                <w:lang w:val="en-GB" w:eastAsia="de-DE"/>
              </w:rPr>
            </w:pPr>
          </w:p>
          <w:p w:rsidR="002275A5" w:rsidRPr="00217D07" w:rsidRDefault="002275A5" w:rsidP="00EE3899">
            <w:pPr>
              <w:keepNext/>
              <w:outlineLvl w:val="2"/>
              <w:rPr>
                <w:rFonts w:ascii="Arial" w:hAnsi="Arial" w:cs="Arial"/>
                <w:b/>
                <w:lang w:val="en-GB" w:eastAsia="de-DE"/>
              </w:rPr>
            </w:pPr>
            <w:r w:rsidRPr="00217D07">
              <w:rPr>
                <w:rFonts w:ascii="Arial" w:hAnsi="Arial" w:cs="Arial"/>
                <w:b/>
                <w:sz w:val="22"/>
                <w:szCs w:val="22"/>
                <w:lang w:val="en-GB" w:eastAsia="de-DE"/>
              </w:rPr>
              <w:t>Proposal</w:t>
            </w:r>
          </w:p>
          <w:p w:rsidR="002275A5" w:rsidRPr="00217D07" w:rsidRDefault="002275A5" w:rsidP="00D72AF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2275A5" w:rsidRPr="00217D07" w:rsidRDefault="002275A5" w:rsidP="00CA1521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France proposes to include in Section 4 of the Draft ECC Report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on the future use of the 1452-1492 MHz band,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the following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text relative to the assessment of the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DA2GC v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is à vis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the criteria “Compatibility with the current regulatory framework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”:</w:t>
            </w:r>
          </w:p>
          <w:p w:rsidR="002275A5" w:rsidRPr="00217D07" w:rsidRDefault="002275A5" w:rsidP="00CA1521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2275A5" w:rsidRPr="00217D07" w:rsidRDefault="002275A5" w:rsidP="00CA1521">
            <w:pPr>
              <w:spacing w:before="60" w:after="60"/>
              <w:jc w:val="both"/>
              <w:rPr>
                <w:rFonts w:ascii="Arial" w:hAnsi="Arial" w:cs="Arial"/>
                <w:lang w:val="en-GB" w:eastAsia="de-DE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A 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>BDA2GC is an Aeronautical Mobile Service (AMS)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. T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he band 1452-1492 MHz is currently allocated to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the 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Mobile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Service 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>except aeronautical mobile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in Region 1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BDA2GC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application 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therefore 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>not c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ompatible 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with current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allocations in 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>Artic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le 5 of the Radio Regulations. 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>Compatibility with the radio regulations could be ensured by suppressing the current exception to aeronautical mobile service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in Region 1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>. This requires a decision by a World Radio Conference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. Such a decision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usually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requires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2 conferences study cycles, a first WRC to define an agenda item and a resolution and a second WRC to conclude on the allocation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, based on the compatibility studies between BDA2GC and other services allocated in the band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The compatibility with the Radio Regulations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could therefore be reached in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eastAsia="de-DE"/>
              </w:rPr>
              <w:t>20</w:t>
            </w:r>
            <w:r w:rsidRPr="00217D07">
              <w:rPr>
                <w:rFonts w:ascii="Arial" w:hAnsi="Arial" w:cs="Arial"/>
                <w:sz w:val="22"/>
                <w:szCs w:val="22"/>
                <w:lang w:val="en-GB" w:eastAsia="de-DE"/>
              </w:rPr>
              <w:t>18/19 at the earliest.</w:t>
            </w:r>
          </w:p>
          <w:p w:rsidR="002275A5" w:rsidRPr="00217D07" w:rsidRDefault="002275A5" w:rsidP="006275D0">
            <w:pPr>
              <w:spacing w:before="60" w:after="60"/>
              <w:jc w:val="both"/>
              <w:rPr>
                <w:lang w:val="en-GB" w:eastAsia="de-DE"/>
              </w:rPr>
            </w:pPr>
          </w:p>
        </w:tc>
      </w:tr>
      <w:tr w:rsidR="002275A5" w:rsidRPr="00182F50" w:rsidTr="00EE3899">
        <w:tc>
          <w:tcPr>
            <w:tcW w:w="9600" w:type="dxa"/>
          </w:tcPr>
          <w:p w:rsidR="002275A5" w:rsidRPr="00217D07" w:rsidRDefault="002275A5" w:rsidP="00EE3899">
            <w:pPr>
              <w:rPr>
                <w:rFonts w:ascii="Arial" w:hAnsi="Arial" w:cs="Arial"/>
                <w:lang w:val="en-GB" w:eastAsia="de-DE"/>
              </w:rPr>
            </w:pPr>
          </w:p>
          <w:p w:rsidR="002275A5" w:rsidRPr="00217D07" w:rsidRDefault="002275A5" w:rsidP="00EE3899">
            <w:pPr>
              <w:keepNext/>
              <w:outlineLvl w:val="2"/>
              <w:rPr>
                <w:rFonts w:ascii="Arial" w:hAnsi="Arial"/>
                <w:b/>
                <w:lang w:val="en-GB" w:eastAsia="de-DE"/>
              </w:rPr>
            </w:pPr>
            <w:r w:rsidRPr="00217D07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Background</w:t>
            </w:r>
          </w:p>
          <w:p w:rsidR="002275A5" w:rsidRPr="00217D07" w:rsidRDefault="002275A5" w:rsidP="00EE3899">
            <w:pPr>
              <w:keepNext/>
              <w:outlineLvl w:val="2"/>
              <w:rPr>
                <w:rFonts w:ascii="Arial" w:hAnsi="Arial"/>
                <w:b/>
                <w:lang w:val="en-GB" w:eastAsia="de-DE"/>
              </w:rPr>
            </w:pPr>
          </w:p>
          <w:p w:rsidR="002275A5" w:rsidRPr="00217D07" w:rsidRDefault="002275A5" w:rsidP="00E20730">
            <w:pPr>
              <w:spacing w:before="120"/>
              <w:jc w:val="both"/>
              <w:rPr>
                <w:rFonts w:ascii="Arial" w:hAnsi="Arial" w:cs="Arial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17D07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France</w:t>
                </w:r>
              </w:smartTag>
            </w:smartTag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supports the work undertaken by FM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PT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48 related to the possible identification of </w:t>
            </w:r>
            <w:r w:rsidRPr="006101CF">
              <w:rPr>
                <w:rFonts w:ascii="Arial" w:hAnsi="Arial" w:cs="Arial"/>
                <w:sz w:val="22"/>
                <w:szCs w:val="22"/>
                <w:lang w:val="en-GB"/>
              </w:rPr>
              <w:t xml:space="preserve">frequency bands for a BDA2GC system. However, France considers (as detailed in document </w:t>
            </w:r>
            <w:r w:rsidRPr="008C3C47">
              <w:rPr>
                <w:rFonts w:ascii="Arial" w:hAnsi="Arial" w:cs="Arial"/>
                <w:sz w:val="22"/>
                <w:szCs w:val="22"/>
                <w:lang w:val="en-GB"/>
              </w:rPr>
              <w:t>FM48(11)006</w:t>
            </w:r>
            <w:r w:rsidRPr="006101CF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that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only the bands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which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are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currently allocated in Region </w:t>
            </w:r>
            <w:smartTag w:uri="urn:schemas-microsoft-com:office:smarttags" w:element="metricconverter">
              <w:smartTagPr>
                <w:attr w:name="ProductID" w:val="1 in"/>
              </w:smartTagPr>
              <w:r w:rsidRPr="00217D07">
                <w:rPr>
                  <w:rFonts w:ascii="Arial" w:hAnsi="Arial" w:cs="Arial"/>
                  <w:sz w:val="22"/>
                  <w:szCs w:val="22"/>
                  <w:lang w:val="en-GB"/>
                </w:rPr>
                <w:t>1 in</w:t>
              </w:r>
            </w:smartTag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 ITU Radio Regulations to the A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onautical M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obile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Service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or to the Mobile S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ervice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without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explicit exclusion of the A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eronautical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) should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be considered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in CEPT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for DA2GC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taking into account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timeframe required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to reach a positive WRC decision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France argued that the operation of such system under No. </w:t>
            </w:r>
            <w:r w:rsidRPr="00E20730">
              <w:rPr>
                <w:rFonts w:ascii="Arial" w:hAnsi="Arial" w:cs="Arial"/>
                <w:sz w:val="22"/>
                <w:szCs w:val="22"/>
                <w:lang w:val="en-GB"/>
              </w:rPr>
              <w:t>4.4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Radio Regulation, on a non interference non protection basis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in CEPT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in the band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1452-1492 MHz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would not ensure the appropriate required regulatory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framework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, taking into account the current services to which the band is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currently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allocated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in Region 1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2275A5" w:rsidRDefault="002275A5" w:rsidP="00E20730">
            <w:pPr>
              <w:spacing w:before="120"/>
              <w:jc w:val="both"/>
              <w:rPr>
                <w:rFonts w:ascii="Arial" w:hAnsi="Arial" w:cs="Arial"/>
                <w:lang w:val="en-GB"/>
              </w:rPr>
            </w:pPr>
            <w:r w:rsidRPr="00217D0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FM PT 48 concluded that a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BDA2GC system is in 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ine with the definition of the Aeronautical Mobile S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ervice (AMS). This conclusion was endorsed by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WG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FM. WG FM also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endorsed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the view of FM PT 48 that, by taking into account the definitions in the ITU Radio Regulations, an allocation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to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either the mobile service (without the exclusion of the aeronautical mobile service) or to the aeronautical mobile service is appropriate for a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DA2GC system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 whereas the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 xml:space="preserve"> band 1452 – 1492 MHz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is allocated </w:t>
            </w:r>
            <w:r w:rsidRPr="00217D07">
              <w:rPr>
                <w:rFonts w:ascii="Arial" w:hAnsi="Arial" w:cs="Arial"/>
                <w:sz w:val="22"/>
                <w:szCs w:val="22"/>
                <w:lang w:val="en-GB"/>
              </w:rPr>
              <w:t>to MOBILE Service except aeronautical mobile in Region 1.</w:t>
            </w:r>
          </w:p>
          <w:p w:rsidR="002275A5" w:rsidRPr="00217D07" w:rsidRDefault="002275A5" w:rsidP="00B50E74">
            <w:pPr>
              <w:spacing w:line="276" w:lineRule="auto"/>
              <w:jc w:val="both"/>
              <w:rPr>
                <w:rFonts w:ascii="Arial" w:hAnsi="Arial" w:cs="Arial"/>
                <w:iCs/>
                <w:lang w:val="en-GB"/>
              </w:rPr>
            </w:pPr>
          </w:p>
          <w:p w:rsidR="002275A5" w:rsidRPr="00217D07" w:rsidRDefault="002275A5" w:rsidP="00217D07">
            <w:pPr>
              <w:spacing w:line="276" w:lineRule="auto"/>
              <w:jc w:val="both"/>
              <w:rPr>
                <w:u w:val="single"/>
                <w:lang w:val="en-GB"/>
              </w:rPr>
            </w:pPr>
          </w:p>
        </w:tc>
      </w:tr>
    </w:tbl>
    <w:p w:rsidR="002275A5" w:rsidRPr="008C3C47" w:rsidRDefault="002275A5" w:rsidP="00232517">
      <w:pPr>
        <w:rPr>
          <w:lang w:val="en-GB"/>
        </w:rPr>
      </w:pPr>
    </w:p>
    <w:p w:rsidR="002275A5" w:rsidRPr="008C3C47" w:rsidRDefault="002275A5" w:rsidP="00FC5D34">
      <w:pPr>
        <w:rPr>
          <w:b/>
          <w:lang w:val="en-GB"/>
        </w:rPr>
      </w:pPr>
    </w:p>
    <w:sectPr w:rsidR="002275A5" w:rsidRPr="008C3C47" w:rsidSect="00C44D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5A5" w:rsidRDefault="002275A5" w:rsidP="001F3A55">
      <w:r>
        <w:separator/>
      </w:r>
    </w:p>
  </w:endnote>
  <w:endnote w:type="continuationSeparator" w:id="0">
    <w:p w:rsidR="002275A5" w:rsidRDefault="002275A5" w:rsidP="001F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A5" w:rsidRDefault="002275A5">
    <w:pPr>
      <w:pStyle w:val="Footer"/>
      <w:rPr>
        <w:sz w:val="20"/>
        <w:szCs w:val="20"/>
        <w:lang w:val="fr-FR"/>
      </w:rPr>
    </w:pPr>
    <w:r>
      <w:rPr>
        <w:sz w:val="20"/>
        <w:szCs w:val="20"/>
        <w:lang w:val="fr-FR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>/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5A5" w:rsidRDefault="002275A5" w:rsidP="001F3A55">
      <w:r>
        <w:separator/>
      </w:r>
    </w:p>
  </w:footnote>
  <w:footnote w:type="continuationSeparator" w:id="0">
    <w:p w:rsidR="002275A5" w:rsidRDefault="002275A5" w:rsidP="001F3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AAEF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E"/>
    <w:multiLevelType w:val="singleLevel"/>
    <w:tmpl w:val="7E506574"/>
    <w:lvl w:ilvl="0">
      <w:start w:val="1"/>
      <w:numFmt w:val="decimal"/>
      <w:pStyle w:val="ListNumber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FE"/>
    <w:multiLevelType w:val="singleLevel"/>
    <w:tmpl w:val="E19467C2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B8A51B0"/>
    <w:multiLevelType w:val="hybridMultilevel"/>
    <w:tmpl w:val="282A157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BC1260A"/>
    <w:multiLevelType w:val="hybridMultilevel"/>
    <w:tmpl w:val="11A2C09C"/>
    <w:lvl w:ilvl="0" w:tplc="F96C654C">
      <w:start w:val="1"/>
      <w:numFmt w:val="decimal"/>
      <w:lvlText w:val="(%1)"/>
      <w:lvlJc w:val="left"/>
      <w:pPr>
        <w:ind w:left="489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6"/>
        </w:tabs>
        <w:ind w:left="6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876"/>
        </w:tabs>
        <w:ind w:left="6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596"/>
        </w:tabs>
        <w:ind w:left="7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316"/>
        </w:tabs>
        <w:ind w:left="8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036"/>
        </w:tabs>
        <w:ind w:left="9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756"/>
        </w:tabs>
        <w:ind w:left="9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476"/>
        </w:tabs>
        <w:ind w:left="10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196"/>
        </w:tabs>
        <w:ind w:left="11196" w:hanging="180"/>
      </w:pPr>
      <w:rPr>
        <w:rFonts w:cs="Times New Roman"/>
      </w:rPr>
    </w:lvl>
  </w:abstractNum>
  <w:abstractNum w:abstractNumId="5">
    <w:nsid w:val="0BEA4F39"/>
    <w:multiLevelType w:val="multilevel"/>
    <w:tmpl w:val="EFB6D65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6">
    <w:nsid w:val="176F3026"/>
    <w:multiLevelType w:val="hybridMultilevel"/>
    <w:tmpl w:val="B1AA4F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89954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92C6D6D"/>
    <w:multiLevelType w:val="multilevel"/>
    <w:tmpl w:val="D2EE72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1907F0"/>
    <w:multiLevelType w:val="hybridMultilevel"/>
    <w:tmpl w:val="0574A294"/>
    <w:lvl w:ilvl="0" w:tplc="15D617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06DCE"/>
    <w:multiLevelType w:val="multilevel"/>
    <w:tmpl w:val="835C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C219E"/>
    <w:multiLevelType w:val="hybridMultilevel"/>
    <w:tmpl w:val="E52E9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4B1302"/>
    <w:multiLevelType w:val="hybridMultilevel"/>
    <w:tmpl w:val="8EB66762"/>
    <w:lvl w:ilvl="0" w:tplc="73EA53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DC3598"/>
    <w:multiLevelType w:val="multilevel"/>
    <w:tmpl w:val="74FC82B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4">
    <w:nsid w:val="48495192"/>
    <w:multiLevelType w:val="hybridMultilevel"/>
    <w:tmpl w:val="0778C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572D4F"/>
    <w:multiLevelType w:val="hybridMultilevel"/>
    <w:tmpl w:val="F5D0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67335"/>
    <w:multiLevelType w:val="hybridMultilevel"/>
    <w:tmpl w:val="6EBE03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57A4DE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CC104BF"/>
    <w:multiLevelType w:val="multilevel"/>
    <w:tmpl w:val="6A72EFD0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71DD7632"/>
    <w:multiLevelType w:val="multilevel"/>
    <w:tmpl w:val="C5F4B03E"/>
    <w:lvl w:ilvl="0">
      <w:start w:val="1"/>
      <w:numFmt w:val="decimal"/>
      <w:lvlText w:val="●"/>
      <w:lvlJc w:val="left"/>
      <w:pPr>
        <w:tabs>
          <w:tab w:val="num" w:pos="400"/>
        </w:tabs>
        <w:ind w:left="400" w:hanging="400"/>
      </w:pPr>
      <w:rPr>
        <w:rFonts w:ascii="Arial" w:hAnsi="Arial" w:cs="Arial"/>
        <w:color w:val="4F2683"/>
      </w:rPr>
    </w:lvl>
    <w:lvl w:ilvl="1">
      <w:start w:val="1"/>
      <w:numFmt w:val="lowerLetter"/>
      <w:lvlText w:val="–"/>
      <w:lvlJc w:val="left"/>
      <w:pPr>
        <w:tabs>
          <w:tab w:val="num" w:pos="800"/>
        </w:tabs>
        <w:ind w:left="800" w:hanging="400"/>
      </w:pPr>
      <w:rPr>
        <w:rFonts w:ascii="Arial" w:hAnsi="Arial" w:cs="Arial"/>
        <w:color w:val="4F2683"/>
      </w:rPr>
    </w:lvl>
    <w:lvl w:ilvl="2">
      <w:start w:val="1"/>
      <w:numFmt w:val="lowerRoman"/>
      <w:lvlText w:val="–"/>
      <w:lvlJc w:val="left"/>
      <w:pPr>
        <w:tabs>
          <w:tab w:val="num" w:pos="1200"/>
        </w:tabs>
        <w:ind w:left="1200" w:hanging="400"/>
      </w:pPr>
      <w:rPr>
        <w:rFonts w:ascii="Arial" w:hAnsi="Arial" w:cs="Arial"/>
        <w:color w:val="4F2683"/>
      </w:rPr>
    </w:lvl>
    <w:lvl w:ilvl="3">
      <w:start w:val="1"/>
      <w:numFmt w:val="decimal"/>
      <w:lvlText w:null="1"/>
      <w:lvlJc w:val="left"/>
      <w:pPr>
        <w:tabs>
          <w:tab w:val="num" w:pos="0"/>
        </w:tabs>
      </w:pPr>
      <w:rPr>
        <w:rFonts w:cs="Times New Roman"/>
        <w:color w:val="000000"/>
      </w:rPr>
    </w:lvl>
    <w:lvl w:ilvl="4">
      <w:start w:val="1"/>
      <w:numFmt w:val="lowerLetter"/>
      <w:lvlText w:null="1"/>
      <w:lvlJc w:val="left"/>
      <w:pPr>
        <w:tabs>
          <w:tab w:val="num" w:pos="0"/>
        </w:tabs>
      </w:pPr>
      <w:rPr>
        <w:rFonts w:cs="Times New Roman"/>
        <w:color w:val="000000"/>
      </w:rPr>
    </w:lvl>
    <w:lvl w:ilvl="5">
      <w:start w:val="1"/>
      <w:numFmt w:val="lowerRoman"/>
      <w:lvlText w:null="1"/>
      <w:lvlJc w:val="left"/>
      <w:pPr>
        <w:tabs>
          <w:tab w:val="num" w:pos="0"/>
        </w:tabs>
      </w:pPr>
      <w:rPr>
        <w:rFonts w:cs="Times New Roman"/>
        <w:color w:val="000000"/>
      </w:rPr>
    </w:lvl>
    <w:lvl w:ilvl="6">
      <w:start w:val="1"/>
      <w:numFmt w:val="decimal"/>
      <w:lvlText w:null="1"/>
      <w:lvlJc w:val="left"/>
      <w:pPr>
        <w:tabs>
          <w:tab w:val="num" w:pos="0"/>
        </w:tabs>
      </w:pPr>
      <w:rPr>
        <w:rFonts w:cs="Times New Roman"/>
        <w:color w:val="000000"/>
      </w:rPr>
    </w:lvl>
    <w:lvl w:ilvl="7">
      <w:start w:val="1"/>
      <w:numFmt w:val="lowerLetter"/>
      <w:lvlText w:null="1"/>
      <w:lvlJc w:val="left"/>
      <w:pPr>
        <w:tabs>
          <w:tab w:val="num" w:pos="0"/>
        </w:tabs>
      </w:pPr>
      <w:rPr>
        <w:rFonts w:cs="Times New Roman"/>
        <w:color w:val="000000"/>
      </w:rPr>
    </w:lvl>
    <w:lvl w:ilvl="8">
      <w:start w:val="1"/>
      <w:numFmt w:val="lowerRoman"/>
      <w:lvlText w:null="1"/>
      <w:lvlJc w:val="left"/>
      <w:pPr>
        <w:tabs>
          <w:tab w:val="num" w:pos="0"/>
        </w:tabs>
      </w:pPr>
      <w:rPr>
        <w:rFonts w:cs="Times New Roman"/>
        <w:color w:val="000000"/>
      </w:rPr>
    </w:lvl>
  </w:abstractNum>
  <w:abstractNum w:abstractNumId="20">
    <w:nsid w:val="771D76F3"/>
    <w:multiLevelType w:val="hybridMultilevel"/>
    <w:tmpl w:val="25B03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8172D4"/>
    <w:multiLevelType w:val="multilevel"/>
    <w:tmpl w:val="121866B2"/>
    <w:lvl w:ilvl="0">
      <w:start w:val="1"/>
      <w:numFmt w:val="decimal"/>
      <w:lvlText w:val=""/>
      <w:lvlJc w:val="left"/>
      <w:pPr>
        <w:tabs>
          <w:tab w:val="num" w:pos="760"/>
        </w:tabs>
        <w:ind w:left="760" w:hanging="400"/>
      </w:pPr>
      <w:rPr>
        <w:rFonts w:ascii="Symbol" w:hAnsi="Symbol" w:cs="Times New Roman" w:hint="default"/>
        <w:color w:val="4F2683"/>
      </w:rPr>
    </w:lvl>
    <w:lvl w:ilvl="1">
      <w:start w:val="1"/>
      <w:numFmt w:val="lowerLetter"/>
      <w:lvlText w:val="–"/>
      <w:lvlJc w:val="left"/>
      <w:pPr>
        <w:tabs>
          <w:tab w:val="num" w:pos="1160"/>
        </w:tabs>
        <w:ind w:left="1160" w:hanging="400"/>
      </w:pPr>
      <w:rPr>
        <w:rFonts w:ascii="Arial" w:hAnsi="Arial" w:cs="Arial"/>
        <w:color w:val="4F2683"/>
      </w:rPr>
    </w:lvl>
    <w:lvl w:ilvl="2">
      <w:start w:val="1"/>
      <w:numFmt w:val="lowerRoman"/>
      <w:lvlText w:val="–"/>
      <w:lvlJc w:val="left"/>
      <w:pPr>
        <w:tabs>
          <w:tab w:val="num" w:pos="1560"/>
        </w:tabs>
        <w:ind w:left="1560" w:hanging="400"/>
      </w:pPr>
      <w:rPr>
        <w:rFonts w:ascii="Arial" w:hAnsi="Arial" w:cs="Arial"/>
        <w:color w:val="4F2683"/>
      </w:rPr>
    </w:lvl>
    <w:lvl w:ilvl="3">
      <w:start w:val="1"/>
      <w:numFmt w:val="decimal"/>
      <w:lvlText w:val="·"/>
      <w:lvlJc w:val="left"/>
      <w:pPr>
        <w:tabs>
          <w:tab w:val="num" w:pos="1720"/>
        </w:tabs>
        <w:ind w:left="1720" w:hanging="340"/>
      </w:pPr>
      <w:rPr>
        <w:rFonts w:ascii="Symbol" w:hAnsi="Symbol" w:cs="Times New Roman" w:hint="default"/>
      </w:rPr>
    </w:lvl>
    <w:lvl w:ilvl="4">
      <w:start w:val="1"/>
      <w:numFmt w:val="lowerLetter"/>
      <w:lvlText w:val="·"/>
      <w:lvlJc w:val="left"/>
      <w:pPr>
        <w:tabs>
          <w:tab w:val="num" w:pos="2060"/>
        </w:tabs>
        <w:ind w:left="2060" w:hanging="340"/>
      </w:pPr>
      <w:rPr>
        <w:rFonts w:ascii="Symbol" w:hAnsi="Symbol" w:cs="Times New Roman" w:hint="default"/>
      </w:rPr>
    </w:lvl>
    <w:lvl w:ilvl="5">
      <w:start w:val="1"/>
      <w:numFmt w:val="lowerRoman"/>
      <w:lvlText w:val="·"/>
      <w:lvlJc w:val="left"/>
      <w:pPr>
        <w:tabs>
          <w:tab w:val="num" w:pos="2400"/>
        </w:tabs>
        <w:ind w:left="2400" w:hanging="340"/>
      </w:pPr>
      <w:rPr>
        <w:rFonts w:ascii="Symbol" w:hAnsi="Symbol" w:cs="Times New Roman" w:hint="default"/>
      </w:rPr>
    </w:lvl>
    <w:lvl w:ilvl="6">
      <w:start w:val="1"/>
      <w:numFmt w:val="decimal"/>
      <w:lvlText w:val="·"/>
      <w:lvlJc w:val="left"/>
      <w:pPr>
        <w:tabs>
          <w:tab w:val="num" w:pos="2740"/>
        </w:tabs>
        <w:ind w:left="2740" w:hanging="340"/>
      </w:pPr>
      <w:rPr>
        <w:rFonts w:ascii="Symbol" w:hAnsi="Symbol" w:cs="Times New Roman" w:hint="default"/>
      </w:rPr>
    </w:lvl>
    <w:lvl w:ilvl="7">
      <w:start w:val="1"/>
      <w:numFmt w:val="lowerLetter"/>
      <w:lvlText w:val="·"/>
      <w:lvlJc w:val="left"/>
      <w:pPr>
        <w:tabs>
          <w:tab w:val="num" w:pos="3080"/>
        </w:tabs>
        <w:ind w:left="3080" w:hanging="340"/>
      </w:pPr>
      <w:rPr>
        <w:rFonts w:ascii="Symbol" w:hAnsi="Symbol" w:cs="Times New Roman" w:hint="default"/>
      </w:rPr>
    </w:lvl>
    <w:lvl w:ilvl="8">
      <w:start w:val="1"/>
      <w:numFmt w:val="lowerRoman"/>
      <w:lvlText w:val="·"/>
      <w:lvlJc w:val="left"/>
      <w:pPr>
        <w:tabs>
          <w:tab w:val="num" w:pos="3420"/>
        </w:tabs>
        <w:ind w:left="3420" w:hanging="340"/>
      </w:pPr>
      <w:rPr>
        <w:rFonts w:ascii="Symbol" w:hAnsi="Symbol" w:cs="Times New Roman" w:hint="default"/>
      </w:rPr>
    </w:lvl>
  </w:abstractNum>
  <w:abstractNum w:abstractNumId="22">
    <w:nsid w:val="7E8915FE"/>
    <w:multiLevelType w:val="hybridMultilevel"/>
    <w:tmpl w:val="CE7E7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6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22"/>
  </w:num>
  <w:num w:numId="13">
    <w:abstractNumId w:val="12"/>
  </w:num>
  <w:num w:numId="14">
    <w:abstractNumId w:val="10"/>
  </w:num>
  <w:num w:numId="15">
    <w:abstractNumId w:val="3"/>
  </w:num>
  <w:num w:numId="1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  <w:lvlOverride w:ilvl="0">
      <w:startOverride w:val="4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lvl w:ilvl="0"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21"/>
  </w:num>
  <w:num w:numId="21">
    <w:abstractNumId w:val="1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0"/>
  </w:num>
  <w:num w:numId="25">
    <w:abstractNumId w:val="1"/>
  </w:num>
  <w:num w:numId="26">
    <w:abstractNumId w:val="1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34E"/>
    <w:rsid w:val="00011F35"/>
    <w:rsid w:val="00041FAD"/>
    <w:rsid w:val="000802B1"/>
    <w:rsid w:val="00097B87"/>
    <w:rsid w:val="000A3DD0"/>
    <w:rsid w:val="000C27CD"/>
    <w:rsid w:val="000E340F"/>
    <w:rsid w:val="00100397"/>
    <w:rsid w:val="001167AA"/>
    <w:rsid w:val="00124174"/>
    <w:rsid w:val="001437D9"/>
    <w:rsid w:val="001475B1"/>
    <w:rsid w:val="00153BF8"/>
    <w:rsid w:val="00182F50"/>
    <w:rsid w:val="001A657D"/>
    <w:rsid w:val="001C604F"/>
    <w:rsid w:val="001F3A55"/>
    <w:rsid w:val="00217D07"/>
    <w:rsid w:val="002275A5"/>
    <w:rsid w:val="00232517"/>
    <w:rsid w:val="0023292A"/>
    <w:rsid w:val="00240165"/>
    <w:rsid w:val="00263510"/>
    <w:rsid w:val="00286AF0"/>
    <w:rsid w:val="00295F8C"/>
    <w:rsid w:val="002C5BB3"/>
    <w:rsid w:val="002F5FFC"/>
    <w:rsid w:val="0030009E"/>
    <w:rsid w:val="00301217"/>
    <w:rsid w:val="003107DC"/>
    <w:rsid w:val="00336D21"/>
    <w:rsid w:val="0034457C"/>
    <w:rsid w:val="003452C0"/>
    <w:rsid w:val="003537EF"/>
    <w:rsid w:val="00354D7E"/>
    <w:rsid w:val="00354E43"/>
    <w:rsid w:val="00363BB4"/>
    <w:rsid w:val="00371244"/>
    <w:rsid w:val="003748A9"/>
    <w:rsid w:val="0037628F"/>
    <w:rsid w:val="003A4E79"/>
    <w:rsid w:val="003C0279"/>
    <w:rsid w:val="003C1E3A"/>
    <w:rsid w:val="003F1641"/>
    <w:rsid w:val="00407BC1"/>
    <w:rsid w:val="0041749A"/>
    <w:rsid w:val="00452EFB"/>
    <w:rsid w:val="00483358"/>
    <w:rsid w:val="004B64F4"/>
    <w:rsid w:val="004E4E74"/>
    <w:rsid w:val="004F5102"/>
    <w:rsid w:val="005010DA"/>
    <w:rsid w:val="0051454C"/>
    <w:rsid w:val="0052508D"/>
    <w:rsid w:val="0053749D"/>
    <w:rsid w:val="005612CB"/>
    <w:rsid w:val="00562793"/>
    <w:rsid w:val="00592EDB"/>
    <w:rsid w:val="005C7409"/>
    <w:rsid w:val="005F283D"/>
    <w:rsid w:val="00601D6C"/>
    <w:rsid w:val="00604D5B"/>
    <w:rsid w:val="006101CF"/>
    <w:rsid w:val="006275D0"/>
    <w:rsid w:val="0065594B"/>
    <w:rsid w:val="00662E6C"/>
    <w:rsid w:val="0067022B"/>
    <w:rsid w:val="0069239F"/>
    <w:rsid w:val="006A0771"/>
    <w:rsid w:val="006A3986"/>
    <w:rsid w:val="006B3DF4"/>
    <w:rsid w:val="006D1E70"/>
    <w:rsid w:val="006D3C91"/>
    <w:rsid w:val="006E2AF1"/>
    <w:rsid w:val="007478BF"/>
    <w:rsid w:val="00770899"/>
    <w:rsid w:val="007C1795"/>
    <w:rsid w:val="007E5E95"/>
    <w:rsid w:val="007E6D83"/>
    <w:rsid w:val="007F64E4"/>
    <w:rsid w:val="00811644"/>
    <w:rsid w:val="008134C0"/>
    <w:rsid w:val="00836773"/>
    <w:rsid w:val="0084739D"/>
    <w:rsid w:val="00870989"/>
    <w:rsid w:val="00877760"/>
    <w:rsid w:val="00886EE0"/>
    <w:rsid w:val="008C3C47"/>
    <w:rsid w:val="008D79EE"/>
    <w:rsid w:val="008F7AD7"/>
    <w:rsid w:val="009204FB"/>
    <w:rsid w:val="00933FF2"/>
    <w:rsid w:val="00936C87"/>
    <w:rsid w:val="0095686F"/>
    <w:rsid w:val="00981DAD"/>
    <w:rsid w:val="00997BF5"/>
    <w:rsid w:val="009A681E"/>
    <w:rsid w:val="009C16FD"/>
    <w:rsid w:val="009C2713"/>
    <w:rsid w:val="009D1EE7"/>
    <w:rsid w:val="009F01BA"/>
    <w:rsid w:val="009F05FF"/>
    <w:rsid w:val="009F45D4"/>
    <w:rsid w:val="00A3734E"/>
    <w:rsid w:val="00A447F0"/>
    <w:rsid w:val="00A6497B"/>
    <w:rsid w:val="00A96A89"/>
    <w:rsid w:val="00AA3A34"/>
    <w:rsid w:val="00AD2834"/>
    <w:rsid w:val="00B359FC"/>
    <w:rsid w:val="00B50140"/>
    <w:rsid w:val="00B50E74"/>
    <w:rsid w:val="00B64FFB"/>
    <w:rsid w:val="00B80619"/>
    <w:rsid w:val="00B85E85"/>
    <w:rsid w:val="00C04E5D"/>
    <w:rsid w:val="00C15554"/>
    <w:rsid w:val="00C414C1"/>
    <w:rsid w:val="00C44DFE"/>
    <w:rsid w:val="00C52917"/>
    <w:rsid w:val="00C83A05"/>
    <w:rsid w:val="00CA0C7B"/>
    <w:rsid w:val="00CA1521"/>
    <w:rsid w:val="00CB0671"/>
    <w:rsid w:val="00CB2948"/>
    <w:rsid w:val="00CE226E"/>
    <w:rsid w:val="00CF613B"/>
    <w:rsid w:val="00D0009B"/>
    <w:rsid w:val="00D06068"/>
    <w:rsid w:val="00D33BCE"/>
    <w:rsid w:val="00D43F12"/>
    <w:rsid w:val="00D670E7"/>
    <w:rsid w:val="00D72AFD"/>
    <w:rsid w:val="00D95384"/>
    <w:rsid w:val="00DA0D57"/>
    <w:rsid w:val="00DB5B38"/>
    <w:rsid w:val="00DD6B9D"/>
    <w:rsid w:val="00E20730"/>
    <w:rsid w:val="00E51D71"/>
    <w:rsid w:val="00E713D1"/>
    <w:rsid w:val="00E72FC8"/>
    <w:rsid w:val="00E76E16"/>
    <w:rsid w:val="00E843BC"/>
    <w:rsid w:val="00EA1831"/>
    <w:rsid w:val="00EB58D7"/>
    <w:rsid w:val="00EE3899"/>
    <w:rsid w:val="00EF27CA"/>
    <w:rsid w:val="00F03A95"/>
    <w:rsid w:val="00F124F8"/>
    <w:rsid w:val="00F17EFA"/>
    <w:rsid w:val="00F35BEF"/>
    <w:rsid w:val="00F426A7"/>
    <w:rsid w:val="00F51FC0"/>
    <w:rsid w:val="00F92E14"/>
    <w:rsid w:val="00F948BE"/>
    <w:rsid w:val="00FC3BC8"/>
    <w:rsid w:val="00FC5D34"/>
    <w:rsid w:val="00FE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01D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7EF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E34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37EF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23251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37EF"/>
    <w:rPr>
      <w:rFonts w:ascii="Calibri" w:hAnsi="Calibri" w:cs="Times New Roman"/>
      <w:b/>
      <w:kern w:val="32"/>
      <w:sz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340F"/>
    <w:rPr>
      <w:rFonts w:ascii="Cambria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537EF"/>
    <w:rPr>
      <w:rFonts w:ascii="Calibri" w:hAnsi="Calibri" w:cs="Times New Roman"/>
      <w:b/>
      <w:sz w:val="26"/>
      <w:lang w:val="fr-FR" w:eastAsia="fr-FR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32517"/>
    <w:rPr>
      <w:rFonts w:ascii="Cambria" w:hAnsi="Cambria" w:cs="Times New Roman"/>
      <w:sz w:val="22"/>
      <w:szCs w:val="22"/>
      <w:lang w:val="fr-FR" w:eastAsia="fr-FR"/>
    </w:rPr>
  </w:style>
  <w:style w:type="paragraph" w:styleId="BodyText">
    <w:name w:val="Body Text"/>
    <w:aliases w:val="bt,heading3,Body Text - Level 2,Body,b,(Ctrl Shift B),Body Text Char1 Char,Body Text Char1 Char Char,NoticeText-List,Body Text Char Char Char,BT,GS,Heading 1 text,t1,taten_body"/>
    <w:basedOn w:val="Normal"/>
    <w:link w:val="BodyTextChar"/>
    <w:uiPriority w:val="99"/>
    <w:rsid w:val="003537EF"/>
    <w:pPr>
      <w:spacing w:before="120" w:after="120" w:line="288" w:lineRule="auto"/>
    </w:pPr>
    <w:rPr>
      <w:rFonts w:ascii="Arial" w:hAnsi="Arial"/>
      <w:lang w:val="en-GB" w:eastAsia="en-GB"/>
    </w:rPr>
  </w:style>
  <w:style w:type="character" w:customStyle="1" w:styleId="BodyTextChar">
    <w:name w:val="Body Text Char"/>
    <w:aliases w:val="bt Char,heading3 Char,Body Text - Level 2 Char,Body Char,b Char,(Ctrl Shift B) Char,Body Text Char1 Char Char1,Body Text Char1 Char Char Char,NoticeText-List Char,Body Text Char Char Char Char,BT Char,GS Char,Heading 1 text Char,t1 Char"/>
    <w:basedOn w:val="DefaultParagraphFont"/>
    <w:link w:val="BodyText"/>
    <w:uiPriority w:val="99"/>
    <w:locked/>
    <w:rsid w:val="003537EF"/>
    <w:rPr>
      <w:rFonts w:ascii="Arial" w:hAnsi="Arial" w:cs="Times New Roman"/>
      <w:sz w:val="24"/>
      <w:lang w:val="en-GB" w:eastAsia="en-GB"/>
    </w:rPr>
  </w:style>
  <w:style w:type="paragraph" w:customStyle="1" w:styleId="Elencoacolori-Colore11">
    <w:name w:val="Elenco a colori - Colore 11"/>
    <w:basedOn w:val="Normal"/>
    <w:uiPriority w:val="99"/>
    <w:rsid w:val="003537EF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3537E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37EF"/>
    <w:rPr>
      <w:rFonts w:ascii="Tahoma" w:hAnsi="Tahoma" w:cs="Times New Roman"/>
      <w:sz w:val="16"/>
      <w:lang w:val="fr-FR" w:eastAsia="fr-FR"/>
    </w:rPr>
  </w:style>
  <w:style w:type="character" w:styleId="Strong">
    <w:name w:val="Strong"/>
    <w:basedOn w:val="DefaultParagraphFont"/>
    <w:uiPriority w:val="99"/>
    <w:qFormat/>
    <w:rsid w:val="003537EF"/>
    <w:rPr>
      <w:rFonts w:cs="Times New Roman"/>
      <w:b/>
    </w:rPr>
  </w:style>
  <w:style w:type="character" w:styleId="Hyperlink">
    <w:name w:val="Hyperlink"/>
    <w:basedOn w:val="DefaultParagraphFont"/>
    <w:uiPriority w:val="99"/>
    <w:rsid w:val="003537E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64FFB"/>
    <w:pPr>
      <w:ind w:left="1304"/>
    </w:pPr>
  </w:style>
  <w:style w:type="table" w:styleId="TableGrid">
    <w:name w:val="Table Grid"/>
    <w:basedOn w:val="TableNormal"/>
    <w:uiPriority w:val="99"/>
    <w:rsid w:val="001F3A55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ALTS FOOTNOTE,Footnote Text2,Footnote Text11,ALTS FOOTNOTE11,Footnote Text Char111,Footnote Text Char Char Char11,Footnote Text Char1 Char Char Char Char11,Footnote Text Char1 Char Char Char11,ALTS FOOTNOTE2,Char Char Char,f,fn,DN"/>
    <w:basedOn w:val="Normal"/>
    <w:link w:val="FootnoteTextChar"/>
    <w:uiPriority w:val="99"/>
    <w:rsid w:val="001F3A55"/>
    <w:pPr>
      <w:spacing w:after="200" w:line="276" w:lineRule="auto"/>
    </w:pPr>
    <w:rPr>
      <w:rFonts w:ascii="Calibri" w:hAnsi="Calibri"/>
      <w:sz w:val="20"/>
      <w:szCs w:val="20"/>
      <w:lang w:val="en-GB" w:eastAsia="en-GB"/>
    </w:rPr>
  </w:style>
  <w:style w:type="character" w:customStyle="1" w:styleId="FootnoteTextChar">
    <w:name w:val="Footnote Text Char"/>
    <w:aliases w:val="ALTS FOOTNOTE Char,Footnote Text2 Char,Footnote Text11 Char,ALTS FOOTNOTE11 Char,Footnote Text Char111 Char,Footnote Text Char Char Char11 Char,Footnote Text Char1 Char Char Char Char11 Char,Footnote Text Char1 Char Char Char11 Char"/>
    <w:basedOn w:val="DefaultParagraphFont"/>
    <w:link w:val="FootnoteText"/>
    <w:uiPriority w:val="99"/>
    <w:locked/>
    <w:rsid w:val="001F3A55"/>
    <w:rPr>
      <w:rFonts w:ascii="Calibri" w:hAnsi="Calibri" w:cs="Times New Roman"/>
      <w:lang w:val="en-GB" w:eastAsia="en-GB"/>
    </w:rPr>
  </w:style>
  <w:style w:type="character" w:styleId="FootnoteReference">
    <w:name w:val="footnote reference"/>
    <w:aliases w:val="Appel note de bas de p,Footnote,Footnote Reference/"/>
    <w:basedOn w:val="DefaultParagraphFont"/>
    <w:uiPriority w:val="99"/>
    <w:rsid w:val="001F3A55"/>
    <w:rPr>
      <w:rFonts w:cs="Times New Roman"/>
      <w:vertAlign w:val="superscript"/>
    </w:rPr>
  </w:style>
  <w:style w:type="paragraph" w:customStyle="1" w:styleId="BulletList2">
    <w:name w:val="Bullet List 2"/>
    <w:basedOn w:val="BulletList1"/>
    <w:uiPriority w:val="99"/>
    <w:rsid w:val="00D72AFD"/>
    <w:pPr>
      <w:numPr>
        <w:ilvl w:val="1"/>
      </w:numPr>
      <w:tabs>
        <w:tab w:val="num" w:pos="576"/>
        <w:tab w:val="num" w:pos="926"/>
        <w:tab w:val="num" w:pos="1209"/>
      </w:tabs>
      <w:ind w:left="576" w:hanging="576"/>
    </w:pPr>
  </w:style>
  <w:style w:type="paragraph" w:customStyle="1" w:styleId="BulletList1">
    <w:name w:val="Bullet List 1"/>
    <w:basedOn w:val="Normal"/>
    <w:link w:val="BulletList1Char"/>
    <w:uiPriority w:val="99"/>
    <w:rsid w:val="00D72AFD"/>
    <w:pPr>
      <w:numPr>
        <w:numId w:val="15"/>
      </w:numPr>
      <w:tabs>
        <w:tab w:val="num" w:pos="760"/>
      </w:tabs>
      <w:spacing w:before="120" w:after="120" w:line="287" w:lineRule="auto"/>
      <w:ind w:left="760" w:hanging="400"/>
    </w:pPr>
    <w:rPr>
      <w:rFonts w:ascii="Arial" w:hAnsi="Arial"/>
      <w:sz w:val="20"/>
      <w:lang w:val="en-GB" w:eastAsia="en-GB"/>
    </w:rPr>
  </w:style>
  <w:style w:type="paragraph" w:customStyle="1" w:styleId="BulletList3">
    <w:name w:val="Bullet List 3"/>
    <w:basedOn w:val="BulletList2"/>
    <w:uiPriority w:val="99"/>
    <w:rsid w:val="00D72AFD"/>
    <w:pPr>
      <w:numPr>
        <w:ilvl w:val="2"/>
      </w:numPr>
      <w:tabs>
        <w:tab w:val="num" w:pos="720"/>
        <w:tab w:val="num" w:pos="926"/>
        <w:tab w:val="num" w:pos="1560"/>
      </w:tabs>
      <w:ind w:left="720" w:hanging="720"/>
    </w:pPr>
  </w:style>
  <w:style w:type="paragraph" w:customStyle="1" w:styleId="BulletList4">
    <w:name w:val="Bullet List 4"/>
    <w:basedOn w:val="BulletList3"/>
    <w:uiPriority w:val="99"/>
    <w:rsid w:val="00D72AFD"/>
    <w:pPr>
      <w:numPr>
        <w:ilvl w:val="3"/>
      </w:numPr>
      <w:tabs>
        <w:tab w:val="num" w:pos="864"/>
        <w:tab w:val="num" w:pos="926"/>
        <w:tab w:val="num" w:pos="1720"/>
      </w:tabs>
      <w:ind w:left="864" w:hanging="864"/>
    </w:pPr>
  </w:style>
  <w:style w:type="paragraph" w:customStyle="1" w:styleId="BulletList5">
    <w:name w:val="Bullet List 5"/>
    <w:basedOn w:val="BulletList4"/>
    <w:uiPriority w:val="99"/>
    <w:rsid w:val="00D72AFD"/>
    <w:pPr>
      <w:numPr>
        <w:ilvl w:val="4"/>
      </w:numPr>
      <w:tabs>
        <w:tab w:val="num" w:pos="926"/>
        <w:tab w:val="num" w:pos="1008"/>
        <w:tab w:val="num" w:pos="2060"/>
      </w:tabs>
      <w:ind w:left="1008" w:hanging="1008"/>
    </w:pPr>
  </w:style>
  <w:style w:type="paragraph" w:customStyle="1" w:styleId="BulletList6">
    <w:name w:val="Bullet List 6"/>
    <w:basedOn w:val="BulletList5"/>
    <w:uiPriority w:val="99"/>
    <w:rsid w:val="00D72AFD"/>
    <w:pPr>
      <w:numPr>
        <w:ilvl w:val="5"/>
      </w:numPr>
      <w:tabs>
        <w:tab w:val="num" w:pos="1008"/>
        <w:tab w:val="num" w:pos="1152"/>
        <w:tab w:val="num" w:pos="2400"/>
      </w:tabs>
      <w:ind w:left="1152" w:hanging="1152"/>
    </w:pPr>
  </w:style>
  <w:style w:type="paragraph" w:customStyle="1" w:styleId="BulletList7">
    <w:name w:val="Bullet List 7"/>
    <w:basedOn w:val="BulletList6"/>
    <w:uiPriority w:val="99"/>
    <w:rsid w:val="00D72AFD"/>
    <w:pPr>
      <w:numPr>
        <w:ilvl w:val="6"/>
      </w:numPr>
      <w:tabs>
        <w:tab w:val="num" w:pos="1152"/>
        <w:tab w:val="num" w:pos="1296"/>
        <w:tab w:val="num" w:pos="2740"/>
      </w:tabs>
      <w:ind w:left="1296" w:hanging="1296"/>
    </w:pPr>
  </w:style>
  <w:style w:type="paragraph" w:customStyle="1" w:styleId="BulletList8">
    <w:name w:val="Bullet List 8"/>
    <w:basedOn w:val="BulletList7"/>
    <w:uiPriority w:val="99"/>
    <w:rsid w:val="00D72AFD"/>
    <w:pPr>
      <w:numPr>
        <w:ilvl w:val="7"/>
      </w:numPr>
      <w:tabs>
        <w:tab w:val="num" w:pos="1209"/>
        <w:tab w:val="num" w:pos="1440"/>
        <w:tab w:val="num" w:pos="3080"/>
      </w:tabs>
      <w:ind w:left="1440" w:hanging="1440"/>
    </w:pPr>
  </w:style>
  <w:style w:type="paragraph" w:customStyle="1" w:styleId="BulletList9">
    <w:name w:val="Bullet List 9"/>
    <w:basedOn w:val="BulletList8"/>
    <w:uiPriority w:val="99"/>
    <w:rsid w:val="00D72AFD"/>
    <w:pPr>
      <w:numPr>
        <w:ilvl w:val="8"/>
      </w:numPr>
      <w:tabs>
        <w:tab w:val="clear" w:pos="1560"/>
        <w:tab w:val="num" w:pos="1296"/>
        <w:tab w:val="num" w:pos="1584"/>
        <w:tab w:val="num" w:pos="3420"/>
      </w:tabs>
      <w:ind w:left="1584" w:hanging="1584"/>
    </w:pPr>
  </w:style>
  <w:style w:type="character" w:customStyle="1" w:styleId="BulletList1Char">
    <w:name w:val="Bullet List 1 Char"/>
    <w:basedOn w:val="DefaultParagraphFont"/>
    <w:link w:val="BulletList1"/>
    <w:uiPriority w:val="99"/>
    <w:locked/>
    <w:rsid w:val="00D72AFD"/>
    <w:rPr>
      <w:rFonts w:ascii="Arial" w:hAnsi="Arial" w:cs="Times New Roman"/>
      <w:sz w:val="24"/>
      <w:szCs w:val="24"/>
      <w:lang w:val="en-GB" w:eastAsia="en-GB" w:bidi="ar-SA"/>
    </w:rPr>
  </w:style>
  <w:style w:type="character" w:customStyle="1" w:styleId="FootnoteTextChar1">
    <w:name w:val="Footnote Text Char1"/>
    <w:aliases w:val="ALTS FOOTNOTE Char1,Footnote Text2 Char1,Footnote Text11 Char1,ALTS FOOTNOTE11 Char1,Footnote Text Char111 Char1,Footnote Text Char Char Char11 Char1,Footnote Text Char1 Char Char Char Char11 Char1,ALTS FOOTNOTE2 Char,f Char,fn Char"/>
    <w:basedOn w:val="DefaultParagraphFont"/>
    <w:uiPriority w:val="99"/>
    <w:locked/>
    <w:rsid w:val="00C83A05"/>
    <w:rPr>
      <w:rFonts w:ascii="Arial" w:hAnsi="Arial" w:cs="Times New Roman"/>
      <w:sz w:val="24"/>
      <w:szCs w:val="24"/>
      <w:lang w:val="en-GB" w:eastAsia="de-DE"/>
    </w:rPr>
  </w:style>
  <w:style w:type="paragraph" w:customStyle="1" w:styleId="FigureCaption">
    <w:name w:val="Figure Caption"/>
    <w:basedOn w:val="Normal"/>
    <w:next w:val="BodyText"/>
    <w:uiPriority w:val="99"/>
    <w:rsid w:val="00C83A05"/>
    <w:pPr>
      <w:keepNext/>
      <w:keepLines/>
      <w:spacing w:before="360" w:after="120" w:line="288" w:lineRule="auto"/>
    </w:pPr>
    <w:rPr>
      <w:rFonts w:ascii="Arial" w:hAnsi="Arial"/>
      <w:b/>
      <w:color w:val="939598"/>
      <w:sz w:val="20"/>
      <w:lang w:val="en-GB" w:eastAsia="en-GB"/>
    </w:rPr>
  </w:style>
  <w:style w:type="paragraph" w:customStyle="1" w:styleId="AfterTable">
    <w:name w:val="After Table"/>
    <w:basedOn w:val="BodyText"/>
    <w:next w:val="BodyText"/>
    <w:uiPriority w:val="99"/>
    <w:rsid w:val="00C83A05"/>
    <w:pPr>
      <w:spacing w:before="360"/>
    </w:pPr>
    <w:rPr>
      <w:sz w:val="20"/>
    </w:rPr>
  </w:style>
  <w:style w:type="paragraph" w:customStyle="1" w:styleId="TableCaption">
    <w:name w:val="Table Caption"/>
    <w:basedOn w:val="BodyText"/>
    <w:next w:val="BodyText"/>
    <w:uiPriority w:val="99"/>
    <w:rsid w:val="00301217"/>
    <w:pPr>
      <w:keepNext/>
      <w:keepLines/>
      <w:spacing w:before="360"/>
    </w:pPr>
    <w:rPr>
      <w:b/>
      <w:color w:val="939598"/>
      <w:sz w:val="20"/>
    </w:rPr>
  </w:style>
  <w:style w:type="character" w:styleId="PageNumber">
    <w:name w:val="page number"/>
    <w:basedOn w:val="DefaultParagraphFont"/>
    <w:uiPriority w:val="99"/>
    <w:rsid w:val="006E2AF1"/>
    <w:rPr>
      <w:rFonts w:cs="Times New Roman"/>
    </w:rPr>
  </w:style>
  <w:style w:type="paragraph" w:styleId="ListNumber5">
    <w:name w:val="List Number 5"/>
    <w:basedOn w:val="Normal"/>
    <w:uiPriority w:val="99"/>
    <w:rsid w:val="006E2AF1"/>
    <w:pPr>
      <w:numPr>
        <w:numId w:val="25"/>
      </w:numPr>
      <w:tabs>
        <w:tab w:val="clear" w:pos="926"/>
        <w:tab w:val="num" w:pos="1492"/>
      </w:tabs>
      <w:ind w:left="1492"/>
      <w:contextualSpacing/>
    </w:pPr>
    <w:rPr>
      <w:sz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232517"/>
    <w:pPr>
      <w:tabs>
        <w:tab w:val="center" w:pos="4153"/>
        <w:tab w:val="right" w:pos="8306"/>
      </w:tabs>
      <w:jc w:val="both"/>
    </w:pPr>
    <w:rPr>
      <w:sz w:val="22"/>
      <w:lang w:val="en-GB" w:eastAsia="de-D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2517"/>
    <w:rPr>
      <w:rFonts w:cs="Times New Roman"/>
      <w:sz w:val="24"/>
      <w:szCs w:val="24"/>
      <w:lang w:val="en-GB" w:eastAsia="de-DE"/>
    </w:rPr>
  </w:style>
  <w:style w:type="paragraph" w:customStyle="1" w:styleId="Note">
    <w:name w:val="Note"/>
    <w:basedOn w:val="Normal"/>
    <w:link w:val="NoteChar"/>
    <w:uiPriority w:val="99"/>
    <w:rsid w:val="00232517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0"/>
      <w:szCs w:val="20"/>
      <w:lang w:eastAsia="en-US"/>
    </w:rPr>
  </w:style>
  <w:style w:type="character" w:customStyle="1" w:styleId="NoteChar">
    <w:name w:val="Note Char"/>
    <w:basedOn w:val="DefaultParagraphFont"/>
    <w:link w:val="Note"/>
    <w:uiPriority w:val="99"/>
    <w:locked/>
    <w:rsid w:val="00232517"/>
    <w:rPr>
      <w:rFonts w:cs="Times New Roman"/>
      <w:lang w:val="fr-FR"/>
    </w:rPr>
  </w:style>
  <w:style w:type="character" w:customStyle="1" w:styleId="Tablefreq">
    <w:name w:val="Table_freq"/>
    <w:basedOn w:val="DefaultParagraphFont"/>
    <w:uiPriority w:val="99"/>
    <w:rsid w:val="00232517"/>
    <w:rPr>
      <w:rFonts w:cs="Times New Roman"/>
      <w:b/>
      <w:color w:val="FFCC00"/>
    </w:rPr>
  </w:style>
  <w:style w:type="paragraph" w:customStyle="1" w:styleId="TableTextS5">
    <w:name w:val="Table_TextS5"/>
    <w:basedOn w:val="Normal"/>
    <w:uiPriority w:val="99"/>
    <w:rsid w:val="00232517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eastAsia="en-US"/>
    </w:rPr>
  </w:style>
  <w:style w:type="character" w:customStyle="1" w:styleId="Artref">
    <w:name w:val="Art_ref"/>
    <w:basedOn w:val="DefaultParagraphFont"/>
    <w:uiPriority w:val="99"/>
    <w:rsid w:val="00232517"/>
    <w:rPr>
      <w:rFonts w:cs="Times New Roman"/>
      <w:color w:val="3366FF"/>
    </w:rPr>
  </w:style>
  <w:style w:type="character" w:customStyle="1" w:styleId="Artdef">
    <w:name w:val="Art_def"/>
    <w:basedOn w:val="DefaultParagraphFont"/>
    <w:uiPriority w:val="99"/>
    <w:rsid w:val="00232517"/>
    <w:rPr>
      <w:rFonts w:cs="Times New Roman"/>
      <w:b/>
      <w:color w:val="FFCC00"/>
    </w:rPr>
  </w:style>
  <w:style w:type="paragraph" w:customStyle="1" w:styleId="Tablehead">
    <w:name w:val="Table_head"/>
    <w:basedOn w:val="Normal"/>
    <w:next w:val="Normal"/>
    <w:uiPriority w:val="99"/>
    <w:rsid w:val="00232517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0"/>
      <w:szCs w:val="20"/>
      <w:lang w:eastAsia="en-US"/>
    </w:rPr>
  </w:style>
  <w:style w:type="character" w:customStyle="1" w:styleId="Resref">
    <w:name w:val="Res_ref"/>
    <w:basedOn w:val="DefaultParagraphFont"/>
    <w:uiPriority w:val="99"/>
    <w:rsid w:val="00232517"/>
    <w:rPr>
      <w:rFonts w:cs="Times New Roman"/>
      <w:color w:val="3366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641</Words>
  <Characters>3345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Benoist Deschamps</cp:lastModifiedBy>
  <cp:revision>4</cp:revision>
  <cp:lastPrinted>2011-07-08T13:52:00Z</cp:lastPrinted>
  <dcterms:created xsi:type="dcterms:W3CDTF">2011-11-14T22:47:00Z</dcterms:created>
  <dcterms:modified xsi:type="dcterms:W3CDTF">2011-11-15T07:41:00Z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1448421238</vt:i4>
  </property>
  <property fmtid="{D5CDD505-2E9C-101B-9397-08002B2CF9AE}" pid="4" name="_PreviousAdHocReviewCycleID">
    <vt:i4>1737933974</vt:i4>
  </property>
  <property fmtid="{D5CDD505-2E9C-101B-9397-08002B2CF9AE}" pid="5" name="_ReviewingToolsShownOnce">
    <vt:lpwstr/>
  </property>
</Properties>
</file>