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900"/>
        <w:gridCol w:w="940"/>
        <w:gridCol w:w="1900"/>
      </w:tblGrid>
      <w:tr w:rsidR="00DD741F" w:rsidRPr="00D33BCE" w:rsidTr="00CF613B">
        <w:tc>
          <w:tcPr>
            <w:tcW w:w="5070" w:type="dxa"/>
            <w:gridSpan w:val="4"/>
          </w:tcPr>
          <w:p w:rsidR="00DD741F" w:rsidRPr="00D33BCE" w:rsidRDefault="00DD741F" w:rsidP="00C44DFE">
            <w:pPr>
              <w:jc w:val="both"/>
              <w:rPr>
                <w:rFonts w:ascii="Arial" w:hAnsi="Arial" w:cs="Arial"/>
                <w:b/>
                <w:sz w:val="22"/>
                <w:lang w:val="en-GB" w:eastAsia="de-DE"/>
              </w:rPr>
            </w:pPr>
            <w:r w:rsidRPr="004F2CCE">
              <w:rPr>
                <w:b/>
                <w:caps/>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6.75pt;height:73.5pt;visibility:visible">
                  <v:imagedata r:id="rId7" o:title=""/>
                </v:shape>
              </w:pict>
            </w:r>
          </w:p>
        </w:tc>
        <w:tc>
          <w:tcPr>
            <w:tcW w:w="2638" w:type="dxa"/>
            <w:gridSpan w:val="4"/>
          </w:tcPr>
          <w:p w:rsidR="00DD741F" w:rsidRPr="00D33BCE" w:rsidRDefault="00DD741F" w:rsidP="00C44DFE">
            <w:pPr>
              <w:jc w:val="both"/>
              <w:rPr>
                <w:rFonts w:ascii="Arial" w:hAnsi="Arial" w:cs="Arial"/>
                <w:b/>
                <w:sz w:val="22"/>
                <w:lang w:val="en-GB" w:eastAsia="de-DE"/>
              </w:rPr>
            </w:pPr>
          </w:p>
          <w:p w:rsidR="00DD741F" w:rsidRPr="00D33BCE" w:rsidRDefault="00DD741F" w:rsidP="00C44DFE">
            <w:pPr>
              <w:jc w:val="both"/>
              <w:rPr>
                <w:rFonts w:ascii="Arial" w:hAnsi="Arial" w:cs="Arial"/>
                <w:b/>
                <w:sz w:val="22"/>
                <w:lang w:val="en-GB" w:eastAsia="de-DE"/>
              </w:rPr>
            </w:pPr>
          </w:p>
          <w:p w:rsidR="00DD741F" w:rsidRPr="00D33BCE" w:rsidRDefault="00DD741F" w:rsidP="00C44DFE">
            <w:pPr>
              <w:jc w:val="both"/>
              <w:rPr>
                <w:rFonts w:ascii="Arial" w:hAnsi="Arial" w:cs="Arial"/>
                <w:b/>
                <w:sz w:val="22"/>
                <w:lang w:val="en-GB" w:eastAsia="de-DE"/>
              </w:rPr>
            </w:pPr>
          </w:p>
          <w:p w:rsidR="00DD741F" w:rsidRPr="00D33BCE" w:rsidRDefault="00DD741F" w:rsidP="00C44DFE">
            <w:pPr>
              <w:jc w:val="both"/>
              <w:rPr>
                <w:rFonts w:ascii="Arial" w:hAnsi="Arial" w:cs="Arial"/>
                <w:b/>
                <w:sz w:val="22"/>
                <w:lang w:val="en-GB" w:eastAsia="de-DE"/>
              </w:rPr>
            </w:pPr>
          </w:p>
        </w:tc>
        <w:tc>
          <w:tcPr>
            <w:tcW w:w="1900" w:type="dxa"/>
          </w:tcPr>
          <w:p w:rsidR="00DD741F" w:rsidRPr="00D33BCE" w:rsidRDefault="00DD741F" w:rsidP="00C44DFE">
            <w:pPr>
              <w:jc w:val="right"/>
              <w:rPr>
                <w:rFonts w:ascii="Arial" w:hAnsi="Arial" w:cs="Arial"/>
                <w:b/>
                <w:sz w:val="22"/>
                <w:lang w:val="en-GB" w:eastAsia="de-DE"/>
              </w:rPr>
            </w:pPr>
            <w:r w:rsidRPr="00D33BCE">
              <w:rPr>
                <w:rFonts w:ascii="Arial" w:hAnsi="Arial" w:cs="Arial"/>
                <w:b/>
                <w:sz w:val="22"/>
                <w:lang w:val="en-GB" w:eastAsia="de-DE"/>
              </w:rPr>
              <w:t>FM50(11)</w:t>
            </w:r>
            <w:r>
              <w:rPr>
                <w:rFonts w:ascii="Arial" w:hAnsi="Arial" w:cs="Arial"/>
                <w:b/>
                <w:sz w:val="22"/>
                <w:lang w:val="en-GB" w:eastAsia="de-DE"/>
              </w:rPr>
              <w:t>052</w:t>
            </w:r>
          </w:p>
        </w:tc>
      </w:tr>
      <w:tr w:rsidR="00DD741F" w:rsidRPr="00D33BCE">
        <w:tc>
          <w:tcPr>
            <w:tcW w:w="9608" w:type="dxa"/>
            <w:gridSpan w:val="9"/>
          </w:tcPr>
          <w:p w:rsidR="00DD741F" w:rsidRDefault="00DD741F" w:rsidP="00EE3899">
            <w:pPr>
              <w:rPr>
                <w:rFonts w:ascii="Arial" w:hAnsi="Arial" w:cs="Arial"/>
                <w:b/>
                <w:bCs/>
                <w:lang w:val="fi-FI"/>
              </w:rPr>
            </w:pPr>
          </w:p>
          <w:p w:rsidR="00DD741F" w:rsidRPr="00CF613B" w:rsidRDefault="00DD741F" w:rsidP="00EE3899">
            <w:pPr>
              <w:rPr>
                <w:rFonts w:ascii="Arial" w:hAnsi="Arial" w:cs="Arial"/>
                <w:b/>
                <w:bCs/>
                <w:lang w:val="fi-FI"/>
              </w:rPr>
            </w:pPr>
            <w:r>
              <w:rPr>
                <w:rFonts w:ascii="Arial" w:hAnsi="Arial" w:cs="Arial"/>
                <w:b/>
                <w:bCs/>
                <w:lang w:val="fi-FI"/>
              </w:rPr>
              <w:t>3rd</w:t>
            </w:r>
            <w:r w:rsidRPr="00CF613B">
              <w:rPr>
                <w:rFonts w:ascii="Arial" w:hAnsi="Arial" w:cs="Arial"/>
                <w:b/>
                <w:bCs/>
                <w:lang w:val="fi-FI"/>
              </w:rPr>
              <w:t xml:space="preserve"> Meeting of FM50</w:t>
            </w:r>
          </w:p>
        </w:tc>
      </w:tr>
      <w:tr w:rsidR="00DD741F" w:rsidRPr="00D33BCE" w:rsidTr="004B64F4">
        <w:trPr>
          <w:trHeight w:val="360"/>
        </w:trPr>
        <w:tc>
          <w:tcPr>
            <w:tcW w:w="6768" w:type="dxa"/>
            <w:gridSpan w:val="7"/>
          </w:tcPr>
          <w:p w:rsidR="00DD741F" w:rsidRPr="00CF613B" w:rsidRDefault="00DD741F" w:rsidP="004B64F4">
            <w:pPr>
              <w:ind w:right="282"/>
              <w:rPr>
                <w:rFonts w:ascii="Arial" w:hAnsi="Arial" w:cs="Arial"/>
                <w:b/>
                <w:bCs/>
                <w:lang w:val="fi-FI"/>
              </w:rPr>
            </w:pPr>
            <w:r>
              <w:rPr>
                <w:rFonts w:ascii="Arial" w:hAnsi="Arial" w:cs="Arial"/>
                <w:b/>
                <w:bCs/>
                <w:lang w:val="fi-FI"/>
              </w:rPr>
              <w:t xml:space="preserve">30 November </w:t>
            </w:r>
            <w:r w:rsidRPr="00CF613B">
              <w:rPr>
                <w:rFonts w:ascii="Arial" w:hAnsi="Arial" w:cs="Arial"/>
                <w:b/>
                <w:bCs/>
                <w:lang w:val="fi-FI"/>
              </w:rPr>
              <w:t>-</w:t>
            </w:r>
            <w:r>
              <w:rPr>
                <w:rFonts w:ascii="Arial" w:hAnsi="Arial" w:cs="Arial"/>
                <w:b/>
                <w:bCs/>
                <w:lang w:val="fi-FI"/>
              </w:rPr>
              <w:t xml:space="preserve"> </w:t>
            </w:r>
            <w:r w:rsidRPr="00CF613B">
              <w:rPr>
                <w:rFonts w:ascii="Arial" w:hAnsi="Arial" w:cs="Arial"/>
                <w:b/>
                <w:bCs/>
                <w:lang w:val="fi-FI"/>
              </w:rPr>
              <w:t xml:space="preserve">2 </w:t>
            </w:r>
            <w:r>
              <w:rPr>
                <w:rFonts w:ascii="Arial" w:hAnsi="Arial" w:cs="Arial"/>
                <w:b/>
                <w:bCs/>
                <w:lang w:val="fi-FI"/>
              </w:rPr>
              <w:t>December</w:t>
            </w:r>
            <w:r w:rsidRPr="00CF613B">
              <w:rPr>
                <w:rFonts w:ascii="Arial" w:hAnsi="Arial" w:cs="Arial"/>
                <w:b/>
                <w:bCs/>
                <w:lang w:val="fi-FI"/>
              </w:rPr>
              <w:t xml:space="preserve"> 2011, </w:t>
            </w:r>
            <w:r>
              <w:rPr>
                <w:rFonts w:ascii="Arial" w:hAnsi="Arial" w:cs="Arial"/>
                <w:b/>
                <w:bCs/>
                <w:lang w:val="fi-FI"/>
              </w:rPr>
              <w:t>Helsinki</w:t>
            </w:r>
            <w:r w:rsidRPr="00CF613B">
              <w:rPr>
                <w:rFonts w:ascii="Arial" w:hAnsi="Arial" w:cs="Arial"/>
                <w:b/>
                <w:bCs/>
                <w:lang w:val="fi-FI"/>
              </w:rPr>
              <w:t xml:space="preserve">, </w:t>
            </w:r>
            <w:r>
              <w:rPr>
                <w:rFonts w:ascii="Arial" w:hAnsi="Arial" w:cs="Arial"/>
                <w:b/>
                <w:bCs/>
                <w:lang w:val="fi-FI"/>
              </w:rPr>
              <w:t>Finland</w:t>
            </w:r>
          </w:p>
        </w:tc>
        <w:tc>
          <w:tcPr>
            <w:tcW w:w="2840" w:type="dxa"/>
            <w:gridSpan w:val="2"/>
          </w:tcPr>
          <w:p w:rsidR="00DD741F" w:rsidRPr="00CF613B" w:rsidRDefault="00DD741F" w:rsidP="00C44DFE">
            <w:pPr>
              <w:jc w:val="both"/>
              <w:rPr>
                <w:rFonts w:ascii="Arial" w:hAnsi="Arial" w:cs="Arial"/>
                <w:b/>
                <w:lang w:val="en-GB" w:eastAsia="de-DE"/>
              </w:rPr>
            </w:pPr>
          </w:p>
        </w:tc>
      </w:tr>
      <w:tr w:rsidR="00DD741F" w:rsidRPr="0015327D" w:rsidTr="00CF613B">
        <w:trPr>
          <w:cantSplit/>
          <w:trHeight w:val="1191"/>
        </w:trPr>
        <w:tc>
          <w:tcPr>
            <w:tcW w:w="9608" w:type="dxa"/>
            <w:gridSpan w:val="9"/>
          </w:tcPr>
          <w:p w:rsidR="00DD741F" w:rsidRPr="00CF613B" w:rsidRDefault="00DD741F" w:rsidP="0015327D">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Pr>
                <w:rFonts w:ascii="Arial" w:hAnsi="Arial" w:cs="Arial"/>
                <w:b/>
                <w:lang w:val="en-GB" w:eastAsia="de-DE"/>
              </w:rPr>
              <w:t>21</w:t>
            </w:r>
            <w:r w:rsidRPr="0015327D">
              <w:rPr>
                <w:rFonts w:ascii="Arial" w:hAnsi="Arial" w:cs="Arial"/>
                <w:b/>
                <w:vertAlign w:val="superscript"/>
                <w:lang w:val="en-GB" w:eastAsia="de-DE"/>
              </w:rPr>
              <w:t>st</w:t>
            </w:r>
            <w:r>
              <w:rPr>
                <w:rFonts w:ascii="Arial" w:hAnsi="Arial" w:cs="Arial"/>
                <w:b/>
                <w:lang w:val="en-GB" w:eastAsia="de-DE"/>
              </w:rPr>
              <w:t xml:space="preserve"> November 2011</w:t>
            </w:r>
          </w:p>
          <w:p w:rsidR="00DD741F" w:rsidRPr="00CF613B" w:rsidRDefault="00DD741F" w:rsidP="00C44DFE">
            <w:pPr>
              <w:tabs>
                <w:tab w:val="left" w:pos="1582"/>
              </w:tabs>
              <w:spacing w:before="120"/>
              <w:jc w:val="both"/>
              <w:outlineLvl w:val="0"/>
              <w:rPr>
                <w:rFonts w:ascii="Arial" w:hAnsi="Arial" w:cs="Arial"/>
                <w:b/>
                <w:lang w:val="en-GB" w:eastAsia="de-DE"/>
              </w:rPr>
            </w:pPr>
            <w:r w:rsidRPr="00CF613B">
              <w:rPr>
                <w:rFonts w:ascii="Arial" w:hAnsi="Arial" w:cs="Arial"/>
                <w:b/>
                <w:lang w:val="en-GB" w:eastAsia="de-DE"/>
              </w:rPr>
              <w:t>Source:</w:t>
            </w:r>
            <w:r w:rsidRPr="00CF613B">
              <w:rPr>
                <w:rFonts w:ascii="Arial" w:hAnsi="Arial" w:cs="Arial"/>
                <w:b/>
                <w:lang w:val="en-GB" w:eastAsia="de-DE"/>
              </w:rPr>
              <w:tab/>
            </w:r>
            <w:r>
              <w:rPr>
                <w:rFonts w:ascii="Arial" w:hAnsi="Arial" w:cs="Arial"/>
                <w:b/>
                <w:lang w:val="en-GB" w:eastAsia="de-DE"/>
              </w:rPr>
              <w:t>Ericsson, Huawei, Qualcomm</w:t>
            </w:r>
          </w:p>
          <w:p w:rsidR="00DD741F" w:rsidRPr="00CF613B" w:rsidRDefault="00DD741F" w:rsidP="005A0BD8">
            <w:pPr>
              <w:tabs>
                <w:tab w:val="left" w:pos="1571"/>
              </w:tabs>
              <w:spacing w:before="120" w:after="120"/>
              <w:jc w:val="both"/>
              <w:outlineLvl w:val="0"/>
              <w:rPr>
                <w:rFonts w:ascii="Arial" w:hAnsi="Arial" w:cs="Arial"/>
                <w:b/>
                <w:lang w:val="en-GB" w:eastAsia="de-DE"/>
              </w:rPr>
            </w:pPr>
            <w:r w:rsidRPr="00CF613B">
              <w:rPr>
                <w:rFonts w:ascii="Arial" w:hAnsi="Arial" w:cs="Arial"/>
                <w:b/>
                <w:lang w:val="en-GB" w:eastAsia="de-DE"/>
              </w:rPr>
              <w:t>Subject:</w:t>
            </w:r>
            <w:r w:rsidRPr="00CF613B">
              <w:rPr>
                <w:rFonts w:ascii="Arial" w:hAnsi="Arial" w:cs="Arial"/>
                <w:b/>
                <w:lang w:val="en-GB" w:eastAsia="de-DE"/>
              </w:rPr>
              <w:tab/>
            </w:r>
            <w:r>
              <w:rPr>
                <w:rFonts w:ascii="Arial" w:hAnsi="Arial" w:cs="Arial"/>
                <w:b/>
                <w:lang w:val="en-GB" w:eastAsia="de-DE"/>
              </w:rPr>
              <w:t>MMDL assessment associated to FM50 agreed impact assessment criteria</w:t>
            </w:r>
          </w:p>
        </w:tc>
      </w:tr>
      <w:tr w:rsidR="00DD741F" w:rsidRPr="00D33BCE"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3"/>
          <w:wBefore w:w="8" w:type="dxa"/>
          <w:wAfter w:w="3740" w:type="dxa"/>
        </w:trPr>
        <w:tc>
          <w:tcPr>
            <w:tcW w:w="3500" w:type="dxa"/>
            <w:tcBorders>
              <w:top w:val="nil"/>
              <w:left w:val="nil"/>
              <w:bottom w:val="nil"/>
            </w:tcBorders>
          </w:tcPr>
          <w:p w:rsidR="00DD741F" w:rsidRPr="00D33BCE" w:rsidRDefault="00DD741F" w:rsidP="00C44DFE">
            <w:pPr>
              <w:tabs>
                <w:tab w:val="left" w:pos="2930"/>
              </w:tabs>
              <w:jc w:val="both"/>
              <w:rPr>
                <w:rFonts w:ascii="Arial" w:hAnsi="Arial" w:cs="Arial"/>
                <w:b/>
                <w:sz w:val="20"/>
                <w:lang w:val="en-GB" w:eastAsia="de-DE"/>
              </w:rPr>
            </w:pPr>
            <w:r w:rsidRPr="00D33BCE">
              <w:rPr>
                <w:rFonts w:ascii="Arial" w:hAnsi="Arial" w:cs="Arial"/>
                <w:b/>
                <w:sz w:val="22"/>
                <w:lang w:val="en-GB" w:eastAsia="de-DE"/>
              </w:rPr>
              <w:t>Password protected:</w:t>
            </w:r>
            <w:r w:rsidRPr="00D33BCE">
              <w:rPr>
                <w:rFonts w:ascii="Arial" w:hAnsi="Arial" w:cs="Arial"/>
                <w:b/>
                <w:sz w:val="22"/>
                <w:lang w:val="en-GB" w:eastAsia="de-DE"/>
              </w:rPr>
              <w:tab/>
              <w:t>yes</w:t>
            </w:r>
          </w:p>
        </w:tc>
        <w:tc>
          <w:tcPr>
            <w:tcW w:w="300" w:type="dxa"/>
          </w:tcPr>
          <w:p w:rsidR="00DD741F" w:rsidRPr="00D33BCE" w:rsidRDefault="00DD741F" w:rsidP="00C44DFE">
            <w:pPr>
              <w:jc w:val="both"/>
              <w:rPr>
                <w:rFonts w:ascii="Arial" w:hAnsi="Arial" w:cs="Arial"/>
                <w:b/>
                <w:sz w:val="22"/>
                <w:lang w:val="en-GB" w:eastAsia="de-DE"/>
              </w:rPr>
            </w:pPr>
          </w:p>
        </w:tc>
        <w:tc>
          <w:tcPr>
            <w:tcW w:w="1700" w:type="dxa"/>
            <w:gridSpan w:val="2"/>
            <w:tcBorders>
              <w:top w:val="nil"/>
              <w:bottom w:val="nil"/>
            </w:tcBorders>
          </w:tcPr>
          <w:p w:rsidR="00DD741F" w:rsidRPr="00D33BCE" w:rsidRDefault="00DD741F" w:rsidP="00C44DFE">
            <w:pPr>
              <w:tabs>
                <w:tab w:val="left" w:pos="1130"/>
              </w:tabs>
              <w:jc w:val="both"/>
              <w:rPr>
                <w:rFonts w:ascii="Arial" w:hAnsi="Arial" w:cs="Arial"/>
                <w:b/>
                <w:sz w:val="22"/>
                <w:lang w:val="en-GB" w:eastAsia="de-DE"/>
              </w:rPr>
            </w:pPr>
            <w:r w:rsidRPr="00D33BCE">
              <w:rPr>
                <w:rFonts w:ascii="Arial" w:hAnsi="Arial" w:cs="Arial"/>
                <w:b/>
                <w:sz w:val="22"/>
                <w:lang w:val="en-GB" w:eastAsia="de-DE"/>
              </w:rPr>
              <w:tab/>
              <w:t>No</w:t>
            </w:r>
          </w:p>
        </w:tc>
        <w:tc>
          <w:tcPr>
            <w:tcW w:w="360" w:type="dxa"/>
          </w:tcPr>
          <w:p w:rsidR="00DD741F" w:rsidRPr="00D33BCE" w:rsidRDefault="00DD741F" w:rsidP="00C44DFE">
            <w:pPr>
              <w:jc w:val="both"/>
              <w:rPr>
                <w:rFonts w:ascii="Arial" w:hAnsi="Arial" w:cs="Arial"/>
                <w:b/>
                <w:sz w:val="22"/>
                <w:lang w:val="en-GB" w:eastAsia="de-DE"/>
              </w:rPr>
            </w:pPr>
            <w:r w:rsidRPr="00D33BCE">
              <w:rPr>
                <w:rFonts w:ascii="Arial" w:hAnsi="Arial" w:cs="Arial"/>
                <w:b/>
                <w:sz w:val="22"/>
                <w:lang w:val="en-GB" w:eastAsia="de-DE"/>
              </w:rPr>
              <w:t>x</w:t>
            </w:r>
          </w:p>
        </w:tc>
      </w:tr>
    </w:tbl>
    <w:p w:rsidR="00DD741F" w:rsidRPr="00D33BCE" w:rsidRDefault="00DD741F" w:rsidP="00C44DFE">
      <w:pPr>
        <w:jc w:val="both"/>
        <w:rPr>
          <w:sz w:val="22"/>
          <w:lang w:val="en-GB" w:eastAsia="de-DE"/>
        </w:rPr>
      </w:pPr>
    </w:p>
    <w:p w:rsidR="00DD741F" w:rsidRPr="00D33BCE" w:rsidRDefault="00DD741F"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9595"/>
      </w:tblGrid>
      <w:tr w:rsidR="00DD741F" w:rsidRPr="0015327D">
        <w:tc>
          <w:tcPr>
            <w:tcW w:w="9600" w:type="dxa"/>
            <w:gridSpan w:val="2"/>
          </w:tcPr>
          <w:p w:rsidR="00DD741F" w:rsidRPr="00D33BCE" w:rsidRDefault="00DD741F" w:rsidP="00C44DFE">
            <w:pPr>
              <w:rPr>
                <w:rFonts w:ascii="Arial" w:hAnsi="Arial" w:cs="Arial"/>
                <w:b/>
                <w:sz w:val="20"/>
                <w:szCs w:val="20"/>
                <w:lang w:val="en-GB" w:eastAsia="de-DE"/>
              </w:rPr>
            </w:pPr>
          </w:p>
          <w:p w:rsidR="00DD741F" w:rsidRPr="00D33BCE" w:rsidRDefault="00DD741F" w:rsidP="00C44DFE">
            <w:pPr>
              <w:keepNext/>
              <w:outlineLvl w:val="2"/>
              <w:rPr>
                <w:rFonts w:ascii="Arial" w:hAnsi="Arial" w:cs="Arial"/>
                <w:b/>
                <w:szCs w:val="20"/>
                <w:lang w:val="en-GB" w:eastAsia="de-DE"/>
              </w:rPr>
            </w:pPr>
            <w:r w:rsidRPr="00D33BCE">
              <w:rPr>
                <w:rFonts w:ascii="Arial" w:hAnsi="Arial" w:cs="Arial"/>
                <w:b/>
                <w:szCs w:val="20"/>
                <w:lang w:val="en-GB" w:eastAsia="de-DE"/>
              </w:rPr>
              <w:t>Summary</w:t>
            </w:r>
          </w:p>
          <w:p w:rsidR="00DD741F" w:rsidRDefault="00DD741F" w:rsidP="00D06068">
            <w:pPr>
              <w:spacing w:line="276" w:lineRule="auto"/>
              <w:rPr>
                <w:rFonts w:ascii="Arial" w:hAnsi="Arial" w:cs="Arial"/>
                <w:sz w:val="22"/>
                <w:szCs w:val="22"/>
                <w:lang w:val="en-GB"/>
              </w:rPr>
            </w:pPr>
          </w:p>
          <w:p w:rsidR="00DD741F" w:rsidRPr="002F5FFC" w:rsidRDefault="00DD741F" w:rsidP="002F5FFC">
            <w:pPr>
              <w:spacing w:line="276" w:lineRule="auto"/>
              <w:jc w:val="both"/>
              <w:rPr>
                <w:szCs w:val="22"/>
                <w:lang w:val="en-US"/>
              </w:rPr>
            </w:pPr>
            <w:r>
              <w:rPr>
                <w:szCs w:val="22"/>
                <w:lang w:val="en-US"/>
              </w:rPr>
              <w:t xml:space="preserve">This document provides an assessment of Mobile Multimedia Downlink (MMDL) application associated to </w:t>
            </w:r>
            <w:r w:rsidRPr="002F5FFC">
              <w:rPr>
                <w:szCs w:val="22"/>
                <w:lang w:val="en-US"/>
              </w:rPr>
              <w:t xml:space="preserve">the five criteria </w:t>
            </w:r>
            <w:r>
              <w:rPr>
                <w:szCs w:val="22"/>
                <w:lang w:val="en-US"/>
              </w:rPr>
              <w:t xml:space="preserve">developed and </w:t>
            </w:r>
            <w:r w:rsidRPr="002F5FFC">
              <w:rPr>
                <w:szCs w:val="22"/>
                <w:lang w:val="en-US"/>
              </w:rPr>
              <w:t xml:space="preserve">agreed by </w:t>
            </w:r>
            <w:r>
              <w:rPr>
                <w:szCs w:val="22"/>
                <w:lang w:val="en-US"/>
              </w:rPr>
              <w:t xml:space="preserve">WG FM </w:t>
            </w:r>
            <w:r w:rsidRPr="002F5FFC">
              <w:rPr>
                <w:szCs w:val="22"/>
                <w:lang w:val="en-US"/>
              </w:rPr>
              <w:t xml:space="preserve">PT50 </w:t>
            </w:r>
            <w:r>
              <w:rPr>
                <w:szCs w:val="22"/>
                <w:lang w:val="en-US"/>
              </w:rPr>
              <w:t xml:space="preserve">with the aim of </w:t>
            </w:r>
            <w:r w:rsidRPr="002F5FFC">
              <w:rPr>
                <w:szCs w:val="22"/>
                <w:lang w:val="en-US"/>
              </w:rPr>
              <w:t xml:space="preserve">carrying out the impact assessment </w:t>
            </w:r>
            <w:r>
              <w:rPr>
                <w:szCs w:val="22"/>
                <w:lang w:val="en-US"/>
              </w:rPr>
              <w:t>for</w:t>
            </w:r>
            <w:r w:rsidRPr="002F5FFC">
              <w:rPr>
                <w:szCs w:val="22"/>
                <w:lang w:val="en-US"/>
              </w:rPr>
              <w:t xml:space="preserve"> the most appropriate </w:t>
            </w:r>
            <w:r>
              <w:rPr>
                <w:szCs w:val="22"/>
                <w:lang w:val="en-US"/>
              </w:rPr>
              <w:t xml:space="preserve">harmonised </w:t>
            </w:r>
            <w:r w:rsidRPr="002F5FFC">
              <w:rPr>
                <w:szCs w:val="22"/>
                <w:lang w:val="en-US"/>
              </w:rPr>
              <w:t xml:space="preserve">future use of the </w:t>
            </w:r>
            <w:r>
              <w:rPr>
                <w:szCs w:val="22"/>
                <w:lang w:val="en-US"/>
              </w:rPr>
              <w:t xml:space="preserve">band 1452-1492 MHz (1.4 GHz, 1.5 GHz, L band) in </w:t>
            </w:r>
            <w:smartTag w:uri="urn:schemas-microsoft-com:office:smarttags" w:element="place">
              <w:r>
                <w:rPr>
                  <w:szCs w:val="22"/>
                  <w:lang w:val="en-US"/>
                </w:rPr>
                <w:t>Europe</w:t>
              </w:r>
            </w:smartTag>
            <w:r>
              <w:rPr>
                <w:szCs w:val="22"/>
                <w:lang w:val="en-US"/>
              </w:rPr>
              <w:t>.</w:t>
            </w:r>
          </w:p>
          <w:p w:rsidR="00DD741F" w:rsidRPr="00CF613B" w:rsidRDefault="00DD741F" w:rsidP="00D72AFD">
            <w:pPr>
              <w:spacing w:before="60" w:after="60"/>
              <w:ind w:left="60"/>
              <w:rPr>
                <w:rFonts w:ascii="Arial" w:hAnsi="Arial" w:cs="Arial"/>
                <w:sz w:val="20"/>
                <w:szCs w:val="20"/>
                <w:lang w:val="en-US" w:eastAsia="de-DE"/>
              </w:rPr>
            </w:pPr>
          </w:p>
        </w:tc>
      </w:tr>
      <w:tr w:rsidR="00DD741F" w:rsidRPr="0015327D" w:rsidTr="00EE3899">
        <w:tc>
          <w:tcPr>
            <w:tcW w:w="9600" w:type="dxa"/>
            <w:gridSpan w:val="2"/>
          </w:tcPr>
          <w:p w:rsidR="00DD741F" w:rsidRPr="00D33BCE" w:rsidRDefault="00DD741F" w:rsidP="00EE3899">
            <w:pPr>
              <w:keepNext/>
              <w:outlineLvl w:val="2"/>
              <w:rPr>
                <w:rFonts w:ascii="Arial" w:hAnsi="Arial" w:cs="Arial"/>
                <w:b/>
                <w:szCs w:val="20"/>
                <w:lang w:val="en-GB" w:eastAsia="de-DE"/>
              </w:rPr>
            </w:pPr>
          </w:p>
          <w:p w:rsidR="00DD741F" w:rsidRPr="00D33BCE" w:rsidRDefault="00DD741F" w:rsidP="00EE3899">
            <w:pPr>
              <w:keepNext/>
              <w:outlineLvl w:val="2"/>
              <w:rPr>
                <w:rFonts w:ascii="Arial" w:hAnsi="Arial" w:cs="Arial"/>
                <w:b/>
                <w:szCs w:val="20"/>
                <w:lang w:val="en-GB" w:eastAsia="de-DE"/>
              </w:rPr>
            </w:pPr>
            <w:r w:rsidRPr="00D33BCE">
              <w:rPr>
                <w:rFonts w:ascii="Arial" w:hAnsi="Arial" w:cs="Arial"/>
                <w:b/>
                <w:szCs w:val="20"/>
                <w:lang w:val="en-GB" w:eastAsia="de-DE"/>
              </w:rPr>
              <w:t>Proposal</w:t>
            </w:r>
          </w:p>
          <w:p w:rsidR="00DD741F" w:rsidRDefault="00DD741F" w:rsidP="00D72AFD">
            <w:pPr>
              <w:spacing w:before="60" w:after="60"/>
              <w:rPr>
                <w:rFonts w:ascii="Arial" w:hAnsi="Arial" w:cs="Arial"/>
                <w:sz w:val="22"/>
                <w:szCs w:val="22"/>
                <w:lang w:val="en-US"/>
              </w:rPr>
            </w:pPr>
          </w:p>
          <w:p w:rsidR="00DD741F" w:rsidRDefault="00DD741F" w:rsidP="000F34A8">
            <w:pPr>
              <w:spacing w:before="60" w:after="60" w:line="276" w:lineRule="auto"/>
              <w:jc w:val="both"/>
              <w:rPr>
                <w:szCs w:val="22"/>
                <w:lang w:val="en-US"/>
              </w:rPr>
            </w:pPr>
            <w:r w:rsidRPr="002F5FFC">
              <w:rPr>
                <w:szCs w:val="22"/>
                <w:lang w:val="en-US"/>
              </w:rPr>
              <w:t xml:space="preserve">It is proposed to include the </w:t>
            </w:r>
            <w:r>
              <w:rPr>
                <w:szCs w:val="22"/>
                <w:lang w:val="en-US"/>
              </w:rPr>
              <w:t xml:space="preserve">results of the analysis </w:t>
            </w:r>
            <w:r w:rsidRPr="002F5FFC">
              <w:rPr>
                <w:szCs w:val="22"/>
                <w:lang w:val="en-US"/>
              </w:rPr>
              <w:t xml:space="preserve">provided </w:t>
            </w:r>
            <w:r>
              <w:rPr>
                <w:szCs w:val="22"/>
                <w:lang w:val="en-US"/>
              </w:rPr>
              <w:t xml:space="preserve">in this document in section 4.3 of </w:t>
            </w:r>
            <w:r w:rsidRPr="002F5FFC">
              <w:rPr>
                <w:szCs w:val="22"/>
                <w:lang w:val="en-US"/>
              </w:rPr>
              <w:t xml:space="preserve">the </w:t>
            </w:r>
            <w:r>
              <w:rPr>
                <w:szCs w:val="22"/>
                <w:lang w:val="en-US"/>
              </w:rPr>
              <w:t xml:space="preserve">draft </w:t>
            </w:r>
            <w:r w:rsidRPr="002F5FFC">
              <w:rPr>
                <w:szCs w:val="22"/>
                <w:lang w:val="en-US"/>
              </w:rPr>
              <w:t xml:space="preserve">ECC </w:t>
            </w:r>
            <w:r>
              <w:rPr>
                <w:szCs w:val="22"/>
                <w:lang w:val="en-US"/>
              </w:rPr>
              <w:t>R</w:t>
            </w:r>
            <w:r w:rsidRPr="002F5FFC">
              <w:rPr>
                <w:szCs w:val="22"/>
                <w:lang w:val="en-US"/>
              </w:rPr>
              <w:t>eport</w:t>
            </w:r>
            <w:r>
              <w:rPr>
                <w:szCs w:val="22"/>
                <w:lang w:val="en-US"/>
              </w:rPr>
              <w:t xml:space="preserve"> relative to Mobile Multimedia Downlink application (MMDL) impact assessment.</w:t>
            </w:r>
            <w:r w:rsidRPr="002F5FFC">
              <w:rPr>
                <w:szCs w:val="22"/>
                <w:lang w:val="en-US"/>
              </w:rPr>
              <w:t xml:space="preserve">  </w:t>
            </w:r>
          </w:p>
          <w:p w:rsidR="00DD741F" w:rsidRPr="002F5FFC" w:rsidRDefault="00DD741F" w:rsidP="006275D0">
            <w:pPr>
              <w:spacing w:before="60" w:after="60"/>
              <w:jc w:val="both"/>
              <w:rPr>
                <w:sz w:val="20"/>
                <w:szCs w:val="20"/>
                <w:lang w:val="en-GB" w:eastAsia="de-DE"/>
              </w:rPr>
            </w:pPr>
          </w:p>
        </w:tc>
      </w:tr>
      <w:tr w:rsidR="00DD741F" w:rsidRPr="0015327D" w:rsidTr="00EE3899">
        <w:trPr>
          <w:gridBefore w:val="1"/>
        </w:trPr>
        <w:tc>
          <w:tcPr>
            <w:tcW w:w="9600" w:type="dxa"/>
          </w:tcPr>
          <w:p w:rsidR="00DD741F" w:rsidRPr="00D33BCE" w:rsidRDefault="00DD741F" w:rsidP="00EE3899">
            <w:pPr>
              <w:rPr>
                <w:rFonts w:ascii="Arial" w:hAnsi="Arial" w:cs="Arial"/>
                <w:sz w:val="20"/>
                <w:szCs w:val="20"/>
                <w:lang w:val="en-GB" w:eastAsia="de-DE"/>
              </w:rPr>
            </w:pPr>
          </w:p>
          <w:p w:rsidR="00DD741F" w:rsidRPr="00D33BCE" w:rsidRDefault="00DD741F" w:rsidP="00EE3899">
            <w:pPr>
              <w:keepNext/>
              <w:outlineLvl w:val="2"/>
              <w:rPr>
                <w:rFonts w:ascii="Arial" w:hAnsi="Arial"/>
                <w:b/>
                <w:szCs w:val="20"/>
                <w:lang w:val="en-GB" w:eastAsia="de-DE"/>
              </w:rPr>
            </w:pPr>
            <w:r>
              <w:rPr>
                <w:rFonts w:ascii="Arial" w:hAnsi="Arial"/>
                <w:b/>
                <w:szCs w:val="20"/>
                <w:lang w:val="en-GB" w:eastAsia="de-DE"/>
              </w:rPr>
              <w:t>Background</w:t>
            </w:r>
          </w:p>
          <w:p w:rsidR="00DD741F" w:rsidRPr="00D33BCE" w:rsidRDefault="00DD741F" w:rsidP="00EE3899">
            <w:pPr>
              <w:keepNext/>
              <w:outlineLvl w:val="2"/>
              <w:rPr>
                <w:rFonts w:ascii="Arial" w:hAnsi="Arial"/>
                <w:b/>
                <w:szCs w:val="20"/>
                <w:lang w:val="en-GB" w:eastAsia="de-DE"/>
              </w:rPr>
            </w:pPr>
          </w:p>
          <w:p w:rsidR="00DD741F" w:rsidRDefault="00DD741F" w:rsidP="000F34A8">
            <w:pPr>
              <w:spacing w:before="60" w:after="60" w:line="276" w:lineRule="auto"/>
              <w:ind w:left="60"/>
              <w:jc w:val="both"/>
              <w:rPr>
                <w:rFonts w:ascii="Arial" w:hAnsi="Arial" w:cs="Arial"/>
                <w:sz w:val="22"/>
                <w:szCs w:val="22"/>
                <w:lang w:val="en-US"/>
              </w:rPr>
            </w:pPr>
            <w:r>
              <w:rPr>
                <w:lang w:val="en-GB"/>
              </w:rPr>
              <w:t>FM PT 50 defined a set of criteria to assess candidate applications and determine the best future use</w:t>
            </w:r>
            <w:r w:rsidRPr="007548F5">
              <w:rPr>
                <w:lang w:val="en-GB"/>
              </w:rPr>
              <w:t xml:space="preserve"> </w:t>
            </w:r>
            <w:r>
              <w:rPr>
                <w:lang w:val="en-GB"/>
              </w:rPr>
              <w:t xml:space="preserve">of the 1452-1492 MHz band in CEPT. Ericsson, Huawei and Qualcomm have carried out an assessment of MMDL associated with FM PT50 agreed criteria. This assessment is provided in the section hereafter and is proposed to be included in the ECC Report </w:t>
            </w:r>
          </w:p>
          <w:p w:rsidR="00DD741F" w:rsidRDefault="00DD741F">
            <w:pPr>
              <w:spacing w:line="276" w:lineRule="auto"/>
              <w:jc w:val="both"/>
              <w:rPr>
                <w:rFonts w:ascii="Arial" w:hAnsi="Arial" w:cs="Arial"/>
                <w:sz w:val="22"/>
                <w:szCs w:val="22"/>
                <w:lang w:val="en-US"/>
              </w:rPr>
            </w:pPr>
          </w:p>
          <w:p w:rsidR="00DD741F" w:rsidRDefault="00DD741F" w:rsidP="00E72FC8">
            <w:pPr>
              <w:spacing w:before="60" w:after="60"/>
              <w:ind w:left="60"/>
              <w:rPr>
                <w:rFonts w:ascii="Arial" w:hAnsi="Arial" w:cs="Arial"/>
                <w:sz w:val="22"/>
                <w:szCs w:val="22"/>
                <w:lang w:val="en-US"/>
              </w:rPr>
            </w:pPr>
          </w:p>
          <w:p w:rsidR="00DD741F" w:rsidRDefault="00DD741F" w:rsidP="00E72FC8">
            <w:pPr>
              <w:spacing w:before="60" w:after="60"/>
              <w:ind w:left="60"/>
              <w:rPr>
                <w:rFonts w:ascii="Arial" w:hAnsi="Arial" w:cs="Arial"/>
                <w:sz w:val="22"/>
                <w:szCs w:val="22"/>
                <w:lang w:val="en-US"/>
              </w:rPr>
            </w:pPr>
          </w:p>
          <w:p w:rsidR="00DD741F" w:rsidRDefault="00DD741F" w:rsidP="00E72FC8">
            <w:pPr>
              <w:spacing w:before="60" w:after="60"/>
              <w:ind w:left="60"/>
              <w:rPr>
                <w:rFonts w:ascii="Arial" w:hAnsi="Arial" w:cs="Arial"/>
                <w:sz w:val="22"/>
                <w:szCs w:val="22"/>
                <w:lang w:val="en-US"/>
              </w:rPr>
            </w:pPr>
          </w:p>
          <w:p w:rsidR="00DD741F" w:rsidRDefault="00DD741F" w:rsidP="00E72FC8">
            <w:pPr>
              <w:spacing w:before="60" w:after="60"/>
              <w:ind w:left="60"/>
              <w:rPr>
                <w:rFonts w:ascii="Arial" w:hAnsi="Arial" w:cs="Arial"/>
                <w:sz w:val="22"/>
                <w:szCs w:val="22"/>
                <w:lang w:val="en-US"/>
              </w:rPr>
            </w:pPr>
          </w:p>
          <w:p w:rsidR="00DD741F" w:rsidRDefault="00DD741F" w:rsidP="00E72FC8">
            <w:pPr>
              <w:spacing w:before="60" w:after="60"/>
              <w:ind w:left="60"/>
              <w:rPr>
                <w:rFonts w:ascii="Arial" w:hAnsi="Arial" w:cs="Arial"/>
                <w:sz w:val="22"/>
                <w:szCs w:val="22"/>
                <w:lang w:val="en-US"/>
              </w:rPr>
            </w:pPr>
          </w:p>
          <w:p w:rsidR="00DD741F" w:rsidRDefault="00DD741F" w:rsidP="00E72FC8">
            <w:pPr>
              <w:spacing w:before="60" w:after="60"/>
              <w:ind w:left="60"/>
              <w:rPr>
                <w:rFonts w:ascii="Arial" w:hAnsi="Arial" w:cs="Arial"/>
                <w:sz w:val="22"/>
                <w:szCs w:val="22"/>
                <w:lang w:val="en-US"/>
              </w:rPr>
            </w:pPr>
          </w:p>
          <w:p w:rsidR="00DD741F" w:rsidRDefault="00DD741F" w:rsidP="000F34A8">
            <w:pPr>
              <w:spacing w:before="60" w:after="60"/>
              <w:rPr>
                <w:rFonts w:ascii="Arial" w:hAnsi="Arial" w:cs="Arial"/>
                <w:sz w:val="22"/>
                <w:szCs w:val="22"/>
                <w:lang w:val="en-US"/>
              </w:rPr>
            </w:pPr>
          </w:p>
          <w:p w:rsidR="00DD741F" w:rsidRPr="007548F5" w:rsidRDefault="00DD741F" w:rsidP="00484702">
            <w:pPr>
              <w:spacing w:line="276" w:lineRule="auto"/>
              <w:rPr>
                <w:b/>
                <w:lang w:val="en-GB"/>
              </w:rPr>
            </w:pPr>
            <w:r w:rsidRPr="007548F5">
              <w:rPr>
                <w:b/>
                <w:lang w:val="en-GB"/>
              </w:rPr>
              <w:t>4.3</w:t>
            </w:r>
            <w:r w:rsidRPr="007548F5">
              <w:rPr>
                <w:b/>
                <w:lang w:val="en-GB"/>
              </w:rPr>
              <w:tab/>
              <w:t>MMDL</w:t>
            </w:r>
          </w:p>
          <w:p w:rsidR="00DD741F" w:rsidRPr="007548F5" w:rsidRDefault="00DD741F" w:rsidP="00484702">
            <w:pPr>
              <w:spacing w:line="276" w:lineRule="auto"/>
              <w:rPr>
                <w:lang w:val="en-GB"/>
              </w:rPr>
            </w:pPr>
          </w:p>
          <w:p w:rsidR="00DD741F" w:rsidRPr="007548F5" w:rsidRDefault="00DD741F" w:rsidP="00484702">
            <w:pPr>
              <w:spacing w:line="276" w:lineRule="auto"/>
              <w:rPr>
                <w:b/>
                <w:lang w:val="en-GB"/>
              </w:rPr>
            </w:pPr>
            <w:r w:rsidRPr="007548F5">
              <w:rPr>
                <w:b/>
                <w:lang w:val="en-GB"/>
              </w:rPr>
              <w:t>4.3.1</w:t>
            </w:r>
            <w:r w:rsidRPr="007548F5">
              <w:rPr>
                <w:b/>
                <w:lang w:val="en-GB"/>
              </w:rPr>
              <w:tab/>
              <w:t xml:space="preserve">Compatibility with the current regulatory framework, </w:t>
            </w:r>
          </w:p>
          <w:p w:rsidR="00DD741F" w:rsidRPr="007548F5" w:rsidRDefault="00DD741F" w:rsidP="00484702">
            <w:pPr>
              <w:spacing w:line="276" w:lineRule="auto"/>
              <w:rPr>
                <w:lang w:val="en-GB"/>
              </w:rPr>
            </w:pPr>
          </w:p>
          <w:p w:rsidR="00DD741F" w:rsidRDefault="00DD741F" w:rsidP="000F34A8">
            <w:pPr>
              <w:spacing w:line="276" w:lineRule="auto"/>
              <w:jc w:val="both"/>
              <w:rPr>
                <w:lang w:val="en-GB"/>
              </w:rPr>
            </w:pPr>
            <w:r w:rsidRPr="006E0098">
              <w:rPr>
                <w:iCs/>
                <w:lang w:val="en-GB"/>
              </w:rPr>
              <w:t>A mobile multimedia downlink (MMD</w:t>
            </w:r>
            <w:r>
              <w:rPr>
                <w:iCs/>
                <w:lang w:val="en-GB"/>
              </w:rPr>
              <w:t>L</w:t>
            </w:r>
            <w:r w:rsidRPr="006E0098">
              <w:rPr>
                <w:iCs/>
                <w:lang w:val="en-GB"/>
              </w:rPr>
              <w:t xml:space="preserve">) </w:t>
            </w:r>
            <w:r>
              <w:rPr>
                <w:iCs/>
                <w:lang w:val="en-GB"/>
              </w:rPr>
              <w:t xml:space="preserve">is an </w:t>
            </w:r>
            <w:r w:rsidRPr="006E0098">
              <w:rPr>
                <w:iCs/>
                <w:lang w:val="en-GB"/>
              </w:rPr>
              <w:t>application</w:t>
            </w:r>
            <w:r>
              <w:rPr>
                <w:iCs/>
                <w:lang w:val="en-GB"/>
              </w:rPr>
              <w:t xml:space="preserve"> implemented through a network</w:t>
            </w:r>
            <w:r w:rsidRPr="006E0098">
              <w:rPr>
                <w:lang w:val="en-GB"/>
              </w:rPr>
              <w:t xml:space="preserve"> of base station transmitters </w:t>
            </w:r>
            <w:r>
              <w:rPr>
                <w:lang w:val="en-GB"/>
              </w:rPr>
              <w:t>delivering</w:t>
            </w:r>
            <w:r w:rsidRPr="006E0098">
              <w:rPr>
                <w:lang w:val="en-GB"/>
              </w:rPr>
              <w:t xml:space="preserve"> comprehensive text,</w:t>
            </w:r>
            <w:r>
              <w:rPr>
                <w:lang w:val="en-GB"/>
              </w:rPr>
              <w:t xml:space="preserve"> </w:t>
            </w:r>
            <w:r w:rsidRPr="006E0098">
              <w:rPr>
                <w:lang w:val="en-GB"/>
              </w:rPr>
              <w:t>voice, images, sound and video content in unicasting, multicasting and/or broadcasting mode to assoc</w:t>
            </w:r>
            <w:r>
              <w:rPr>
                <w:lang w:val="en-GB"/>
              </w:rPr>
              <w:t>iated mobile station receivers through a supplemental downlink system. Supplemental Downlink is enabled on HSPA+ and LTE standards. As a mobile system, MMDL will operate under the  Mobile Service allocation and is therefore compatible with Article 5 of Radio Regulations for Region 1, 2 and 3 where the band 1452-1492 MHz is allocated to the Mobile Service on a co-primary basis.</w:t>
            </w:r>
          </w:p>
          <w:p w:rsidR="00DD741F" w:rsidRDefault="00DD741F" w:rsidP="000F34A8">
            <w:pPr>
              <w:spacing w:line="276" w:lineRule="auto"/>
              <w:jc w:val="both"/>
              <w:rPr>
                <w:lang w:val="en-GB"/>
              </w:rPr>
            </w:pPr>
          </w:p>
          <w:p w:rsidR="00DD741F" w:rsidRDefault="00DD741F" w:rsidP="000F34A8">
            <w:pPr>
              <w:spacing w:line="276" w:lineRule="auto"/>
              <w:jc w:val="both"/>
              <w:rPr>
                <w:lang w:val="en-GB"/>
              </w:rPr>
            </w:pPr>
            <w:r>
              <w:rPr>
                <w:lang w:val="en-GB"/>
              </w:rPr>
              <w:t>Moreover taking into account the downlink nature (base station towards mobile) of MMDL, this application</w:t>
            </w:r>
            <w:r w:rsidRPr="007548F5">
              <w:rPr>
                <w:lang w:val="en-GB"/>
              </w:rPr>
              <w:t xml:space="preserve"> is </w:t>
            </w:r>
            <w:r>
              <w:rPr>
                <w:lang w:val="en-GB"/>
              </w:rPr>
              <w:t xml:space="preserve">also </w:t>
            </w:r>
            <w:r w:rsidRPr="007548F5">
              <w:rPr>
                <w:lang w:val="en-GB"/>
              </w:rPr>
              <w:t>compatible with</w:t>
            </w:r>
            <w:r>
              <w:rPr>
                <w:lang w:val="en-GB"/>
              </w:rPr>
              <w:t xml:space="preserve"> the regulatory  framework of the</w:t>
            </w:r>
            <w:r w:rsidRPr="007548F5">
              <w:rPr>
                <w:lang w:val="en-GB"/>
              </w:rPr>
              <w:t xml:space="preserve"> Maastricht </w:t>
            </w:r>
            <w:r>
              <w:rPr>
                <w:lang w:val="en-GB"/>
              </w:rPr>
              <w:t xml:space="preserve">Special Arrangement as Revised in Constanta in 2007 MA02CO07, as determined by FM PT45 and reported to WG FM ( </w:t>
            </w:r>
            <w:r w:rsidRPr="0015327D">
              <w:rPr>
                <w:rFonts w:cs="Arial"/>
                <w:szCs w:val="22"/>
                <w:lang w:val="en-GB"/>
              </w:rPr>
              <w:t xml:space="preserve">FM(11)062 Annex 18). </w:t>
            </w:r>
            <w:r>
              <w:rPr>
                <w:lang w:val="en-GB"/>
              </w:rPr>
              <w:t>However, The development and deployment of MMDL in the 1452-1492 MHz band would</w:t>
            </w:r>
            <w:r w:rsidRPr="007548F5">
              <w:rPr>
                <w:lang w:val="en-GB"/>
              </w:rPr>
              <w:t xml:space="preserve"> require CEPT to develop </w:t>
            </w:r>
            <w:r>
              <w:rPr>
                <w:lang w:val="en-GB"/>
              </w:rPr>
              <w:t>a harmonised channelling arrangement with associated least restrictive technical conditions for regulatory purposes based on blocks of 5 MHz (i.e. 8 blocks of 5 MHz) for downlink use i.e. base station transmission towards mobile and in line with the European Union regulatory approach to technology neutrality that encompasses the IMT family</w:t>
            </w:r>
            <w:r w:rsidRPr="007548F5">
              <w:rPr>
                <w:lang w:val="en-GB"/>
              </w:rPr>
              <w:t xml:space="preserve">.  </w:t>
            </w:r>
            <w:r>
              <w:rPr>
                <w:lang w:val="en-GB"/>
              </w:rPr>
              <w:t xml:space="preserve">This CEPT band plan would be </w:t>
            </w:r>
            <w:r w:rsidRPr="007548F5">
              <w:rPr>
                <w:lang w:val="en-GB"/>
              </w:rPr>
              <w:t xml:space="preserve">required by 3GPP as an input to its </w:t>
            </w:r>
            <w:r>
              <w:rPr>
                <w:lang w:val="en-GB"/>
              </w:rPr>
              <w:t>specification</w:t>
            </w:r>
            <w:r w:rsidRPr="007548F5">
              <w:rPr>
                <w:lang w:val="en-GB"/>
              </w:rPr>
              <w:t xml:space="preserve"> work to support </w:t>
            </w:r>
            <w:r>
              <w:rPr>
                <w:lang w:val="en-GB"/>
              </w:rPr>
              <w:t xml:space="preserve">future development of </w:t>
            </w:r>
            <w:r w:rsidRPr="007548F5">
              <w:rPr>
                <w:lang w:val="en-GB"/>
              </w:rPr>
              <w:t xml:space="preserve">supplemental downlink </w:t>
            </w:r>
            <w:r>
              <w:rPr>
                <w:lang w:val="en-GB"/>
              </w:rPr>
              <w:t xml:space="preserve">application in the 1452-1492 MHz. The harmonisation of the channelling arrangement across the whole 40 MHz is key in order to ensure economies of scale and enable a multi-operator environment, which are the basis for a successful development of the application. </w:t>
            </w:r>
          </w:p>
          <w:p w:rsidR="00DD741F" w:rsidRPr="007548F5" w:rsidRDefault="00DD741F" w:rsidP="00484702">
            <w:pPr>
              <w:spacing w:line="276" w:lineRule="auto"/>
              <w:jc w:val="both"/>
              <w:rPr>
                <w:lang w:val="en-GB"/>
              </w:rPr>
            </w:pPr>
          </w:p>
          <w:p w:rsidR="00DD741F" w:rsidRPr="007548F5" w:rsidRDefault="00DD741F" w:rsidP="00484702">
            <w:pPr>
              <w:spacing w:line="276" w:lineRule="auto"/>
              <w:jc w:val="both"/>
              <w:rPr>
                <w:b/>
                <w:lang w:val="en-GB"/>
              </w:rPr>
            </w:pPr>
            <w:r w:rsidRPr="007548F5">
              <w:rPr>
                <w:b/>
                <w:lang w:val="en-GB"/>
              </w:rPr>
              <w:t>4.3.2</w:t>
            </w:r>
            <w:r w:rsidRPr="007548F5">
              <w:rPr>
                <w:b/>
                <w:lang w:val="en-GB"/>
              </w:rPr>
              <w:tab/>
              <w:t xml:space="preserve">Possibility to combine/share with other applications/uses, </w:t>
            </w:r>
          </w:p>
          <w:p w:rsidR="00DD741F" w:rsidRDefault="00DD741F" w:rsidP="00484702">
            <w:pPr>
              <w:spacing w:line="276" w:lineRule="auto"/>
              <w:jc w:val="both"/>
              <w:rPr>
                <w:lang w:val="en-GB"/>
              </w:rPr>
            </w:pPr>
          </w:p>
          <w:p w:rsidR="00DD741F" w:rsidRDefault="00DD741F" w:rsidP="000F34A8">
            <w:pPr>
              <w:spacing w:line="276" w:lineRule="auto"/>
              <w:jc w:val="both"/>
              <w:rPr>
                <w:lang w:val="en-GB"/>
              </w:rPr>
            </w:pPr>
            <w:r>
              <w:rPr>
                <w:lang w:val="en-GB"/>
              </w:rPr>
              <w:t xml:space="preserve">Due to the very efficient use of spectrum of the MMDL application with a frequency reuse of 1 (i.e. the same frequency is used nationwide), and the required economies of scale sharing with the other primary candidate applications (satellite, terrestrial broadcasting, PPDR, DA2GC) and secondary candidate applications (PMSEs) on co-geographical/co-frequency basis is not possible.  </w:t>
            </w:r>
          </w:p>
          <w:p w:rsidR="00DD741F" w:rsidRDefault="00DD741F" w:rsidP="000F34A8">
            <w:pPr>
              <w:spacing w:line="276" w:lineRule="auto"/>
              <w:jc w:val="both"/>
              <w:rPr>
                <w:lang w:val="en-GB"/>
              </w:rPr>
            </w:pPr>
          </w:p>
          <w:p w:rsidR="00DD741F" w:rsidRDefault="00DD741F" w:rsidP="00484702">
            <w:pPr>
              <w:spacing w:line="276" w:lineRule="auto"/>
              <w:jc w:val="both"/>
              <w:rPr>
                <w:lang w:val="en-GB"/>
              </w:rPr>
            </w:pPr>
            <w:r>
              <w:rPr>
                <w:lang w:val="en-GB"/>
              </w:rPr>
              <w:t>The</w:t>
            </w:r>
            <w:r w:rsidRPr="007548F5">
              <w:rPr>
                <w:lang w:val="en-GB"/>
              </w:rPr>
              <w:t xml:space="preserve"> approach </w:t>
            </w:r>
            <w:r>
              <w:rPr>
                <w:lang w:val="en-GB"/>
              </w:rPr>
              <w:t xml:space="preserve">detailed in the previous section i.e. the harmonisation by CEPT of a channelling arrangement across the whole 40 MHz of 1452-1492 MHz based on 5 MHz blocks (8 blocks) for downlink use will enable the harmonized deployment of MMDL in Europe (which includes Mobile Broadband downlink) while being technically </w:t>
            </w:r>
            <w:r w:rsidRPr="007548F5">
              <w:rPr>
                <w:lang w:val="en-GB"/>
              </w:rPr>
              <w:t xml:space="preserve">compatible with the deployment </w:t>
            </w:r>
            <w:r>
              <w:rPr>
                <w:lang w:val="en-GB"/>
              </w:rPr>
              <w:t xml:space="preserve">on a national basis </w:t>
            </w:r>
            <w:r w:rsidRPr="007548F5">
              <w:rPr>
                <w:lang w:val="en-GB"/>
              </w:rPr>
              <w:t>of terrestrial DAB</w:t>
            </w:r>
            <w:r>
              <w:rPr>
                <w:lang w:val="en-GB"/>
              </w:rPr>
              <w:t>, PMSE and Terrestrial Broadcasting applications in part of the band</w:t>
            </w:r>
            <w:r w:rsidRPr="007548F5">
              <w:rPr>
                <w:lang w:val="en-GB"/>
              </w:rPr>
              <w:t xml:space="preserve"> should there </w:t>
            </w:r>
            <w:r>
              <w:rPr>
                <w:lang w:val="en-GB"/>
              </w:rPr>
              <w:t xml:space="preserve">be any </w:t>
            </w:r>
            <w:r w:rsidRPr="007548F5">
              <w:rPr>
                <w:lang w:val="en-GB"/>
              </w:rPr>
              <w:t>demand</w:t>
            </w:r>
            <w:r>
              <w:rPr>
                <w:lang w:val="en-GB"/>
              </w:rPr>
              <w:t xml:space="preserve"> on a national basis</w:t>
            </w:r>
            <w:r w:rsidRPr="007548F5">
              <w:rPr>
                <w:lang w:val="en-GB"/>
              </w:rPr>
              <w:t xml:space="preserve"> for such </w:t>
            </w:r>
            <w:r>
              <w:rPr>
                <w:lang w:val="en-GB"/>
              </w:rPr>
              <w:t>applications</w:t>
            </w:r>
            <w:r w:rsidRPr="007548F5">
              <w:rPr>
                <w:lang w:val="en-GB"/>
              </w:rPr>
              <w:t>.</w:t>
            </w:r>
            <w:r>
              <w:rPr>
                <w:lang w:val="en-GB"/>
              </w:rPr>
              <w:t xml:space="preserve"> This will not be the case for applications such as DA2GC or satellite which are requesting a pan- European allocation of part of the band and by consequence considerably fragmenting the whole 40 MHz putting at risk the large economies of scale that could be derived from a coherent approach across the whole 40 MHz.  </w:t>
            </w:r>
          </w:p>
          <w:p w:rsidR="00DD741F" w:rsidRPr="007548F5" w:rsidRDefault="00DD741F" w:rsidP="00484702">
            <w:pPr>
              <w:spacing w:line="276" w:lineRule="auto"/>
              <w:jc w:val="both"/>
              <w:rPr>
                <w:lang w:val="en-GB"/>
              </w:rPr>
            </w:pPr>
          </w:p>
          <w:p w:rsidR="00DD741F" w:rsidRPr="007548F5" w:rsidRDefault="00DD741F" w:rsidP="00484702">
            <w:pPr>
              <w:spacing w:line="276" w:lineRule="auto"/>
              <w:jc w:val="both"/>
              <w:rPr>
                <w:b/>
                <w:lang w:val="en-GB"/>
              </w:rPr>
            </w:pPr>
            <w:r w:rsidRPr="007548F5">
              <w:rPr>
                <w:b/>
                <w:lang w:val="en-GB"/>
              </w:rPr>
              <w:t>4.3.3</w:t>
            </w:r>
            <w:r w:rsidRPr="007548F5">
              <w:rPr>
                <w:b/>
                <w:lang w:val="en-GB"/>
              </w:rPr>
              <w:tab/>
              <w:t>Extent (maximisation) of social and economic benefits,</w:t>
            </w:r>
          </w:p>
          <w:p w:rsidR="00DD741F" w:rsidRDefault="00DD741F" w:rsidP="00484702">
            <w:pPr>
              <w:spacing w:line="276" w:lineRule="auto"/>
              <w:jc w:val="both"/>
              <w:rPr>
                <w:lang w:val="en-GB"/>
              </w:rPr>
            </w:pPr>
          </w:p>
          <w:p w:rsidR="00DD741F" w:rsidRPr="006D1E70" w:rsidRDefault="00DD741F" w:rsidP="00484702">
            <w:pPr>
              <w:pStyle w:val="BodyText"/>
              <w:spacing w:line="276" w:lineRule="auto"/>
              <w:jc w:val="both"/>
              <w:rPr>
                <w:rFonts w:ascii="Times New Roman" w:hAnsi="Times New Roman"/>
              </w:rPr>
            </w:pPr>
            <w:r w:rsidRPr="00CD61A6">
              <w:rPr>
                <w:rFonts w:ascii="Times New Roman" w:hAnsi="Times New Roman"/>
              </w:rPr>
              <w:t xml:space="preserve">There is a substantial case for harmonising </w:t>
            </w:r>
            <w:r>
              <w:rPr>
                <w:rFonts w:ascii="Times New Roman" w:hAnsi="Times New Roman"/>
              </w:rPr>
              <w:t xml:space="preserve">the band 1452-1492 MHz as </w:t>
            </w:r>
            <w:r w:rsidRPr="00CD61A6">
              <w:rPr>
                <w:rFonts w:ascii="Times New Roman" w:hAnsi="Times New Roman"/>
              </w:rPr>
              <w:t>supplemental downlink</w:t>
            </w:r>
            <w:r>
              <w:rPr>
                <w:rFonts w:ascii="Times New Roman" w:hAnsi="Times New Roman"/>
              </w:rPr>
              <w:t xml:space="preserve"> for MMDL application. Indeed, t</w:t>
            </w:r>
            <w:r w:rsidRPr="006D1E70">
              <w:rPr>
                <w:rFonts w:ascii="Times New Roman" w:hAnsi="Times New Roman"/>
              </w:rPr>
              <w:t xml:space="preserve">he harmonisation and use of the band 1452 – 1492 MHz for Mobile Multimedia Downlink systems would bring </w:t>
            </w:r>
            <w:r>
              <w:rPr>
                <w:rFonts w:ascii="Times New Roman" w:hAnsi="Times New Roman"/>
              </w:rPr>
              <w:t>considerable</w:t>
            </w:r>
            <w:r w:rsidRPr="006D1E70">
              <w:rPr>
                <w:rFonts w:ascii="Times New Roman" w:hAnsi="Times New Roman"/>
              </w:rPr>
              <w:t xml:space="preserve"> benefits for </w:t>
            </w:r>
            <w:smartTag w:uri="urn:schemas-microsoft-com:office:smarttags" w:element="place">
              <w:r w:rsidRPr="006D1E70">
                <w:rPr>
                  <w:rFonts w:ascii="Times New Roman" w:hAnsi="Times New Roman"/>
                </w:rPr>
                <w:t>Europe</w:t>
              </w:r>
            </w:smartTag>
            <w:r w:rsidRPr="006D1E70">
              <w:rPr>
                <w:rFonts w:ascii="Times New Roman" w:hAnsi="Times New Roman"/>
              </w:rPr>
              <w:t xml:space="preserve">. These benefits have been identified, they are additive and are summarised in Table 4.3.3-1. </w:t>
            </w:r>
            <w:r>
              <w:rPr>
                <w:rFonts w:ascii="Times New Roman" w:hAnsi="Times New Roman"/>
              </w:rPr>
              <w:t xml:space="preserve">The first two benefits have been assessed in a quantitative manner whereas the other three benefits are discussed qualitatively. </w:t>
            </w:r>
          </w:p>
          <w:p w:rsidR="00DD741F" w:rsidRDefault="00DD741F" w:rsidP="00301217">
            <w:pPr>
              <w:pStyle w:val="BodyText"/>
              <w:jc w:val="both"/>
              <w:rPr>
                <w:rFonts w:ascii="Times New Roman" w:hAnsi="Times New Roman"/>
                <w:sz w:val="22"/>
              </w:rPr>
            </w:pPr>
          </w:p>
          <w:tbl>
            <w:tblPr>
              <w:tblW w:w="8280" w:type="dxa"/>
              <w:jc w:val="center"/>
              <w:tblInd w:w="259" w:type="dxa"/>
              <w:tblLayout w:type="fixed"/>
              <w:tblCellMar>
                <w:left w:w="10" w:type="dxa"/>
                <w:right w:w="10" w:type="dxa"/>
              </w:tblCellMar>
              <w:tblLook w:val="00A0"/>
            </w:tblPr>
            <w:tblGrid>
              <w:gridCol w:w="1080"/>
              <w:gridCol w:w="2799"/>
              <w:gridCol w:w="2777"/>
              <w:gridCol w:w="1624"/>
            </w:tblGrid>
            <w:tr w:rsidR="00DD741F" w:rsidRPr="00BD5832" w:rsidTr="0053749D">
              <w:trPr>
                <w:jc w:val="center"/>
              </w:trPr>
              <w:tc>
                <w:tcPr>
                  <w:tcW w:w="1080" w:type="dxa"/>
                  <w:tcBorders>
                    <w:top w:val="single" w:sz="2" w:space="0" w:color="FFFFFF"/>
                    <w:left w:val="single" w:sz="2" w:space="0" w:color="FFFFFF"/>
                    <w:bottom w:val="single" w:sz="2" w:space="0" w:color="FFFFFF"/>
                    <w:right w:val="single" w:sz="2" w:space="0" w:color="FFFFFF"/>
                  </w:tcBorders>
                  <w:shd w:val="clear" w:color="auto" w:fill="939598"/>
                  <w:tcMar>
                    <w:top w:w="57" w:type="dxa"/>
                    <w:left w:w="170" w:type="dxa"/>
                    <w:bottom w:w="57" w:type="dxa"/>
                    <w:right w:w="170" w:type="dxa"/>
                  </w:tcMar>
                </w:tcPr>
                <w:p w:rsidR="00DD741F" w:rsidRPr="003F6655" w:rsidRDefault="00DD741F" w:rsidP="003F1641">
                  <w:pPr>
                    <w:spacing w:after="60"/>
                    <w:rPr>
                      <w:color w:val="FFFFFF"/>
                      <w:sz w:val="20"/>
                      <w:szCs w:val="20"/>
                    </w:rPr>
                  </w:pPr>
                  <w:r w:rsidRPr="003F6655">
                    <w:rPr>
                      <w:color w:val="FFFFFF"/>
                      <w:sz w:val="20"/>
                      <w:szCs w:val="20"/>
                    </w:rPr>
                    <w:t>Ref</w:t>
                  </w:r>
                </w:p>
              </w:tc>
              <w:tc>
                <w:tcPr>
                  <w:tcW w:w="2799" w:type="dxa"/>
                  <w:tcBorders>
                    <w:top w:val="single" w:sz="2" w:space="0" w:color="FFFFFF"/>
                    <w:left w:val="single" w:sz="2" w:space="0" w:color="FFFFFF"/>
                    <w:bottom w:val="single" w:sz="2" w:space="0" w:color="FFFFFF"/>
                    <w:right w:val="single" w:sz="2" w:space="0" w:color="FFFFFF"/>
                  </w:tcBorders>
                  <w:shd w:val="clear" w:color="auto" w:fill="939598"/>
                  <w:tcMar>
                    <w:top w:w="57" w:type="dxa"/>
                    <w:left w:w="170" w:type="dxa"/>
                    <w:bottom w:w="57" w:type="dxa"/>
                    <w:right w:w="170" w:type="dxa"/>
                  </w:tcMar>
                </w:tcPr>
                <w:p w:rsidR="00DD741F" w:rsidRPr="003F6655" w:rsidRDefault="00DD741F" w:rsidP="003F1641">
                  <w:pPr>
                    <w:spacing w:after="60"/>
                    <w:rPr>
                      <w:color w:val="FFFFFF"/>
                      <w:sz w:val="20"/>
                      <w:szCs w:val="20"/>
                    </w:rPr>
                  </w:pPr>
                  <w:r w:rsidRPr="003F6655">
                    <w:rPr>
                      <w:color w:val="FFFFFF"/>
                      <w:sz w:val="20"/>
                      <w:szCs w:val="20"/>
                    </w:rPr>
                    <w:t>Impact of MMDL</w:t>
                  </w:r>
                </w:p>
              </w:tc>
              <w:tc>
                <w:tcPr>
                  <w:tcW w:w="2777" w:type="dxa"/>
                  <w:tcBorders>
                    <w:top w:val="single" w:sz="2" w:space="0" w:color="FFFFFF"/>
                    <w:left w:val="single" w:sz="2" w:space="0" w:color="FFFFFF"/>
                    <w:bottom w:val="single" w:sz="2" w:space="0" w:color="FFFFFF"/>
                    <w:right w:val="single" w:sz="2" w:space="0" w:color="FFFFFF"/>
                  </w:tcBorders>
                  <w:shd w:val="clear" w:color="auto" w:fill="939598"/>
                  <w:tcMar>
                    <w:top w:w="57" w:type="dxa"/>
                    <w:left w:w="170" w:type="dxa"/>
                    <w:bottom w:w="57" w:type="dxa"/>
                    <w:right w:w="170" w:type="dxa"/>
                  </w:tcMar>
                </w:tcPr>
                <w:p w:rsidR="00DD741F" w:rsidRPr="003F6655" w:rsidRDefault="00DD741F" w:rsidP="003F1641">
                  <w:pPr>
                    <w:spacing w:after="60"/>
                    <w:rPr>
                      <w:color w:val="FFFFFF"/>
                      <w:sz w:val="20"/>
                      <w:szCs w:val="20"/>
                    </w:rPr>
                  </w:pPr>
                  <w:r w:rsidRPr="003F6655">
                    <w:rPr>
                      <w:color w:val="FFFFFF"/>
                      <w:sz w:val="20"/>
                      <w:szCs w:val="20"/>
                    </w:rPr>
                    <w:t>Benefits</w:t>
                  </w:r>
                </w:p>
              </w:tc>
              <w:tc>
                <w:tcPr>
                  <w:tcW w:w="1624" w:type="dxa"/>
                  <w:tcBorders>
                    <w:top w:val="single" w:sz="2" w:space="0" w:color="FFFFFF"/>
                    <w:left w:val="single" w:sz="2" w:space="0" w:color="FFFFFF"/>
                    <w:bottom w:val="single" w:sz="2" w:space="0" w:color="FFFFFF"/>
                    <w:right w:val="single" w:sz="2" w:space="0" w:color="FFFFFF"/>
                  </w:tcBorders>
                  <w:shd w:val="clear" w:color="auto" w:fill="939598"/>
                  <w:tcMar>
                    <w:top w:w="57" w:type="dxa"/>
                    <w:left w:w="170" w:type="dxa"/>
                    <w:bottom w:w="57" w:type="dxa"/>
                    <w:right w:w="170" w:type="dxa"/>
                  </w:tcMar>
                </w:tcPr>
                <w:p w:rsidR="00DD741F" w:rsidRPr="003F6655" w:rsidRDefault="00DD741F" w:rsidP="003F1641">
                  <w:pPr>
                    <w:spacing w:after="60"/>
                    <w:rPr>
                      <w:color w:val="FFFFFF"/>
                      <w:sz w:val="20"/>
                      <w:szCs w:val="20"/>
                    </w:rPr>
                  </w:pPr>
                  <w:r w:rsidRPr="003F6655">
                    <w:rPr>
                      <w:color w:val="FFFFFF"/>
                      <w:sz w:val="20"/>
                      <w:szCs w:val="20"/>
                    </w:rPr>
                    <w:t>Assessment</w:t>
                  </w:r>
                </w:p>
              </w:tc>
            </w:tr>
            <w:tr w:rsidR="00DD741F" w:rsidRPr="00BD5832" w:rsidTr="0053749D">
              <w:trPr>
                <w:jc w:val="center"/>
              </w:trPr>
              <w:tc>
                <w:tcPr>
                  <w:tcW w:w="1080"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1</w:t>
                  </w:r>
                </w:p>
              </w:tc>
              <w:tc>
                <w:tcPr>
                  <w:tcW w:w="2799"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More urban and suburban capacity at lower cost</w:t>
                  </w:r>
                  <w:r w:rsidRPr="008F3792">
                    <w:rPr>
                      <w:sz w:val="20"/>
                      <w:szCs w:val="20"/>
                      <w:lang w:val="en-GB"/>
                    </w:rPr>
                    <w:t xml:space="preserve"> than</w:t>
                  </w:r>
                  <w:r w:rsidRPr="0015327D">
                    <w:rPr>
                      <w:sz w:val="20"/>
                      <w:szCs w:val="20"/>
                      <w:lang w:val="en-GB"/>
                    </w:rPr>
                    <w:t xml:space="preserve"> building new base stations</w:t>
                  </w:r>
                </w:p>
              </w:tc>
              <w:tc>
                <w:tcPr>
                  <w:tcW w:w="2777"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Lower prices</w:t>
                  </w:r>
                  <w:r w:rsidRPr="008F3792">
                    <w:rPr>
                      <w:sz w:val="20"/>
                      <w:szCs w:val="20"/>
                      <w:lang w:val="en-GB"/>
                    </w:rPr>
                    <w:t xml:space="preserve"> overall</w:t>
                  </w:r>
                  <w:r w:rsidRPr="0015327D">
                    <w:rPr>
                      <w:sz w:val="20"/>
                      <w:szCs w:val="20"/>
                      <w:lang w:val="en-GB"/>
                    </w:rPr>
                    <w:t xml:space="preserve"> for end-users (in a competitive market).</w:t>
                  </w:r>
                </w:p>
              </w:tc>
              <w:tc>
                <w:tcPr>
                  <w:tcW w:w="1624"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Quantitative</w:t>
                  </w:r>
                </w:p>
              </w:tc>
            </w:tr>
            <w:tr w:rsidR="00DD741F" w:rsidRPr="00BD5832" w:rsidTr="0053749D">
              <w:trPr>
                <w:jc w:val="center"/>
              </w:trPr>
              <w:tc>
                <w:tcPr>
                  <w:tcW w:w="1080"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2</w:t>
                  </w:r>
                </w:p>
              </w:tc>
              <w:tc>
                <w:tcPr>
                  <w:tcW w:w="2799"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 xml:space="preserve">Better service in terms of higher data speeds and ability to support more users.  Possibly better coverage including indoor coverage, depending on the anchor paired frequencies used. </w:t>
                  </w:r>
                </w:p>
              </w:tc>
              <w:tc>
                <w:tcPr>
                  <w:tcW w:w="2777"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Greater willingness to pay by end-users and increased consumer surplus.</w:t>
                  </w:r>
                </w:p>
              </w:tc>
              <w:tc>
                <w:tcPr>
                  <w:tcW w:w="1624"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Quantitative</w:t>
                  </w:r>
                </w:p>
              </w:tc>
            </w:tr>
            <w:tr w:rsidR="00DD741F" w:rsidRPr="00BD5832" w:rsidTr="0053749D">
              <w:trPr>
                <w:jc w:val="center"/>
              </w:trPr>
              <w:tc>
                <w:tcPr>
                  <w:tcW w:w="1080"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3</w:t>
                  </w:r>
                </w:p>
              </w:tc>
              <w:tc>
                <w:tcPr>
                  <w:tcW w:w="2799"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High-speed data in rural areas.</w:t>
                  </w:r>
                </w:p>
              </w:tc>
              <w:tc>
                <w:tcPr>
                  <w:tcW w:w="2777"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Contribute towards achieving Digital Agenda target of 30 Mbps for all by 2020 at lower cost.</w:t>
                  </w:r>
                </w:p>
              </w:tc>
              <w:tc>
                <w:tcPr>
                  <w:tcW w:w="1624"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Qualitative</w:t>
                  </w:r>
                </w:p>
              </w:tc>
            </w:tr>
            <w:tr w:rsidR="00DD741F" w:rsidRPr="00BD5832" w:rsidTr="0053749D">
              <w:trPr>
                <w:jc w:val="center"/>
              </w:trPr>
              <w:tc>
                <w:tcPr>
                  <w:tcW w:w="1080"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4</w:t>
                  </w:r>
                </w:p>
              </w:tc>
              <w:tc>
                <w:tcPr>
                  <w:tcW w:w="2799"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Facilitate innovative new business models.</w:t>
                  </w:r>
                </w:p>
              </w:tc>
              <w:tc>
                <w:tcPr>
                  <w:tcW w:w="2777"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Increased competition in supplier of mobile data and multimedia services.</w:t>
                  </w:r>
                </w:p>
              </w:tc>
              <w:tc>
                <w:tcPr>
                  <w:tcW w:w="1624"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Qualitative</w:t>
                  </w:r>
                </w:p>
              </w:tc>
            </w:tr>
            <w:tr w:rsidR="00DD741F" w:rsidRPr="0015327D" w:rsidTr="0053749D">
              <w:trPr>
                <w:jc w:val="center"/>
              </w:trPr>
              <w:tc>
                <w:tcPr>
                  <w:tcW w:w="1080"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3F6655" w:rsidRDefault="00DD741F" w:rsidP="003F1641">
                  <w:pPr>
                    <w:spacing w:after="60"/>
                    <w:rPr>
                      <w:sz w:val="20"/>
                      <w:szCs w:val="20"/>
                    </w:rPr>
                  </w:pPr>
                  <w:r w:rsidRPr="003F6655">
                    <w:rPr>
                      <w:sz w:val="20"/>
                      <w:szCs w:val="20"/>
                    </w:rPr>
                    <w:t>5</w:t>
                  </w:r>
                </w:p>
              </w:tc>
              <w:tc>
                <w:tcPr>
                  <w:tcW w:w="2799"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Early adoption of supplemental downlink by European firms to support the development of mobile multimedia services.</w:t>
                  </w:r>
                </w:p>
              </w:tc>
              <w:tc>
                <w:tcPr>
                  <w:tcW w:w="2777"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European firms better able to compete in global mobile services markets.</w:t>
                  </w:r>
                </w:p>
              </w:tc>
              <w:tc>
                <w:tcPr>
                  <w:tcW w:w="1624" w:type="dxa"/>
                  <w:tcBorders>
                    <w:top w:val="single" w:sz="2" w:space="0" w:color="FFFFFF"/>
                    <w:left w:val="single" w:sz="2" w:space="0" w:color="FFFFFF"/>
                    <w:bottom w:val="single" w:sz="2" w:space="0" w:color="FFFFFF"/>
                    <w:right w:val="single" w:sz="2" w:space="0" w:color="FFFFFF"/>
                  </w:tcBorders>
                  <w:shd w:val="clear" w:color="auto" w:fill="DCDDDE"/>
                  <w:tcMar>
                    <w:top w:w="57" w:type="dxa"/>
                    <w:left w:w="170" w:type="dxa"/>
                    <w:bottom w:w="57" w:type="dxa"/>
                    <w:right w:w="170" w:type="dxa"/>
                  </w:tcMar>
                </w:tcPr>
                <w:p w:rsidR="00DD741F" w:rsidRPr="0015327D" w:rsidRDefault="00DD741F" w:rsidP="003F1641">
                  <w:pPr>
                    <w:spacing w:after="60"/>
                    <w:rPr>
                      <w:sz w:val="20"/>
                      <w:szCs w:val="20"/>
                      <w:lang w:val="en-GB"/>
                    </w:rPr>
                  </w:pPr>
                  <w:r w:rsidRPr="0015327D">
                    <w:rPr>
                      <w:sz w:val="20"/>
                      <w:szCs w:val="20"/>
                      <w:lang w:val="en-GB"/>
                    </w:rPr>
                    <w:t>Qualitative</w:t>
                  </w:r>
                </w:p>
              </w:tc>
            </w:tr>
          </w:tbl>
          <w:p w:rsidR="00DD741F" w:rsidRDefault="00DD741F" w:rsidP="00F948BE">
            <w:pPr>
              <w:pStyle w:val="FigureCaption"/>
              <w:spacing w:before="120"/>
              <w:jc w:val="center"/>
              <w:rPr>
                <w:rFonts w:ascii="Times New Roman" w:hAnsi="Times New Roman"/>
                <w:color w:val="auto"/>
                <w:sz w:val="24"/>
              </w:rPr>
            </w:pPr>
            <w:r w:rsidRPr="008D13A4">
              <w:rPr>
                <w:rFonts w:ascii="Times New Roman" w:hAnsi="Times New Roman"/>
                <w:color w:val="auto"/>
                <w:sz w:val="24"/>
              </w:rPr>
              <w:t>Table 4.3.3-1:  The benefits of deploying MMDL at 1.4 GHz.</w:t>
            </w:r>
          </w:p>
          <w:p w:rsidR="00DD741F" w:rsidRPr="008D13A4" w:rsidRDefault="00DD741F" w:rsidP="008D13A4">
            <w:pPr>
              <w:pStyle w:val="BodyText"/>
            </w:pPr>
          </w:p>
          <w:p w:rsidR="00DD741F" w:rsidRPr="0015327D" w:rsidRDefault="00DD741F" w:rsidP="00E86E6C">
            <w:pPr>
              <w:pStyle w:val="Heading2"/>
              <w:numPr>
                <w:ilvl w:val="3"/>
                <w:numId w:val="27"/>
              </w:numPr>
              <w:rPr>
                <w:rFonts w:ascii="Times New Roman" w:hAnsi="Times New Roman"/>
                <w:sz w:val="24"/>
                <w:szCs w:val="20"/>
                <w:lang w:val="en-GB"/>
              </w:rPr>
            </w:pPr>
            <w:bookmarkStart w:id="0" w:name="_Toc295140274"/>
            <w:r w:rsidRPr="0015327D">
              <w:rPr>
                <w:rFonts w:ascii="Times New Roman" w:hAnsi="Times New Roman"/>
                <w:sz w:val="24"/>
                <w:szCs w:val="20"/>
                <w:lang w:val="en-GB"/>
              </w:rPr>
              <w:t>The net benefits of</w:t>
            </w:r>
            <w:r w:rsidRPr="008F3792">
              <w:rPr>
                <w:rFonts w:ascii="Times New Roman" w:hAnsi="Times New Roman"/>
                <w:sz w:val="24"/>
                <w:szCs w:val="20"/>
                <w:lang w:val="en-GB"/>
              </w:rPr>
              <w:t xml:space="preserve"> additional</w:t>
            </w:r>
            <w:r w:rsidRPr="0015327D">
              <w:rPr>
                <w:rFonts w:ascii="Times New Roman" w:hAnsi="Times New Roman"/>
                <w:sz w:val="24"/>
                <w:szCs w:val="20"/>
                <w:lang w:val="en-GB"/>
              </w:rPr>
              <w:t xml:space="preserve"> MMDL capacity at 1.4 GHz and better services in terms of higher data speed and user</w:t>
            </w:r>
            <w:r w:rsidRPr="008F3792">
              <w:rPr>
                <w:rFonts w:ascii="Times New Roman" w:hAnsi="Times New Roman"/>
                <w:sz w:val="24"/>
                <w:szCs w:val="20"/>
                <w:lang w:val="en-GB"/>
              </w:rPr>
              <w:t xml:space="preserve"> experience</w:t>
            </w:r>
          </w:p>
          <w:p w:rsidR="00DD741F" w:rsidRPr="0015327D" w:rsidRDefault="00DD741F" w:rsidP="00E86E6C">
            <w:pPr>
              <w:rPr>
                <w:lang w:val="en-GB"/>
              </w:rPr>
            </w:pPr>
          </w:p>
          <w:p w:rsidR="00DD741F" w:rsidRPr="008D13A4" w:rsidRDefault="00DD741F" w:rsidP="00E86E6C">
            <w:pPr>
              <w:spacing w:line="276" w:lineRule="auto"/>
              <w:ind w:left="1432"/>
              <w:jc w:val="both"/>
            </w:pPr>
            <w:r w:rsidRPr="0015327D">
              <w:rPr>
                <w:lang w:val="en-GB"/>
              </w:rPr>
              <w:t xml:space="preserve">Mobile traffic is growing rapidly and high growth rates are forecast to continue for some time. The need for additional licensed spectrum to support this traffic growth has been recognised by the ITU, CEPT, the EU as well as many national broadband plan of European countries. The 1.4 GHZ band can provide for much needed downlink capacity given the asymmetric nature of mobile broadband traffic and to support the significant growth in enhanced mobile multimedia traffic.  It will thereby significantly enhance the user experience by enabling faster downloads and support for a much greater number of users. </w:t>
            </w:r>
            <w:r>
              <w:t>The first two benefits that</w:t>
            </w:r>
            <w:r w:rsidRPr="008D13A4">
              <w:t xml:space="preserve"> have been quantified are:</w:t>
            </w:r>
          </w:p>
          <w:p w:rsidR="00DD741F" w:rsidRPr="008D13A4" w:rsidRDefault="00DD741F" w:rsidP="00E86E6C">
            <w:pPr>
              <w:pStyle w:val="BodyText"/>
              <w:jc w:val="both"/>
              <w:rPr>
                <w:rFonts w:ascii="Times New Roman" w:hAnsi="Times New Roman"/>
                <w:sz w:val="28"/>
              </w:rPr>
            </w:pPr>
          </w:p>
          <w:p w:rsidR="00DD741F" w:rsidRPr="004D7287" w:rsidRDefault="00DD741F" w:rsidP="00E86E6C">
            <w:pPr>
              <w:pStyle w:val="BulletList1"/>
              <w:numPr>
                <w:ilvl w:val="0"/>
                <w:numId w:val="16"/>
              </w:numPr>
              <w:tabs>
                <w:tab w:val="clear" w:pos="760"/>
              </w:tabs>
              <w:ind w:left="2242" w:hanging="810"/>
              <w:jc w:val="both"/>
              <w:rPr>
                <w:rFonts w:ascii="Times New Roman" w:hAnsi="Times New Roman"/>
                <w:sz w:val="24"/>
              </w:rPr>
            </w:pPr>
            <w:r w:rsidRPr="008D13A4">
              <w:rPr>
                <w:rFonts w:ascii="Times New Roman" w:hAnsi="Times New Roman"/>
                <w:sz w:val="24"/>
              </w:rPr>
              <w:t xml:space="preserve">The </w:t>
            </w:r>
            <w:r w:rsidRPr="008D13A4">
              <w:rPr>
                <w:rFonts w:ascii="Times New Roman" w:hAnsi="Times New Roman"/>
                <w:i/>
                <w:sz w:val="24"/>
              </w:rPr>
              <w:t>avoided costs</w:t>
            </w:r>
            <w:r w:rsidRPr="008D13A4">
              <w:rPr>
                <w:rStyle w:val="FootnoteReference"/>
                <w:rFonts w:ascii="Times New Roman" w:hAnsi="Times New Roman"/>
                <w:sz w:val="24"/>
              </w:rPr>
              <w:footnoteReference w:id="1"/>
            </w:r>
            <w:r w:rsidRPr="008D13A4">
              <w:rPr>
                <w:rFonts w:ascii="Times New Roman" w:hAnsi="Times New Roman"/>
                <w:sz w:val="24"/>
              </w:rPr>
              <w:t xml:space="preserve"> : Deploying a 1.4 GHz supplemental downlink allows mobile operators to avoid significant cost to meet rising demand for MMD services  rather than deploying  additional base stations. In a competitive market these lower costs will result in lower end user prices for mobile broadband and mobile multimedia services.</w:t>
            </w:r>
          </w:p>
          <w:p w:rsidR="00DD741F" w:rsidRPr="002327A5" w:rsidRDefault="00DD741F" w:rsidP="00E86E6C">
            <w:pPr>
              <w:pStyle w:val="BulletList1"/>
              <w:numPr>
                <w:ilvl w:val="0"/>
                <w:numId w:val="16"/>
              </w:numPr>
              <w:tabs>
                <w:tab w:val="clear" w:pos="760"/>
                <w:tab w:val="num" w:pos="2242"/>
              </w:tabs>
              <w:ind w:left="2242" w:hanging="810"/>
              <w:jc w:val="both"/>
              <w:rPr>
                <w:rFonts w:ascii="Times New Roman" w:hAnsi="Times New Roman"/>
                <w:sz w:val="24"/>
              </w:rPr>
            </w:pPr>
            <w:r w:rsidRPr="008D13A4">
              <w:rPr>
                <w:rFonts w:ascii="Times New Roman" w:hAnsi="Times New Roman"/>
                <w:i/>
                <w:sz w:val="24"/>
              </w:rPr>
              <w:t>consumer surplus</w:t>
            </w:r>
            <w:r w:rsidRPr="008D13A4">
              <w:rPr>
                <w:rFonts w:ascii="Times New Roman" w:hAnsi="Times New Roman"/>
                <w:sz w:val="24"/>
              </w:rPr>
              <w:t xml:space="preserve"> : Deploying a supplemental downlink at 1.4 GHz will lead to faster download speeds support for a greater number of users, better in-building coverage and enhanced MMD services which will consequently increase consumers surplus. </w:t>
            </w:r>
          </w:p>
          <w:p w:rsidR="00DD741F" w:rsidRDefault="00DD741F" w:rsidP="00E86E6C">
            <w:pPr>
              <w:pStyle w:val="BulletList1"/>
              <w:numPr>
                <w:ilvl w:val="0"/>
                <w:numId w:val="0"/>
              </w:numPr>
              <w:spacing w:line="480" w:lineRule="auto"/>
              <w:ind w:left="1342"/>
              <w:jc w:val="both"/>
              <w:rPr>
                <w:rFonts w:ascii="Times New Roman" w:hAnsi="Times New Roman"/>
                <w:sz w:val="24"/>
              </w:rPr>
            </w:pPr>
            <w:r>
              <w:rPr>
                <w:rFonts w:ascii="Times New Roman" w:hAnsi="Times New Roman"/>
                <w:sz w:val="24"/>
              </w:rPr>
              <w:t>The</w:t>
            </w:r>
            <w:r w:rsidRPr="00997BF5">
              <w:rPr>
                <w:rFonts w:ascii="Times New Roman" w:hAnsi="Times New Roman"/>
                <w:sz w:val="24"/>
              </w:rPr>
              <w:t xml:space="preserve"> estimate of the size of these bene</w:t>
            </w:r>
            <w:r>
              <w:rPr>
                <w:rFonts w:ascii="Times New Roman" w:hAnsi="Times New Roman"/>
                <w:sz w:val="24"/>
              </w:rPr>
              <w:t>fits is set out in the Table 4.3.3.1-1 below:</w:t>
            </w:r>
            <w:r w:rsidRPr="00997BF5">
              <w:rPr>
                <w:rFonts w:ascii="Times New Roman" w:hAnsi="Times New Roman"/>
                <w:sz w:val="24"/>
              </w:rPr>
              <w:t xml:space="preserve"> </w:t>
            </w:r>
          </w:p>
          <w:tbl>
            <w:tblPr>
              <w:tblW w:w="4676" w:type="dxa"/>
              <w:jc w:val="center"/>
              <w:tblInd w:w="93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57" w:type="dxa"/>
                <w:left w:w="170" w:type="dxa"/>
                <w:bottom w:w="57" w:type="dxa"/>
                <w:right w:w="170" w:type="dxa"/>
              </w:tblCellMar>
              <w:tblLook w:val="01E0"/>
            </w:tblPr>
            <w:tblGrid>
              <w:gridCol w:w="3261"/>
              <w:gridCol w:w="1415"/>
            </w:tblGrid>
            <w:tr w:rsidR="00DD741F" w:rsidRPr="0015327D" w:rsidTr="00EB2850">
              <w:trPr>
                <w:cantSplit/>
                <w:jc w:val="center"/>
              </w:trPr>
              <w:tc>
                <w:tcPr>
                  <w:tcW w:w="3487"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spacing w:after="60"/>
                    <w:rPr>
                      <w:b/>
                      <w:color w:val="000000"/>
                      <w:lang w:val="en-GB"/>
                    </w:rPr>
                  </w:pPr>
                  <w:r w:rsidRPr="0015327D">
                    <w:rPr>
                      <w:b/>
                      <w:color w:val="000000"/>
                      <w:szCs w:val="22"/>
                      <w:lang w:val="en-GB"/>
                    </w:rPr>
                    <w:t>Quantified benefit</w:t>
                  </w:r>
                </w:p>
              </w:tc>
              <w:tc>
                <w:tcPr>
                  <w:tcW w:w="151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spacing w:after="60"/>
                    <w:jc w:val="center"/>
                    <w:rPr>
                      <w:b/>
                      <w:color w:val="000000"/>
                      <w:lang w:val="en-GB"/>
                    </w:rPr>
                  </w:pPr>
                  <w:r w:rsidRPr="0015327D">
                    <w:rPr>
                      <w:b/>
                      <w:color w:val="000000"/>
                      <w:szCs w:val="22"/>
                      <w:lang w:val="en-GB"/>
                    </w:rPr>
                    <w:t>(€bn)</w:t>
                  </w:r>
                </w:p>
              </w:tc>
            </w:tr>
            <w:tr w:rsidR="00DD741F" w:rsidRPr="0015327D" w:rsidTr="00EB2850">
              <w:trPr>
                <w:cantSplit/>
                <w:jc w:val="center"/>
              </w:trPr>
              <w:tc>
                <w:tcPr>
                  <w:tcW w:w="3487"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spacing w:after="60"/>
                    <w:rPr>
                      <w:lang w:val="en-GB"/>
                    </w:rPr>
                  </w:pPr>
                  <w:r w:rsidRPr="0015327D">
                    <w:rPr>
                      <w:szCs w:val="22"/>
                      <w:lang w:val="en-GB"/>
                    </w:rPr>
                    <w:t xml:space="preserve">Avoided costs </w:t>
                  </w:r>
                </w:p>
              </w:tc>
              <w:tc>
                <w:tcPr>
                  <w:tcW w:w="151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spacing w:after="60"/>
                    <w:jc w:val="center"/>
                    <w:rPr>
                      <w:lang w:val="en-GB"/>
                    </w:rPr>
                  </w:pPr>
                  <w:r w:rsidRPr="0015327D">
                    <w:rPr>
                      <w:szCs w:val="22"/>
                      <w:lang w:val="en-GB"/>
                    </w:rPr>
                    <w:t>26</w:t>
                  </w:r>
                </w:p>
              </w:tc>
            </w:tr>
            <w:tr w:rsidR="00DD741F" w:rsidRPr="0015327D" w:rsidTr="00EB2850">
              <w:trPr>
                <w:cantSplit/>
                <w:jc w:val="center"/>
              </w:trPr>
              <w:tc>
                <w:tcPr>
                  <w:tcW w:w="3487"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spacing w:after="60"/>
                    <w:rPr>
                      <w:lang w:val="en-GB"/>
                    </w:rPr>
                  </w:pPr>
                  <w:r w:rsidRPr="0015327D">
                    <w:rPr>
                      <w:szCs w:val="22"/>
                      <w:lang w:val="en-GB"/>
                    </w:rPr>
                    <w:t xml:space="preserve">Consumer Surplus </w:t>
                  </w:r>
                </w:p>
              </w:tc>
              <w:tc>
                <w:tcPr>
                  <w:tcW w:w="151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spacing w:after="60"/>
                    <w:jc w:val="center"/>
                    <w:rPr>
                      <w:lang w:val="en-GB"/>
                    </w:rPr>
                  </w:pPr>
                  <w:r w:rsidRPr="0015327D">
                    <w:rPr>
                      <w:szCs w:val="22"/>
                      <w:lang w:val="en-GB"/>
                    </w:rPr>
                    <w:t>28</w:t>
                  </w:r>
                </w:p>
              </w:tc>
            </w:tr>
            <w:tr w:rsidR="00DD741F" w:rsidRPr="0015327D" w:rsidTr="00EB2850">
              <w:trPr>
                <w:cantSplit/>
                <w:jc w:val="center"/>
              </w:trPr>
              <w:tc>
                <w:tcPr>
                  <w:tcW w:w="3487"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rPr>
                      <w:b/>
                      <w:lang w:val="en-GB"/>
                    </w:rPr>
                  </w:pPr>
                  <w:r w:rsidRPr="0015327D">
                    <w:rPr>
                      <w:b/>
                      <w:szCs w:val="22"/>
                      <w:lang w:val="en-GB"/>
                    </w:rPr>
                    <w:t>Total</w:t>
                  </w:r>
                </w:p>
              </w:tc>
              <w:tc>
                <w:tcPr>
                  <w:tcW w:w="151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jc w:val="center"/>
                    <w:rPr>
                      <w:b/>
                      <w:lang w:val="en-GB"/>
                    </w:rPr>
                  </w:pPr>
                  <w:r w:rsidRPr="0015327D">
                    <w:rPr>
                      <w:b/>
                      <w:szCs w:val="22"/>
                      <w:lang w:val="en-GB"/>
                    </w:rPr>
                    <w:t>54</w:t>
                  </w:r>
                </w:p>
              </w:tc>
            </w:tr>
            <w:tr w:rsidR="00DD741F" w:rsidRPr="0015327D" w:rsidTr="00EB2850">
              <w:trPr>
                <w:cantSplit/>
                <w:jc w:val="center"/>
              </w:trPr>
              <w:tc>
                <w:tcPr>
                  <w:tcW w:w="3487"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spacing w:after="60"/>
                    <w:rPr>
                      <w:lang w:val="en-GB"/>
                    </w:rPr>
                  </w:pPr>
                  <w:r w:rsidRPr="0015327D">
                    <w:rPr>
                      <w:szCs w:val="22"/>
                      <w:lang w:val="en-GB"/>
                    </w:rPr>
                    <w:t>Value as €/MHz/pop</w:t>
                  </w:r>
                </w:p>
              </w:tc>
              <w:tc>
                <w:tcPr>
                  <w:tcW w:w="151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EB2850">
                  <w:pPr>
                    <w:spacing w:after="60"/>
                    <w:jc w:val="center"/>
                    <w:rPr>
                      <w:lang w:val="en-GB"/>
                    </w:rPr>
                  </w:pPr>
                  <w:r w:rsidRPr="0015327D">
                    <w:rPr>
                      <w:szCs w:val="22"/>
                      <w:lang w:val="en-GB"/>
                    </w:rPr>
                    <w:t>2.71</w:t>
                  </w:r>
                </w:p>
              </w:tc>
            </w:tr>
          </w:tbl>
          <w:p w:rsidR="00DD741F" w:rsidRPr="007A4C06" w:rsidRDefault="00DD741F" w:rsidP="00E86E6C">
            <w:pPr>
              <w:pStyle w:val="BodyText"/>
              <w:jc w:val="center"/>
              <w:rPr>
                <w:i/>
                <w:sz w:val="16"/>
              </w:rPr>
            </w:pPr>
            <w:r>
              <w:rPr>
                <w:i/>
                <w:sz w:val="16"/>
              </w:rPr>
              <w:t xml:space="preserve">Source: </w:t>
            </w:r>
            <w:smartTag w:uri="urn:schemas-microsoft-com:office:smarttags" w:element="place">
              <w:r>
                <w:rPr>
                  <w:i/>
                  <w:sz w:val="16"/>
                </w:rPr>
                <w:t>Plum</w:t>
              </w:r>
            </w:smartTag>
            <w:r>
              <w:rPr>
                <w:i/>
                <w:sz w:val="16"/>
              </w:rPr>
              <w:t xml:space="preserve"> analysis</w:t>
            </w:r>
            <w:r>
              <w:rPr>
                <w:rStyle w:val="FootnoteReference"/>
                <w:i/>
                <w:sz w:val="16"/>
              </w:rPr>
              <w:footnoteReference w:id="2"/>
            </w:r>
            <w:r>
              <w:rPr>
                <w:i/>
                <w:sz w:val="16"/>
              </w:rPr>
              <w:t xml:space="preserve"> </w:t>
            </w:r>
          </w:p>
          <w:p w:rsidR="00DD741F" w:rsidRPr="004D7287" w:rsidRDefault="00DD741F" w:rsidP="00E86E6C">
            <w:pPr>
              <w:pStyle w:val="TableCaption"/>
              <w:ind w:left="1432"/>
              <w:jc w:val="center"/>
              <w:rPr>
                <w:rFonts w:ascii="Times New Roman" w:hAnsi="Times New Roman"/>
                <w:color w:val="auto"/>
                <w:sz w:val="24"/>
              </w:rPr>
            </w:pPr>
            <w:bookmarkStart w:id="1" w:name="_Ref293317232"/>
            <w:r w:rsidRPr="004D7287">
              <w:rPr>
                <w:rFonts w:ascii="Times New Roman" w:hAnsi="Times New Roman"/>
                <w:color w:val="auto"/>
                <w:sz w:val="24"/>
              </w:rPr>
              <w:t xml:space="preserve">Table </w:t>
            </w:r>
            <w:bookmarkEnd w:id="1"/>
            <w:r w:rsidRPr="004D7287">
              <w:rPr>
                <w:rFonts w:ascii="Times New Roman" w:hAnsi="Times New Roman"/>
                <w:color w:val="auto"/>
                <w:sz w:val="24"/>
              </w:rPr>
              <w:t>4.3.3</w:t>
            </w:r>
            <w:r>
              <w:rPr>
                <w:rFonts w:ascii="Times New Roman" w:hAnsi="Times New Roman"/>
                <w:color w:val="auto"/>
                <w:sz w:val="24"/>
              </w:rPr>
              <w:t>.1</w:t>
            </w:r>
            <w:r w:rsidRPr="004D7287">
              <w:rPr>
                <w:rFonts w:ascii="Times New Roman" w:hAnsi="Times New Roman"/>
                <w:color w:val="auto"/>
                <w:sz w:val="24"/>
              </w:rPr>
              <w:t>-</w:t>
            </w:r>
            <w:r>
              <w:rPr>
                <w:rFonts w:ascii="Times New Roman" w:hAnsi="Times New Roman"/>
                <w:color w:val="auto"/>
                <w:sz w:val="24"/>
              </w:rPr>
              <w:t>1</w:t>
            </w:r>
            <w:r w:rsidRPr="004D7287">
              <w:rPr>
                <w:rFonts w:ascii="Times New Roman" w:hAnsi="Times New Roman"/>
                <w:color w:val="auto"/>
                <w:sz w:val="24"/>
              </w:rPr>
              <w:t>:      Summary of net present value of quantified benefits of MMDL at 1.4 GHz</w:t>
            </w:r>
          </w:p>
          <w:p w:rsidR="00DD741F" w:rsidRDefault="00DD741F" w:rsidP="00E86E6C">
            <w:pPr>
              <w:pStyle w:val="AfterTable"/>
              <w:spacing w:before="120"/>
              <w:jc w:val="both"/>
              <w:rPr>
                <w:rFonts w:ascii="Times New Roman" w:hAnsi="Times New Roman"/>
                <w:sz w:val="24"/>
                <w:u w:val="single"/>
              </w:rPr>
            </w:pPr>
          </w:p>
          <w:p w:rsidR="00DD741F" w:rsidRDefault="00DD741F" w:rsidP="00DC57FF">
            <w:pPr>
              <w:pStyle w:val="AfterTable"/>
              <w:spacing w:before="120" w:line="276" w:lineRule="auto"/>
              <w:ind w:left="1432"/>
              <w:jc w:val="both"/>
              <w:rPr>
                <w:rFonts w:ascii="Times New Roman" w:hAnsi="Times New Roman"/>
                <w:sz w:val="24"/>
              </w:rPr>
            </w:pPr>
            <w:r w:rsidRPr="00FE3AE2">
              <w:rPr>
                <w:rFonts w:ascii="Times New Roman" w:hAnsi="Times New Roman"/>
                <w:sz w:val="24"/>
                <w:u w:val="single"/>
              </w:rPr>
              <w:t>The net present value</w:t>
            </w:r>
            <w:r w:rsidRPr="00FE3AE2">
              <w:rPr>
                <w:rStyle w:val="FootnoteReference"/>
                <w:rFonts w:ascii="Times New Roman" w:hAnsi="Times New Roman"/>
                <w:sz w:val="24"/>
                <w:u w:val="single"/>
              </w:rPr>
              <w:footnoteReference w:id="3"/>
            </w:r>
            <w:r w:rsidRPr="00FE3AE2">
              <w:rPr>
                <w:rFonts w:ascii="Times New Roman" w:hAnsi="Times New Roman"/>
                <w:sz w:val="24"/>
                <w:u w:val="single"/>
              </w:rPr>
              <w:t xml:space="preserve"> of quantified benefits for </w:t>
            </w:r>
            <w:smartTag w:uri="urn:schemas-microsoft-com:office:smarttags" w:element="place">
              <w:r w:rsidRPr="00FE3AE2">
                <w:rPr>
                  <w:rFonts w:ascii="Times New Roman" w:hAnsi="Times New Roman"/>
                  <w:sz w:val="24"/>
                  <w:u w:val="single"/>
                </w:rPr>
                <w:t>Europe</w:t>
              </w:r>
            </w:smartTag>
            <w:r w:rsidRPr="00FE3AE2">
              <w:rPr>
                <w:rFonts w:ascii="Times New Roman" w:hAnsi="Times New Roman"/>
                <w:sz w:val="24"/>
                <w:u w:val="single"/>
              </w:rPr>
              <w:t>, from the use of 1.4 GHz for MMDL accounts for €54 billion.</w:t>
            </w:r>
            <w:r>
              <w:rPr>
                <w:rFonts w:ascii="Times New Roman" w:hAnsi="Times New Roman"/>
                <w:sz w:val="24"/>
              </w:rPr>
              <w:t xml:space="preserve"> </w:t>
            </w:r>
          </w:p>
          <w:p w:rsidR="00DD741F" w:rsidRDefault="00DD741F" w:rsidP="00DC57FF">
            <w:pPr>
              <w:pStyle w:val="AfterTable"/>
              <w:spacing w:before="120"/>
              <w:ind w:left="1432"/>
              <w:jc w:val="both"/>
              <w:rPr>
                <w:rFonts w:ascii="Times New Roman" w:hAnsi="Times New Roman"/>
                <w:sz w:val="24"/>
              </w:rPr>
            </w:pPr>
          </w:p>
          <w:p w:rsidR="00DD741F" w:rsidRDefault="00DD741F" w:rsidP="00DC57FF">
            <w:pPr>
              <w:pStyle w:val="AfterTable"/>
              <w:spacing w:before="120"/>
              <w:ind w:left="1432"/>
              <w:jc w:val="both"/>
              <w:rPr>
                <w:rFonts w:ascii="Times New Roman" w:hAnsi="Times New Roman"/>
                <w:sz w:val="24"/>
              </w:rPr>
            </w:pPr>
            <w:r w:rsidRPr="00301217">
              <w:rPr>
                <w:rFonts w:ascii="Times New Roman" w:hAnsi="Times New Roman"/>
                <w:sz w:val="24"/>
              </w:rPr>
              <w:t xml:space="preserve">The quantified benefits may be on the conservative side given that </w:t>
            </w:r>
            <w:r w:rsidRPr="000F34A8">
              <w:rPr>
                <w:rFonts w:ascii="Times New Roman" w:hAnsi="Times New Roman"/>
                <w:b/>
                <w:sz w:val="24"/>
              </w:rPr>
              <w:t>only the impacts of a low projection of demand for mobile data have been modelled</w:t>
            </w:r>
            <w:r>
              <w:rPr>
                <w:rFonts w:ascii="Times New Roman" w:hAnsi="Times New Roman"/>
                <w:sz w:val="24"/>
              </w:rPr>
              <w:t xml:space="preserve"> (Figure 4.3.3.1-1). </w:t>
            </w:r>
            <w:r w:rsidRPr="00301217">
              <w:rPr>
                <w:rFonts w:ascii="Times New Roman" w:hAnsi="Times New Roman"/>
                <w:sz w:val="24"/>
              </w:rPr>
              <w:t>Modelling the impacts of a high demand projection</w:t>
            </w:r>
            <w:r>
              <w:rPr>
                <w:rFonts w:ascii="Times New Roman" w:hAnsi="Times New Roman"/>
                <w:sz w:val="24"/>
              </w:rPr>
              <w:t xml:space="preserve"> or other intermediate projections</w:t>
            </w:r>
            <w:r w:rsidRPr="00301217">
              <w:rPr>
                <w:rFonts w:ascii="Times New Roman" w:hAnsi="Times New Roman"/>
                <w:sz w:val="24"/>
              </w:rPr>
              <w:t xml:space="preserve"> would produce </w:t>
            </w:r>
            <w:r>
              <w:rPr>
                <w:rFonts w:ascii="Times New Roman" w:hAnsi="Times New Roman"/>
                <w:sz w:val="24"/>
              </w:rPr>
              <w:t xml:space="preserve">considerably </w:t>
            </w:r>
            <w:r w:rsidRPr="00301217">
              <w:rPr>
                <w:rFonts w:ascii="Times New Roman" w:hAnsi="Times New Roman"/>
                <w:sz w:val="24"/>
              </w:rPr>
              <w:t>higher values for the benefits.</w:t>
            </w:r>
          </w:p>
          <w:p w:rsidR="00DD741F" w:rsidRDefault="00DD741F" w:rsidP="00DC57FF">
            <w:pPr>
              <w:pStyle w:val="BodyText"/>
              <w:jc w:val="both"/>
            </w:pPr>
          </w:p>
          <w:p w:rsidR="00DD741F" w:rsidRPr="002327A5" w:rsidRDefault="00DD741F" w:rsidP="00DC57FF">
            <w:pPr>
              <w:pStyle w:val="BodyText"/>
              <w:jc w:val="both"/>
            </w:pPr>
          </w:p>
          <w:p w:rsidR="00DD741F" w:rsidRDefault="00DD741F" w:rsidP="00E86E6C">
            <w:pPr>
              <w:pStyle w:val="AfterTable"/>
              <w:spacing w:before="120"/>
              <w:ind w:left="1432"/>
              <w:jc w:val="center"/>
              <w:rPr>
                <w:rFonts w:ascii="Times New Roman" w:hAnsi="Times New Roman"/>
                <w:sz w:val="24"/>
              </w:rPr>
            </w:pPr>
            <w:r w:rsidRPr="004F2CCE">
              <w:rPr>
                <w:noProof/>
                <w:lang w:val="fr-FR" w:eastAsia="fr-FR"/>
              </w:rPr>
              <w:pict>
                <v:shape id="Picture 26" o:spid="_x0000_i1026" type="#_x0000_t75" style="width:351.75pt;height:210.75pt;visibility:visible">
                  <v:imagedata r:id="rId8" o:title=""/>
                </v:shape>
              </w:pict>
            </w:r>
          </w:p>
          <w:p w:rsidR="00DD741F" w:rsidRPr="004D7287" w:rsidRDefault="00DD741F" w:rsidP="00E86E6C">
            <w:pPr>
              <w:pStyle w:val="AfterTable"/>
              <w:spacing w:before="120"/>
              <w:jc w:val="center"/>
              <w:rPr>
                <w:rFonts w:ascii="Times New Roman" w:hAnsi="Times New Roman"/>
                <w:b/>
                <w:sz w:val="24"/>
              </w:rPr>
            </w:pPr>
            <w:r>
              <w:rPr>
                <w:rFonts w:ascii="Times New Roman" w:hAnsi="Times New Roman"/>
                <w:sz w:val="24"/>
              </w:rPr>
              <w:t xml:space="preserve">                              </w:t>
            </w:r>
            <w:r w:rsidRPr="004D7287">
              <w:rPr>
                <w:rFonts w:ascii="Times New Roman" w:hAnsi="Times New Roman"/>
                <w:b/>
                <w:sz w:val="24"/>
              </w:rPr>
              <w:t>Figure 4.3.3</w:t>
            </w:r>
            <w:r>
              <w:rPr>
                <w:rFonts w:ascii="Times New Roman" w:hAnsi="Times New Roman"/>
                <w:b/>
                <w:sz w:val="24"/>
              </w:rPr>
              <w:t>.1</w:t>
            </w:r>
            <w:r w:rsidRPr="004D7287">
              <w:rPr>
                <w:rFonts w:ascii="Times New Roman" w:hAnsi="Times New Roman"/>
                <w:b/>
                <w:sz w:val="24"/>
              </w:rPr>
              <w:t>-1</w:t>
            </w:r>
          </w:p>
          <w:p w:rsidR="00DD741F" w:rsidRDefault="00DD741F" w:rsidP="00E86E6C">
            <w:pPr>
              <w:pStyle w:val="AfterTable"/>
              <w:spacing w:before="120" w:line="276" w:lineRule="auto"/>
              <w:ind w:left="1432"/>
              <w:jc w:val="both"/>
              <w:rPr>
                <w:rFonts w:ascii="Times New Roman" w:hAnsi="Times New Roman"/>
                <w:sz w:val="24"/>
              </w:rPr>
            </w:pPr>
          </w:p>
          <w:p w:rsidR="00DD741F" w:rsidRDefault="00DD741F" w:rsidP="003F6655">
            <w:pPr>
              <w:pStyle w:val="AfterTable"/>
              <w:spacing w:before="120" w:line="276" w:lineRule="auto"/>
              <w:ind w:left="1432"/>
              <w:jc w:val="both"/>
              <w:rPr>
                <w:rFonts w:ascii="Times New Roman" w:hAnsi="Times New Roman"/>
                <w:sz w:val="24"/>
              </w:rPr>
            </w:pPr>
            <w:r w:rsidRPr="00484702">
              <w:rPr>
                <w:rFonts w:ascii="Times New Roman" w:hAnsi="Times New Roman"/>
                <w:sz w:val="24"/>
              </w:rPr>
              <w:t xml:space="preserve">It should be also noted, that the wide range of predictions about future demand for mobile broadband and the nature of mobile multimedia services provided over 1.4 GHz can result in a significant range of quantified benefits. This estimate provided in the modelling lies within the range of estimates from previous studies about the quantified. The values ranged from €0.51 to €7.01 per MHz per pop, with a number of studies clustering at the upper end of this range. These numbers would equate to a benefit of between €10 billion and €140 billion for the 1.4 GHz band for Europe. The estimate is also likely to be conservative given that the rapid growth in mobile broadband since many of these studies were undertaken will have increased the benefits of spectrum for mobile broadband.  </w:t>
            </w:r>
          </w:p>
          <w:p w:rsidR="00DD741F" w:rsidRPr="003F6655" w:rsidRDefault="00DD741F" w:rsidP="003F6655">
            <w:pPr>
              <w:pStyle w:val="AfterTable"/>
              <w:spacing w:before="120" w:line="276" w:lineRule="auto"/>
              <w:ind w:left="1432"/>
              <w:jc w:val="both"/>
              <w:rPr>
                <w:rFonts w:ascii="Times New Roman" w:hAnsi="Times New Roman"/>
                <w:sz w:val="24"/>
              </w:rPr>
            </w:pPr>
            <w:r w:rsidRPr="00484702">
              <w:rPr>
                <w:rFonts w:ascii="Times New Roman" w:hAnsi="Times New Roman"/>
                <w:sz w:val="24"/>
              </w:rPr>
              <w:t>Moreover, alternative spectrum assignments of supplemental downlink at 1.4 GHz would even increase the net present value by approximately €13 billion</w:t>
            </w:r>
            <w:r w:rsidRPr="00484702">
              <w:rPr>
                <w:rFonts w:ascii="Times New Roman" w:hAnsi="Times New Roman"/>
                <w:b/>
                <w:i/>
                <w:sz w:val="24"/>
              </w:rPr>
              <w:t xml:space="preserve"> </w:t>
            </w:r>
            <w:r w:rsidRPr="00484702">
              <w:rPr>
                <w:rFonts w:ascii="Times New Roman" w:hAnsi="Times New Roman"/>
                <w:sz w:val="24"/>
              </w:rPr>
              <w:t>to give a total value of €67 bn. Indeed, the net present value of  €54 b</w:t>
            </w:r>
            <w:r>
              <w:rPr>
                <w:rFonts w:ascii="Times New Roman" w:hAnsi="Times New Roman"/>
                <w:sz w:val="24"/>
              </w:rPr>
              <w:t>illio</w:t>
            </w:r>
            <w:r w:rsidRPr="00484702">
              <w:rPr>
                <w:rFonts w:ascii="Times New Roman" w:hAnsi="Times New Roman"/>
                <w:sz w:val="24"/>
              </w:rPr>
              <w:t>n is based on the modelling of four mobile operators where in a typical country gets 10 MHz of downlink 1.4 GHz spectrum and uses it, as a supplement to their assigned paired spectrum, to increase capacity and enhance user experience with faster data rates. This value will increase in alternative assignment scenarios with the 40 MHz is split equally between two operators or in the case where the 40 MHz is assigned to a single operator or third party which would then wholesale capacity to all operators as required. For example, an operator acquires all 40 MHz of 1.4 GHz spectrum and offers it on a wholesale basis in combination with 2x10 MHz of sub-1 GHz spectrum.  Alternatively, an equipment vendor who is running a network for a mobile operator, purchases the 1.4 GHz spectrum in its entirety, upgrades the network and acts as a wholesaler. In addition to selling capacity to operators and MVNOs, the wholesaler might offer a range of services which includes:</w:t>
            </w:r>
          </w:p>
          <w:p w:rsidR="00DD741F" w:rsidRPr="00484702" w:rsidRDefault="00DD741F" w:rsidP="003F6655">
            <w:pPr>
              <w:pStyle w:val="BulletList2"/>
              <w:numPr>
                <w:ilvl w:val="0"/>
                <w:numId w:val="33"/>
              </w:numPr>
              <w:tabs>
                <w:tab w:val="clear" w:pos="1209"/>
              </w:tabs>
              <w:spacing w:line="276" w:lineRule="auto"/>
              <w:jc w:val="both"/>
              <w:rPr>
                <w:rFonts w:ascii="Times New Roman" w:hAnsi="Times New Roman"/>
                <w:sz w:val="24"/>
              </w:rPr>
            </w:pPr>
            <w:r w:rsidRPr="00484702">
              <w:rPr>
                <w:rFonts w:ascii="Times New Roman" w:hAnsi="Times New Roman"/>
                <w:sz w:val="24"/>
              </w:rPr>
              <w:t xml:space="preserve">Sponsored connectivity for content providers. </w:t>
            </w:r>
          </w:p>
          <w:p w:rsidR="00DD741F" w:rsidRPr="00484702" w:rsidRDefault="00DD741F" w:rsidP="003F6655">
            <w:pPr>
              <w:pStyle w:val="BulletList2"/>
              <w:numPr>
                <w:ilvl w:val="0"/>
                <w:numId w:val="33"/>
              </w:numPr>
              <w:tabs>
                <w:tab w:val="clear" w:pos="1209"/>
              </w:tabs>
              <w:spacing w:line="276" w:lineRule="auto"/>
              <w:jc w:val="both"/>
              <w:rPr>
                <w:rFonts w:ascii="Times New Roman" w:hAnsi="Times New Roman"/>
                <w:sz w:val="24"/>
              </w:rPr>
            </w:pPr>
            <w:r w:rsidRPr="00484702">
              <w:rPr>
                <w:rFonts w:ascii="Times New Roman" w:hAnsi="Times New Roman"/>
                <w:sz w:val="24"/>
              </w:rPr>
              <w:t>Connectivity bundled with devices for device suppliers.</w:t>
            </w:r>
          </w:p>
          <w:p w:rsidR="00DD741F" w:rsidRPr="00484702" w:rsidRDefault="00DD741F" w:rsidP="003F6655">
            <w:pPr>
              <w:pStyle w:val="BulletList2"/>
              <w:numPr>
                <w:ilvl w:val="0"/>
                <w:numId w:val="33"/>
              </w:numPr>
              <w:tabs>
                <w:tab w:val="clear" w:pos="1209"/>
              </w:tabs>
              <w:spacing w:line="276" w:lineRule="auto"/>
              <w:jc w:val="both"/>
              <w:rPr>
                <w:rFonts w:ascii="Times New Roman" w:hAnsi="Times New Roman"/>
                <w:sz w:val="24"/>
              </w:rPr>
            </w:pPr>
            <w:r w:rsidRPr="00484702">
              <w:rPr>
                <w:rFonts w:ascii="Times New Roman" w:hAnsi="Times New Roman"/>
                <w:sz w:val="24"/>
              </w:rPr>
              <w:t>Managed mobile data for retail service pr</w:t>
            </w:r>
            <w:r>
              <w:rPr>
                <w:rFonts w:ascii="Times New Roman" w:hAnsi="Times New Roman"/>
                <w:sz w:val="24"/>
              </w:rPr>
              <w:t xml:space="preserve">oviders to offer to corporate  </w:t>
            </w:r>
            <w:r w:rsidRPr="00484702">
              <w:rPr>
                <w:rFonts w:ascii="Times New Roman" w:hAnsi="Times New Roman"/>
                <w:sz w:val="24"/>
              </w:rPr>
              <w:t>clients.</w:t>
            </w:r>
          </w:p>
          <w:p w:rsidR="00DD741F" w:rsidRPr="00484702" w:rsidRDefault="00DD741F" w:rsidP="00E86E6C">
            <w:pPr>
              <w:pStyle w:val="AfterTable"/>
              <w:spacing w:line="276" w:lineRule="auto"/>
              <w:ind w:left="1432"/>
              <w:jc w:val="both"/>
              <w:rPr>
                <w:rFonts w:ascii="Times New Roman" w:hAnsi="Times New Roman"/>
                <w:sz w:val="24"/>
              </w:rPr>
            </w:pPr>
            <w:r w:rsidRPr="00484702">
              <w:rPr>
                <w:rFonts w:ascii="Times New Roman" w:hAnsi="Times New Roman"/>
                <w:sz w:val="24"/>
              </w:rPr>
              <w:t>Furthermore, in the analysis the following costs have also been considered. These are:</w:t>
            </w:r>
          </w:p>
          <w:p w:rsidR="00DD741F" w:rsidRPr="00484702" w:rsidRDefault="00DD741F" w:rsidP="003F6655">
            <w:pPr>
              <w:pStyle w:val="BulletList1"/>
              <w:numPr>
                <w:ilvl w:val="0"/>
                <w:numId w:val="32"/>
              </w:numPr>
              <w:spacing w:line="276" w:lineRule="auto"/>
              <w:jc w:val="both"/>
              <w:rPr>
                <w:rFonts w:ascii="Times New Roman" w:hAnsi="Times New Roman"/>
                <w:sz w:val="24"/>
              </w:rPr>
            </w:pPr>
            <w:r w:rsidRPr="00484702">
              <w:rPr>
                <w:rFonts w:ascii="Times New Roman" w:hAnsi="Times New Roman"/>
                <w:sz w:val="24"/>
              </w:rPr>
              <w:t>The cost of upgrading mobile networks.</w:t>
            </w:r>
          </w:p>
          <w:p w:rsidR="00DD741F" w:rsidRPr="00484702" w:rsidRDefault="00DD741F" w:rsidP="003F6655">
            <w:pPr>
              <w:pStyle w:val="BulletList1"/>
              <w:numPr>
                <w:ilvl w:val="0"/>
                <w:numId w:val="32"/>
              </w:numPr>
              <w:spacing w:line="276" w:lineRule="auto"/>
              <w:jc w:val="both"/>
              <w:rPr>
                <w:rFonts w:ascii="Times New Roman" w:hAnsi="Times New Roman"/>
                <w:sz w:val="24"/>
              </w:rPr>
            </w:pPr>
            <w:r w:rsidRPr="00484702">
              <w:rPr>
                <w:rFonts w:ascii="Times New Roman" w:hAnsi="Times New Roman"/>
                <w:sz w:val="24"/>
              </w:rPr>
              <w:t xml:space="preserve">The cost of developing the least restrictive technical conditions. The costs of developing and agreeing a harmonised band plan comprise the administrative costs associated with such an exercise. These are expected to be modest in the context of the potential benefits discussed below and so have not been considered further.   </w:t>
            </w:r>
          </w:p>
          <w:p w:rsidR="00DD741F" w:rsidRPr="003F6655" w:rsidRDefault="00DD741F" w:rsidP="003F6655">
            <w:pPr>
              <w:pStyle w:val="BulletList1"/>
              <w:numPr>
                <w:ilvl w:val="0"/>
                <w:numId w:val="32"/>
              </w:numPr>
              <w:spacing w:line="276" w:lineRule="auto"/>
              <w:jc w:val="both"/>
              <w:rPr>
                <w:rFonts w:ascii="Times New Roman" w:hAnsi="Times New Roman"/>
                <w:sz w:val="24"/>
              </w:rPr>
            </w:pPr>
            <w:r w:rsidRPr="00484702">
              <w:rPr>
                <w:rFonts w:ascii="Times New Roman" w:hAnsi="Times New Roman"/>
                <w:sz w:val="24"/>
              </w:rPr>
              <w:t>The incremental costs for devices. The incremental costs of modifying devices to receive a 1.4 GHz downlink</w:t>
            </w:r>
            <w:r w:rsidRPr="00484702">
              <w:rPr>
                <w:rStyle w:val="FootnoteReference"/>
                <w:rFonts w:ascii="Times New Roman" w:hAnsi="Times New Roman"/>
                <w:sz w:val="24"/>
              </w:rPr>
              <w:footnoteReference w:id="4"/>
            </w:r>
            <w:r w:rsidRPr="00484702">
              <w:rPr>
                <w:rFonts w:ascii="Times New Roman" w:hAnsi="Times New Roman"/>
                <w:sz w:val="24"/>
              </w:rPr>
              <w:t xml:space="preserve"> </w:t>
            </w:r>
            <w:r w:rsidRPr="00484702">
              <w:rPr>
                <w:rStyle w:val="FootnoteReference"/>
                <w:rFonts w:ascii="Times New Roman" w:hAnsi="Times New Roman"/>
                <w:sz w:val="24"/>
              </w:rPr>
              <w:footnoteReference w:id="5"/>
            </w:r>
            <w:r w:rsidRPr="00484702">
              <w:rPr>
                <w:rFonts w:ascii="Times New Roman" w:hAnsi="Times New Roman"/>
                <w:sz w:val="24"/>
              </w:rPr>
              <w:t xml:space="preserve">).  </w:t>
            </w:r>
          </w:p>
          <w:p w:rsidR="00DD741F" w:rsidRPr="00484702" w:rsidRDefault="00DD741F" w:rsidP="00E86E6C">
            <w:pPr>
              <w:pStyle w:val="BodyText"/>
              <w:spacing w:line="276" w:lineRule="auto"/>
              <w:ind w:left="1342"/>
              <w:jc w:val="both"/>
              <w:rPr>
                <w:rFonts w:ascii="Times New Roman" w:hAnsi="Times New Roman"/>
              </w:rPr>
            </w:pPr>
            <w:r w:rsidRPr="00484702">
              <w:rPr>
                <w:rFonts w:ascii="Times New Roman" w:hAnsi="Times New Roman"/>
              </w:rPr>
              <w:t xml:space="preserve">There is no cost in terms of forgone services, as national governments will still retain the flexibility to deploy terrestrial digital radio services in the band if they wish to do so. </w:t>
            </w:r>
          </w:p>
          <w:p w:rsidR="00DD741F" w:rsidRPr="006972F1" w:rsidRDefault="00DD741F" w:rsidP="00E86E6C">
            <w:pPr>
              <w:pStyle w:val="BodyText"/>
              <w:spacing w:line="276" w:lineRule="auto"/>
              <w:ind w:left="1342"/>
              <w:jc w:val="both"/>
              <w:rPr>
                <w:rFonts w:ascii="Times New Roman" w:hAnsi="Times New Roman"/>
              </w:rPr>
            </w:pPr>
            <w:r w:rsidRPr="00484702">
              <w:rPr>
                <w:rFonts w:ascii="Times New Roman" w:hAnsi="Times New Roman"/>
              </w:rPr>
              <w:t>In</w:t>
            </w:r>
            <w:r>
              <w:rPr>
                <w:rFonts w:ascii="Times New Roman" w:hAnsi="Times New Roman"/>
              </w:rPr>
              <w:t xml:space="preserve"> </w:t>
            </w:r>
            <w:r w:rsidRPr="00484702">
              <w:rPr>
                <w:rFonts w:ascii="Times New Roman" w:hAnsi="Times New Roman"/>
              </w:rPr>
              <w:t xml:space="preserve">conclusion, the net present value of quantified benefits (avoided costs and consumer surplus from enhanced user experience) for Europe from the use of 1.4 GHz for MMDL is significant and accounts </w:t>
            </w:r>
            <w:r w:rsidRPr="006972F1">
              <w:rPr>
                <w:rFonts w:ascii="Times New Roman" w:hAnsi="Times New Roman"/>
              </w:rPr>
              <w:t xml:space="preserve">for €54 billion under conservative assumptions and could reach and exceed  €67 billion under certain assumptions. </w:t>
            </w:r>
          </w:p>
          <w:p w:rsidR="00DD741F" w:rsidRPr="006972F1" w:rsidRDefault="00DD741F" w:rsidP="003477D0">
            <w:pPr>
              <w:pStyle w:val="Heading2"/>
              <w:numPr>
                <w:ilvl w:val="3"/>
                <w:numId w:val="27"/>
              </w:numPr>
              <w:rPr>
                <w:rFonts w:ascii="Times New Roman" w:hAnsi="Times New Roman"/>
                <w:sz w:val="24"/>
                <w:szCs w:val="20"/>
                <w:lang w:val="en-GB"/>
              </w:rPr>
            </w:pPr>
            <w:r w:rsidRPr="006972F1">
              <w:rPr>
                <w:rFonts w:ascii="Times New Roman" w:hAnsi="Times New Roman"/>
                <w:sz w:val="24"/>
                <w:szCs w:val="20"/>
                <w:lang w:val="en-GB"/>
              </w:rPr>
              <w:t>The benefits of higher data speeds and better user experience in rural areas</w:t>
            </w:r>
          </w:p>
          <w:p w:rsidR="00DD741F" w:rsidRPr="006972F1" w:rsidRDefault="00DD741F" w:rsidP="003477D0">
            <w:pPr>
              <w:rPr>
                <w:lang w:val="en-GB"/>
              </w:rPr>
            </w:pPr>
          </w:p>
          <w:p w:rsidR="00DD741F" w:rsidRPr="00484702" w:rsidRDefault="00DD741F" w:rsidP="003477D0">
            <w:pPr>
              <w:pStyle w:val="BulletList1"/>
              <w:numPr>
                <w:ilvl w:val="0"/>
                <w:numId w:val="0"/>
              </w:numPr>
              <w:spacing w:line="276" w:lineRule="auto"/>
              <w:ind w:left="1432"/>
              <w:jc w:val="both"/>
              <w:rPr>
                <w:rFonts w:ascii="Times New Roman" w:hAnsi="Times New Roman"/>
                <w:sz w:val="24"/>
              </w:rPr>
            </w:pPr>
            <w:r w:rsidRPr="006972F1">
              <w:rPr>
                <w:rFonts w:ascii="Times New Roman" w:hAnsi="Times New Roman"/>
                <w:sz w:val="24"/>
              </w:rPr>
              <w:t>The harmonisation and use of the 1.4 GHz band for MMDL can support delivery of the Digital Agenda target to provide 30 Mbps access to</w:t>
            </w:r>
            <w:r w:rsidRPr="00484702">
              <w:rPr>
                <w:rFonts w:ascii="Times New Roman" w:hAnsi="Times New Roman"/>
                <w:sz w:val="24"/>
              </w:rPr>
              <w:t xml:space="preserve"> 100% of the EU by 2020. This is an extremely challenging target and is unlikely to be delivered by the market. Wireless has a key role in providing high speed broadband to remote and rural customers. However, the target implies that significant wireless capacity and faster data rates will be required in rural areas. </w:t>
            </w:r>
          </w:p>
          <w:p w:rsidR="00DD741F" w:rsidRPr="00484702" w:rsidRDefault="00DD741F" w:rsidP="003477D0">
            <w:pPr>
              <w:pStyle w:val="BulletList1"/>
              <w:numPr>
                <w:ilvl w:val="0"/>
                <w:numId w:val="0"/>
              </w:numPr>
              <w:spacing w:line="276" w:lineRule="auto"/>
              <w:ind w:left="1432"/>
              <w:jc w:val="both"/>
              <w:rPr>
                <w:rFonts w:ascii="Times New Roman" w:hAnsi="Times New Roman"/>
                <w:sz w:val="24"/>
              </w:rPr>
            </w:pPr>
            <w:r w:rsidRPr="00484702">
              <w:rPr>
                <w:rFonts w:ascii="Times New Roman" w:hAnsi="Times New Roman"/>
                <w:sz w:val="24"/>
              </w:rPr>
              <w:t>The use of the 1.4GHz band for MMDL systems can play a key role in providing capacity to meet Digital Agenda targets and reduce the requirement for public subsidies. The upgrade of 3G/4G networks with a supplemental downlink at 1.4 GHz has the potential to significantly improve mobile data speeds in rural areas, where mobile services have an important role to play in delivering cost-effective next-generation broadband.</w:t>
            </w:r>
          </w:p>
          <w:p w:rsidR="00DD741F" w:rsidRPr="00484702" w:rsidRDefault="00DD741F" w:rsidP="003477D0">
            <w:pPr>
              <w:pStyle w:val="BulletList1"/>
              <w:numPr>
                <w:ilvl w:val="0"/>
                <w:numId w:val="0"/>
              </w:numPr>
              <w:spacing w:line="276" w:lineRule="auto"/>
              <w:ind w:left="1432"/>
              <w:jc w:val="both"/>
              <w:rPr>
                <w:rFonts w:ascii="Times New Roman" w:hAnsi="Times New Roman"/>
                <w:sz w:val="24"/>
              </w:rPr>
            </w:pPr>
            <w:r w:rsidRPr="00484702">
              <w:rPr>
                <w:rFonts w:ascii="Times New Roman" w:hAnsi="Times New Roman"/>
                <w:sz w:val="24"/>
              </w:rPr>
              <w:t>The broadband speed available over an 3G/4G network will depend on available capacity and demand on the network. The 800 MHz spectrum will provide 30 MHz of downlink capacity for use by LTE networks. An additional 40 MHz capacity at 1.4 GHz will more than double this downlink capacity, more than double downlink speeds for the same traffic loading in a cell, or more than double the number of users that could be supported.  The key point, from a European policy perspective, is that the additional downlink capacity will enable higher speed access to be delivered to remote and rural customers.</w:t>
            </w:r>
          </w:p>
          <w:p w:rsidR="00DD741F" w:rsidRPr="0015327D" w:rsidRDefault="00DD741F" w:rsidP="003477D0">
            <w:pPr>
              <w:rPr>
                <w:lang w:val="en-GB"/>
              </w:rPr>
            </w:pPr>
          </w:p>
          <w:p w:rsidR="00DD741F" w:rsidRPr="0015327D" w:rsidRDefault="00DD741F" w:rsidP="00D46AF4">
            <w:pPr>
              <w:pStyle w:val="Heading2"/>
              <w:numPr>
                <w:ilvl w:val="3"/>
                <w:numId w:val="27"/>
              </w:numPr>
              <w:rPr>
                <w:rFonts w:ascii="Times New Roman" w:hAnsi="Times New Roman"/>
                <w:sz w:val="24"/>
                <w:szCs w:val="20"/>
                <w:lang w:val="en-GB"/>
              </w:rPr>
            </w:pPr>
            <w:r w:rsidRPr="0015327D">
              <w:rPr>
                <w:rFonts w:ascii="Times New Roman" w:hAnsi="Times New Roman"/>
                <w:sz w:val="24"/>
                <w:szCs w:val="20"/>
                <w:lang w:val="en-GB"/>
              </w:rPr>
              <w:t>The benefits of increased competition in the mobile and content market</w:t>
            </w:r>
          </w:p>
          <w:p w:rsidR="00DD741F" w:rsidRPr="00D46AF4" w:rsidRDefault="00DD741F" w:rsidP="00D46AF4">
            <w:pPr>
              <w:pStyle w:val="AfterTable"/>
              <w:spacing w:line="276" w:lineRule="auto"/>
              <w:ind w:left="1432"/>
              <w:jc w:val="both"/>
              <w:rPr>
                <w:rFonts w:ascii="Times New Roman" w:hAnsi="Times New Roman"/>
                <w:sz w:val="24"/>
              </w:rPr>
            </w:pPr>
            <w:r w:rsidRPr="00484702">
              <w:rPr>
                <w:rFonts w:ascii="Times New Roman" w:hAnsi="Times New Roman"/>
                <w:sz w:val="24"/>
              </w:rPr>
              <w:t>Limited availability of spectrum below 1GHz for mobile broadband means that in many countries, operators will have little</w:t>
            </w:r>
            <w:r w:rsidRPr="00484702">
              <w:rPr>
                <w:rStyle w:val="FootnoteReference"/>
                <w:rFonts w:ascii="Times New Roman" w:hAnsi="Times New Roman"/>
                <w:sz w:val="24"/>
              </w:rPr>
              <w:footnoteReference w:id="6"/>
            </w:r>
            <w:r w:rsidRPr="00484702">
              <w:rPr>
                <w:rFonts w:ascii="Times New Roman" w:hAnsi="Times New Roman"/>
                <w:sz w:val="24"/>
              </w:rPr>
              <w:t xml:space="preserve"> or no low frequency spectrum to provide mobile broadband services. The availability of additional spectrum at 1.4 GHz for MMDL will enable players to compete more aggressively in the supply of high speed mobile broadband and multimedia content. Increased competition is likely to result in lower prices for consumers.  Current literature is supportive of such dynamics: Hazelett and Munoz (2008) tested the impact of availability of spectrum and market concentration on mobile service prices using econometric analysis in 29 countries between 1998 and 2003</w:t>
            </w:r>
            <w:r w:rsidRPr="00484702">
              <w:rPr>
                <w:rStyle w:val="FootnoteReference"/>
                <w:rFonts w:ascii="Times New Roman" w:hAnsi="Times New Roman"/>
                <w:sz w:val="24"/>
              </w:rPr>
              <w:footnoteReference w:id="7"/>
            </w:r>
            <w:r w:rsidRPr="00484702">
              <w:rPr>
                <w:rFonts w:ascii="Times New Roman" w:hAnsi="Times New Roman"/>
                <w:sz w:val="24"/>
              </w:rPr>
              <w:t>. They found that increased market concentration increases prices and that increased availability of spectrum reduces prices. In addition to stronger competition from new or better resourced competitors, additional spectrum will provide scope for experimentation with innovative business models to deliver mobile multimedia services. The recent history of the internet and online markets suggest that new services have the potential to rapidly take off and achieve widespread use by consumers. However, the launch of new products and services is highly uncertain and risky – many are likely to fail. Innovative business models provide scope for new players to enter the market and to bundle services, hardware and access together. This will increase the likelihood that new products and services will be developed with significant benefits to consum</w:t>
            </w:r>
            <w:r>
              <w:rPr>
                <w:rFonts w:ascii="Times New Roman" w:hAnsi="Times New Roman"/>
                <w:sz w:val="24"/>
              </w:rPr>
              <w:t>ers.</w:t>
            </w:r>
            <w:r w:rsidRPr="00484702">
              <w:rPr>
                <w:rFonts w:ascii="Times New Roman" w:hAnsi="Times New Roman"/>
                <w:sz w:val="24"/>
              </w:rPr>
              <w:t xml:space="preserve"> So additional availability of 1.4 GHz spectrum should stimulate competition in mobile data and multimedia markets resulting in lower prices for consumers and improved choice and innovative new products.  </w:t>
            </w:r>
          </w:p>
          <w:bookmarkEnd w:id="0"/>
          <w:p w:rsidR="00DD741F" w:rsidRPr="0015327D" w:rsidRDefault="00DD741F" w:rsidP="00E86E6C">
            <w:pPr>
              <w:pStyle w:val="Heading2"/>
              <w:numPr>
                <w:ilvl w:val="3"/>
                <w:numId w:val="27"/>
              </w:numPr>
              <w:rPr>
                <w:rFonts w:ascii="Times New Roman" w:hAnsi="Times New Roman"/>
                <w:sz w:val="24"/>
                <w:szCs w:val="20"/>
                <w:lang w:val="en-GB"/>
              </w:rPr>
            </w:pPr>
            <w:r w:rsidRPr="0015327D">
              <w:rPr>
                <w:rFonts w:ascii="Times New Roman" w:hAnsi="Times New Roman"/>
                <w:sz w:val="24"/>
                <w:szCs w:val="24"/>
                <w:lang w:val="en-GB"/>
              </w:rPr>
              <w:t>The benefits of an early adoption advantage to the European multimedia business</w:t>
            </w:r>
          </w:p>
          <w:p w:rsidR="00DD741F" w:rsidRPr="00484702" w:rsidRDefault="00DD741F" w:rsidP="00484702">
            <w:pPr>
              <w:pStyle w:val="BulletList1"/>
              <w:numPr>
                <w:ilvl w:val="0"/>
                <w:numId w:val="0"/>
              </w:numPr>
              <w:spacing w:line="276" w:lineRule="auto"/>
              <w:ind w:left="1432"/>
              <w:jc w:val="both"/>
              <w:rPr>
                <w:rFonts w:ascii="Times New Roman" w:hAnsi="Times New Roman"/>
                <w:sz w:val="24"/>
              </w:rPr>
            </w:pPr>
            <w:r w:rsidRPr="00484702">
              <w:rPr>
                <w:rFonts w:ascii="Times New Roman" w:hAnsi="Times New Roman"/>
                <w:sz w:val="24"/>
              </w:rPr>
              <w:t>The harmonisation of the 1.4 GHz band for MMDL gives European suppliers an early advantage in the development of mobile multimedia services using a supplemental Downlink. There is considerable scope for the adoption of 1.4 GHz for supplemental downlink outside Europe such as in the Middle East,  Asia and Americas. Implementation of the standard in Europe will open up new business opportunities in international markets, particularly for service providers with successful business models. There is reason to believe that early deployment of the 1.4 GHz supplemental downlink in Europe may result in innovation in the provision of content and services which could lead to considerable producer surplus. The history of the Internet is that network effects can result in the creation of very large companies in a rapid space of time such as Google, Skype, Facebook, Twitter etc. International adoption of the 1.4 GHz for MMDL will be of great benefit also to technology providers</w:t>
            </w:r>
            <w:r w:rsidRPr="00484702">
              <w:rPr>
                <w:rStyle w:val="FootnoteReference"/>
                <w:rFonts w:ascii="Times New Roman" w:hAnsi="Times New Roman"/>
                <w:sz w:val="24"/>
              </w:rPr>
              <w:footnoteReference w:id="8"/>
            </w:r>
            <w:r w:rsidRPr="00484702">
              <w:rPr>
                <w:rFonts w:ascii="Times New Roman" w:hAnsi="Times New Roman"/>
                <w:sz w:val="24"/>
              </w:rPr>
              <w:t xml:space="preserve"> in addition to European content and service providers.</w:t>
            </w:r>
          </w:p>
          <w:p w:rsidR="00DD741F" w:rsidRDefault="00DD741F" w:rsidP="00D72AFD">
            <w:pPr>
              <w:jc w:val="both"/>
              <w:rPr>
                <w:lang w:val="en-GB"/>
              </w:rPr>
            </w:pPr>
          </w:p>
          <w:p w:rsidR="00DD741F" w:rsidRPr="007548F5" w:rsidRDefault="00DD741F" w:rsidP="00D72AFD">
            <w:pPr>
              <w:jc w:val="both"/>
              <w:rPr>
                <w:lang w:val="en-GB"/>
              </w:rPr>
            </w:pPr>
          </w:p>
          <w:p w:rsidR="00DD741F" w:rsidRPr="007548F5" w:rsidRDefault="00DD741F" w:rsidP="00D72AFD">
            <w:pPr>
              <w:jc w:val="both"/>
              <w:rPr>
                <w:b/>
                <w:lang w:val="en-GB"/>
              </w:rPr>
            </w:pPr>
            <w:r w:rsidRPr="007548F5">
              <w:rPr>
                <w:b/>
                <w:lang w:val="en-GB"/>
              </w:rPr>
              <w:t>4.3.4</w:t>
            </w:r>
            <w:r w:rsidRPr="007548F5">
              <w:rPr>
                <w:b/>
                <w:lang w:val="en-GB"/>
              </w:rPr>
              <w:tab/>
              <w:t>Timeframe for availability of equipment on a large scale and for application deployment - status of standardisation</w:t>
            </w:r>
          </w:p>
          <w:p w:rsidR="00DD741F" w:rsidRPr="007548F5" w:rsidRDefault="00DD741F" w:rsidP="00D72AFD">
            <w:pPr>
              <w:jc w:val="both"/>
              <w:rPr>
                <w:lang w:val="en-GB"/>
              </w:rPr>
            </w:pPr>
          </w:p>
          <w:p w:rsidR="00DD741F" w:rsidRPr="007548F5" w:rsidRDefault="00DD741F" w:rsidP="004D7287">
            <w:pPr>
              <w:pStyle w:val="BodyText"/>
              <w:spacing w:line="276" w:lineRule="auto"/>
              <w:jc w:val="both"/>
              <w:rPr>
                <w:rFonts w:ascii="Times New Roman" w:hAnsi="Times New Roman"/>
              </w:rPr>
            </w:pPr>
            <w:r w:rsidRPr="007548F5">
              <w:rPr>
                <w:rFonts w:ascii="Times New Roman" w:hAnsi="Times New Roman"/>
              </w:rPr>
              <w:t xml:space="preserve">The timeline for availability of </w:t>
            </w:r>
            <w:r>
              <w:rPr>
                <w:rFonts w:ascii="Times New Roman" w:hAnsi="Times New Roman"/>
              </w:rPr>
              <w:t xml:space="preserve">infrastructure equipment and </w:t>
            </w:r>
            <w:r w:rsidRPr="007548F5">
              <w:rPr>
                <w:rFonts w:ascii="Times New Roman" w:hAnsi="Times New Roman"/>
              </w:rPr>
              <w:t xml:space="preserve">devices with 1.4 GHz </w:t>
            </w:r>
            <w:r>
              <w:rPr>
                <w:rFonts w:ascii="Times New Roman" w:hAnsi="Times New Roman"/>
              </w:rPr>
              <w:t xml:space="preserve">supplemental downlink </w:t>
            </w:r>
            <w:r w:rsidRPr="007548F5">
              <w:rPr>
                <w:rFonts w:ascii="Times New Roman" w:hAnsi="Times New Roman"/>
              </w:rPr>
              <w:t xml:space="preserve">capability depends on the timing of a number of interrelated regulatory and market </w:t>
            </w:r>
            <w:r>
              <w:rPr>
                <w:rFonts w:ascii="Times New Roman" w:hAnsi="Times New Roman"/>
              </w:rPr>
              <w:t>steps</w:t>
            </w:r>
            <w:r w:rsidRPr="007548F5">
              <w:rPr>
                <w:rFonts w:ascii="Times New Roman" w:hAnsi="Times New Roman"/>
              </w:rPr>
              <w:t>, namely:</w:t>
            </w:r>
          </w:p>
          <w:p w:rsidR="00DD741F" w:rsidRPr="007548F5" w:rsidRDefault="00DD741F" w:rsidP="008A5FB4">
            <w:pPr>
              <w:pStyle w:val="BulletList1"/>
              <w:numPr>
                <w:ilvl w:val="0"/>
                <w:numId w:val="16"/>
              </w:numPr>
              <w:spacing w:line="276" w:lineRule="auto"/>
              <w:jc w:val="both"/>
              <w:rPr>
                <w:rFonts w:ascii="Times New Roman" w:hAnsi="Times New Roman"/>
                <w:sz w:val="24"/>
              </w:rPr>
            </w:pPr>
            <w:r w:rsidRPr="007548F5">
              <w:rPr>
                <w:rFonts w:ascii="Times New Roman" w:hAnsi="Times New Roman"/>
                <w:sz w:val="24"/>
              </w:rPr>
              <w:t>The adoption by the ECC of a harmonized band plan for the 1.4 GHz band</w:t>
            </w:r>
            <w:r>
              <w:rPr>
                <w:rFonts w:ascii="Times New Roman" w:hAnsi="Times New Roman"/>
                <w:sz w:val="24"/>
              </w:rPr>
              <w:t xml:space="preserve"> over 40MHz</w:t>
            </w:r>
            <w:r w:rsidRPr="007548F5">
              <w:rPr>
                <w:rFonts w:ascii="Times New Roman" w:hAnsi="Times New Roman"/>
                <w:sz w:val="24"/>
              </w:rPr>
              <w:t>. This first requires the ECC to undertake an analysis for potential uses of the band and then come to a decision about the most appropriate future use of the band and associated least restrictive technical conditions</w:t>
            </w:r>
            <w:r w:rsidRPr="007548F5">
              <w:rPr>
                <w:rStyle w:val="FootnoteReference"/>
                <w:rFonts w:ascii="Times New Roman" w:hAnsi="Times New Roman"/>
                <w:sz w:val="24"/>
              </w:rPr>
              <w:footnoteReference w:id="9"/>
            </w:r>
            <w:r w:rsidRPr="007548F5">
              <w:rPr>
                <w:rFonts w:ascii="Times New Roman" w:hAnsi="Times New Roman"/>
                <w:sz w:val="24"/>
              </w:rPr>
              <w:t>.  It is expected that this process will be completed by the end of 2012</w:t>
            </w:r>
            <w:r>
              <w:rPr>
                <w:rFonts w:ascii="Times New Roman" w:hAnsi="Times New Roman"/>
                <w:sz w:val="24"/>
              </w:rPr>
              <w:t xml:space="preserve">  </w:t>
            </w:r>
            <w:r w:rsidRPr="007548F5">
              <w:rPr>
                <w:rFonts w:ascii="Times New Roman" w:hAnsi="Times New Roman"/>
                <w:sz w:val="24"/>
              </w:rPr>
              <w:t xml:space="preserve">. This allows 18 months to conduct the impact analysis and make decisions about the least restrictive technical conditions. </w:t>
            </w:r>
          </w:p>
          <w:p w:rsidR="00DD741F" w:rsidRPr="003F6655" w:rsidRDefault="00DD741F" w:rsidP="008A5FB4">
            <w:pPr>
              <w:pStyle w:val="ListParagraph"/>
              <w:numPr>
                <w:ilvl w:val="0"/>
                <w:numId w:val="31"/>
              </w:numPr>
              <w:spacing w:line="276" w:lineRule="auto"/>
              <w:jc w:val="both"/>
              <w:rPr>
                <w:lang w:val="en-GB"/>
              </w:rPr>
            </w:pPr>
            <w:r w:rsidRPr="003F6655">
              <w:rPr>
                <w:lang w:val="en-GB"/>
              </w:rPr>
              <w:t>Completion of 3GPP specification activity</w:t>
            </w:r>
            <w:r w:rsidRPr="003F6655">
              <w:rPr>
                <w:rStyle w:val="FootnoteReference"/>
                <w:lang w:val="en-GB"/>
              </w:rPr>
              <w:footnoteReference w:id="10"/>
            </w:r>
            <w:r w:rsidRPr="003F6655">
              <w:rPr>
                <w:lang w:val="en-GB"/>
              </w:rPr>
              <w:t>. The 3GPP specifications already contain much of the capability that would be required to combine operation on the current European cellular paired spectrum with a supplemental downlink at 1.4GHz (carrier aggregation in downlink is supported for HSPA from Rel-9 and for LTE from Rel-10).   The USA based operator AT&amp;T plans to use a similar arrangement</w:t>
            </w:r>
            <w:r w:rsidRPr="003F6655">
              <w:rPr>
                <w:rStyle w:val="FootnoteReference"/>
                <w:lang w:val="en-GB"/>
              </w:rPr>
              <w:footnoteReference w:id="11"/>
            </w:r>
            <w:r w:rsidRPr="003F6655">
              <w:rPr>
                <w:lang w:val="en-GB"/>
              </w:rPr>
              <w:t xml:space="preserve"> and Work Items (WIs) are already in the 3GPP work plan for this (scheduled for March 2012). A new WI in 3GPP would still be required for a 1.4GHz supplemental downlink. However, the current AT&amp;T related WI could </w:t>
            </w:r>
            <w:r>
              <w:rPr>
                <w:lang w:val="en-GB"/>
              </w:rPr>
              <w:t>cover</w:t>
            </w:r>
            <w:r w:rsidRPr="003F6655">
              <w:rPr>
                <w:lang w:val="en-GB"/>
              </w:rPr>
              <w:t xml:space="preserve"> </w:t>
            </w:r>
            <w:r>
              <w:rPr>
                <w:lang w:val="en-GB"/>
              </w:rPr>
              <w:t xml:space="preserve">already </w:t>
            </w:r>
            <w:r w:rsidRPr="003F6655">
              <w:rPr>
                <w:lang w:val="en-GB"/>
              </w:rPr>
              <w:t>a lot of the technical issues that will need to be addressed. Once a harmonised band plan is defined by the CEPT, a request can be made to 3GPP to undertake the necessary work to include the 1.4 GHz supplemental downlink in the specifications for HSPA+ Release 9 (dual carrier and dual band) and later releases, as well as LTE Release 10, i.e. the first LTE release which supports multiple carrier aggregation, and later releases.  The conclusion of the specification work in 3GPP could be done by the end of 2013</w:t>
            </w:r>
            <w:r w:rsidRPr="003F6655">
              <w:rPr>
                <w:rStyle w:val="FootnoteReference"/>
                <w:lang w:val="en-GB"/>
              </w:rPr>
              <w:footnoteReference w:id="12"/>
            </w:r>
            <w:r w:rsidRPr="003F6655">
              <w:rPr>
                <w:lang w:val="en-GB"/>
              </w:rPr>
              <w:t xml:space="preserve">. </w:t>
            </w:r>
          </w:p>
          <w:p w:rsidR="00DD741F" w:rsidRDefault="00DD741F" w:rsidP="00B9673A">
            <w:pPr>
              <w:pStyle w:val="ListParagraph"/>
              <w:ind w:left="720"/>
              <w:rPr>
                <w:lang w:val="en-US" w:eastAsia="en-US"/>
              </w:rPr>
            </w:pPr>
          </w:p>
          <w:p w:rsidR="00DD741F" w:rsidRPr="007548F5" w:rsidRDefault="00DD741F" w:rsidP="004D7287">
            <w:pPr>
              <w:pStyle w:val="BulletList1"/>
              <w:numPr>
                <w:ilvl w:val="0"/>
                <w:numId w:val="16"/>
              </w:numPr>
              <w:spacing w:line="276" w:lineRule="auto"/>
              <w:jc w:val="both"/>
              <w:rPr>
                <w:rFonts w:ascii="Times New Roman" w:hAnsi="Times New Roman"/>
                <w:sz w:val="24"/>
              </w:rPr>
            </w:pPr>
            <w:r w:rsidRPr="007548F5">
              <w:rPr>
                <w:rFonts w:ascii="Times New Roman" w:hAnsi="Times New Roman"/>
                <w:sz w:val="24"/>
              </w:rPr>
              <w:t xml:space="preserve">Chipset availability. </w:t>
            </w:r>
            <w:r>
              <w:rPr>
                <w:rFonts w:ascii="Times New Roman" w:hAnsi="Times New Roman"/>
                <w:sz w:val="24"/>
              </w:rPr>
              <w:t xml:space="preserve">3GPP </w:t>
            </w:r>
            <w:r w:rsidRPr="007548F5">
              <w:rPr>
                <w:rFonts w:ascii="Times New Roman" w:hAnsi="Times New Roman"/>
                <w:sz w:val="24"/>
              </w:rPr>
              <w:t>Release 9 dual band/dual carrier chipset solutions for HSPA+ are already in the planning stage</w:t>
            </w:r>
            <w:r w:rsidRPr="007548F5">
              <w:rPr>
                <w:rStyle w:val="FootnoteReference"/>
                <w:rFonts w:ascii="Times New Roman" w:hAnsi="Times New Roman"/>
                <w:sz w:val="24"/>
              </w:rPr>
              <w:footnoteReference w:id="13"/>
            </w:r>
            <w:r w:rsidRPr="007548F5">
              <w:rPr>
                <w:rFonts w:ascii="Times New Roman" w:hAnsi="Times New Roman"/>
                <w:sz w:val="24"/>
              </w:rPr>
              <w:t xml:space="preserve">. Qualcomm expects Release 9 chipsets to become available </w:t>
            </w:r>
            <w:r w:rsidRPr="007548F5">
              <w:rPr>
                <w:rFonts w:ascii="Times New Roman" w:hAnsi="Times New Roman"/>
                <w:iCs/>
                <w:sz w:val="24"/>
              </w:rPr>
              <w:t xml:space="preserve">to enable commercial devices in </w:t>
            </w:r>
            <w:r w:rsidRPr="007548F5">
              <w:rPr>
                <w:rFonts w:ascii="Times New Roman" w:hAnsi="Times New Roman"/>
                <w:bCs/>
                <w:iCs/>
                <w:sz w:val="24"/>
              </w:rPr>
              <w:t>2014</w:t>
            </w:r>
            <w:r w:rsidRPr="007548F5">
              <w:rPr>
                <w:rFonts w:ascii="Times New Roman" w:hAnsi="Times New Roman"/>
                <w:sz w:val="24"/>
              </w:rPr>
              <w:t xml:space="preserve">. This development would happen in parallel with the work in 3GPP. Adding requirements for a 1.4 GHz band </w:t>
            </w:r>
            <w:r>
              <w:rPr>
                <w:rFonts w:ascii="Times New Roman" w:hAnsi="Times New Roman"/>
                <w:sz w:val="24"/>
              </w:rPr>
              <w:t>supplemental downlink</w:t>
            </w:r>
            <w:r w:rsidRPr="007548F5">
              <w:rPr>
                <w:rFonts w:ascii="Times New Roman" w:hAnsi="Times New Roman"/>
                <w:sz w:val="24"/>
              </w:rPr>
              <w:t xml:space="preserve"> does not impact the timeline for availability of Release 9 dual-band dual-carrier capable chipsets. </w:t>
            </w:r>
          </w:p>
          <w:p w:rsidR="00DD741F" w:rsidRPr="007548F5" w:rsidRDefault="00DD741F" w:rsidP="004D7287">
            <w:pPr>
              <w:pStyle w:val="BulletList1"/>
              <w:numPr>
                <w:ilvl w:val="0"/>
                <w:numId w:val="16"/>
              </w:numPr>
              <w:spacing w:line="276" w:lineRule="auto"/>
              <w:jc w:val="both"/>
              <w:rPr>
                <w:rFonts w:ascii="Times New Roman" w:hAnsi="Times New Roman"/>
                <w:sz w:val="24"/>
              </w:rPr>
            </w:pPr>
            <w:r w:rsidRPr="007548F5">
              <w:rPr>
                <w:rFonts w:ascii="Times New Roman" w:hAnsi="Times New Roman"/>
                <w:sz w:val="24"/>
              </w:rPr>
              <w:t xml:space="preserve">Clearing and release of the 1.4 GHz band to the market. In most countries the band is already cleared and unused. Regulators could start to release the band for </w:t>
            </w:r>
            <w:r>
              <w:rPr>
                <w:rFonts w:ascii="Times New Roman" w:hAnsi="Times New Roman"/>
                <w:sz w:val="24"/>
              </w:rPr>
              <w:t>supplemental downlink</w:t>
            </w:r>
            <w:r w:rsidRPr="007548F5">
              <w:rPr>
                <w:rFonts w:ascii="Times New Roman" w:hAnsi="Times New Roman"/>
                <w:sz w:val="24"/>
              </w:rPr>
              <w:t xml:space="preserve"> as soon as the ECC band plan is adopted.  As the 3GPP process nears conclusion and chipsets start to be produced, this w</w:t>
            </w:r>
            <w:r>
              <w:rPr>
                <w:rFonts w:ascii="Times New Roman" w:hAnsi="Times New Roman"/>
                <w:sz w:val="24"/>
              </w:rPr>
              <w:t>ill give confidence that MMDL</w:t>
            </w:r>
            <w:r w:rsidRPr="007548F5">
              <w:rPr>
                <w:rFonts w:ascii="Times New Roman" w:hAnsi="Times New Roman"/>
                <w:sz w:val="24"/>
              </w:rPr>
              <w:t xml:space="preserve"> application</w:t>
            </w:r>
            <w:r>
              <w:rPr>
                <w:rFonts w:ascii="Times New Roman" w:hAnsi="Times New Roman"/>
                <w:sz w:val="24"/>
              </w:rPr>
              <w:t>s</w:t>
            </w:r>
            <w:r w:rsidRPr="007548F5">
              <w:rPr>
                <w:rFonts w:ascii="Times New Roman" w:hAnsi="Times New Roman"/>
                <w:sz w:val="24"/>
              </w:rPr>
              <w:t xml:space="preserve"> will be deployed</w:t>
            </w:r>
            <w:r>
              <w:rPr>
                <w:rFonts w:ascii="Times New Roman" w:hAnsi="Times New Roman"/>
                <w:sz w:val="24"/>
              </w:rPr>
              <w:t xml:space="preserve"> over the supplemental downlink</w:t>
            </w:r>
            <w:r w:rsidRPr="007548F5">
              <w:rPr>
                <w:rFonts w:ascii="Times New Roman" w:hAnsi="Times New Roman"/>
                <w:sz w:val="24"/>
              </w:rPr>
              <w:t xml:space="preserve">.  The band can be released in advance of deployment, which suggests </w:t>
            </w:r>
            <w:r>
              <w:rPr>
                <w:rFonts w:ascii="Times New Roman" w:hAnsi="Times New Roman"/>
                <w:sz w:val="24"/>
              </w:rPr>
              <w:t xml:space="preserve">that a </w:t>
            </w:r>
            <w:r w:rsidRPr="007548F5">
              <w:rPr>
                <w:rFonts w:ascii="Times New Roman" w:hAnsi="Times New Roman"/>
                <w:sz w:val="24"/>
              </w:rPr>
              <w:t xml:space="preserve">release </w:t>
            </w:r>
            <w:r>
              <w:rPr>
                <w:rFonts w:ascii="Times New Roman" w:hAnsi="Times New Roman"/>
                <w:sz w:val="24"/>
              </w:rPr>
              <w:t xml:space="preserve">for a common MMDL arrangement </w:t>
            </w:r>
            <w:r w:rsidRPr="007548F5">
              <w:rPr>
                <w:rFonts w:ascii="Times New Roman" w:hAnsi="Times New Roman"/>
                <w:sz w:val="24"/>
              </w:rPr>
              <w:t>could happen in</w:t>
            </w:r>
            <w:r>
              <w:rPr>
                <w:rFonts w:ascii="Times New Roman" w:hAnsi="Times New Roman"/>
                <w:sz w:val="24"/>
              </w:rPr>
              <w:t xml:space="preserve"> 2013/2014</w:t>
            </w:r>
            <w:r w:rsidRPr="007548F5">
              <w:rPr>
                <w:rFonts w:ascii="Times New Roman" w:hAnsi="Times New Roman"/>
                <w:sz w:val="24"/>
              </w:rPr>
              <w:t xml:space="preserve"> </w:t>
            </w:r>
          </w:p>
          <w:p w:rsidR="00DD741F" w:rsidRPr="003F6655" w:rsidRDefault="00DD741F" w:rsidP="003F6655">
            <w:pPr>
              <w:pStyle w:val="BulletList1"/>
              <w:numPr>
                <w:ilvl w:val="0"/>
                <w:numId w:val="16"/>
              </w:numPr>
              <w:spacing w:line="276" w:lineRule="auto"/>
              <w:jc w:val="both"/>
              <w:rPr>
                <w:rFonts w:ascii="Times New Roman" w:hAnsi="Times New Roman"/>
                <w:sz w:val="24"/>
              </w:rPr>
            </w:pPr>
            <w:r w:rsidRPr="007548F5">
              <w:rPr>
                <w:rFonts w:ascii="Times New Roman" w:hAnsi="Times New Roman"/>
                <w:sz w:val="24"/>
              </w:rPr>
              <w:t xml:space="preserve">Equipment availability. Manufacturers will need to design, test and build devices and </w:t>
            </w:r>
            <w:r w:rsidRPr="004D7287">
              <w:rPr>
                <w:rFonts w:ascii="Times New Roman" w:hAnsi="Times New Roman"/>
                <w:sz w:val="24"/>
              </w:rPr>
              <w:t>base stations and other network equipment supporting the 1.4 GHz band.  In addition, operators will need to test such equipment. It is expected that this process will take at least 12 months</w:t>
            </w:r>
            <w:r>
              <w:rPr>
                <w:rFonts w:ascii="Times New Roman" w:hAnsi="Times New Roman"/>
                <w:sz w:val="24"/>
              </w:rPr>
              <w:t xml:space="preserve"> suggesting potential operational deployment in 2014/2015</w:t>
            </w:r>
            <w:r w:rsidRPr="004D7287">
              <w:rPr>
                <w:rFonts w:ascii="Times New Roman" w:hAnsi="Times New Roman"/>
                <w:sz w:val="24"/>
              </w:rPr>
              <w:t xml:space="preserve">. </w:t>
            </w:r>
          </w:p>
          <w:p w:rsidR="00DD741F" w:rsidRPr="004C77E5" w:rsidRDefault="00DD741F" w:rsidP="004D7287">
            <w:pPr>
              <w:pStyle w:val="BulletList1"/>
              <w:numPr>
                <w:ilvl w:val="0"/>
                <w:numId w:val="0"/>
              </w:numPr>
              <w:spacing w:line="276" w:lineRule="auto"/>
              <w:jc w:val="both"/>
              <w:rPr>
                <w:rFonts w:ascii="Times New Roman" w:hAnsi="Times New Roman"/>
                <w:sz w:val="24"/>
              </w:rPr>
            </w:pPr>
            <w:r w:rsidRPr="004C77E5">
              <w:rPr>
                <w:rFonts w:ascii="Times New Roman" w:hAnsi="Times New Roman"/>
                <w:sz w:val="24"/>
              </w:rPr>
              <w:t>In summary, this leads to the timeline</w:t>
            </w:r>
            <w:r>
              <w:rPr>
                <w:rFonts w:ascii="Times New Roman" w:hAnsi="Times New Roman"/>
                <w:sz w:val="24"/>
              </w:rPr>
              <w:t xml:space="preserve"> shown below of </w:t>
            </w:r>
            <w:r w:rsidRPr="000F34A8">
              <w:rPr>
                <w:rFonts w:ascii="Times New Roman" w:hAnsi="Times New Roman"/>
                <w:sz w:val="24"/>
              </w:rPr>
              <w:t>a number of interrelated regulatory and market steps</w:t>
            </w:r>
            <w:r w:rsidRPr="004C77E5">
              <w:rPr>
                <w:rFonts w:ascii="Times New Roman" w:hAnsi="Times New Roman"/>
                <w:sz w:val="24"/>
              </w:rPr>
              <w:t xml:space="preserve"> for the use of the 1452-1492 MHz as supplemental downlink </w:t>
            </w:r>
            <w:r>
              <w:rPr>
                <w:rFonts w:ascii="Times New Roman" w:hAnsi="Times New Roman"/>
                <w:sz w:val="24"/>
              </w:rPr>
              <w:t>for MMDL to support innovation and growth in mobile broadband and multimedia services in Europe.</w:t>
            </w:r>
          </w:p>
          <w:p w:rsidR="00DD741F" w:rsidRPr="007548F5" w:rsidRDefault="00DD741F" w:rsidP="00D72AFD">
            <w:pPr>
              <w:jc w:val="both"/>
              <w:rPr>
                <w:lang w:val="en-GB"/>
              </w:rPr>
            </w:pPr>
          </w:p>
          <w:p w:rsidR="00DD741F" w:rsidRPr="00EC7DFC" w:rsidRDefault="00DD741F" w:rsidP="0053749D">
            <w:pPr>
              <w:jc w:val="center"/>
              <w:rPr>
                <w:lang w:val="en-GB"/>
              </w:rPr>
            </w:pPr>
            <w:r w:rsidRPr="004E0406">
              <w:rPr>
                <w:noProof/>
              </w:rPr>
              <w:pict>
                <v:shape id="Diagram 1" o:spid="_x0000_i1027" type="#_x0000_t75" style="width:455.25pt;height:72.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">
                  <v:imagedata r:id="rId9" o:title="" cropbottom="-21266f"/>
                  <o:lock v:ext="edit" aspectratio="f"/>
                </v:shape>
              </w:pict>
            </w:r>
          </w:p>
          <w:p w:rsidR="00DD741F" w:rsidRPr="007548F5" w:rsidRDefault="00DD741F" w:rsidP="00D72AFD">
            <w:pPr>
              <w:jc w:val="both"/>
              <w:rPr>
                <w:lang w:val="en-GB"/>
              </w:rPr>
            </w:pPr>
          </w:p>
          <w:p w:rsidR="00DD741F" w:rsidRPr="007548F5" w:rsidRDefault="00DD741F" w:rsidP="00D72AFD">
            <w:pPr>
              <w:jc w:val="both"/>
              <w:rPr>
                <w:b/>
                <w:lang w:val="en-GB"/>
              </w:rPr>
            </w:pPr>
            <w:r w:rsidRPr="007548F5">
              <w:rPr>
                <w:b/>
                <w:lang w:val="en-GB"/>
              </w:rPr>
              <w:t>4.3.5</w:t>
            </w:r>
            <w:r w:rsidRPr="007548F5">
              <w:rPr>
                <w:b/>
                <w:lang w:val="en-GB"/>
              </w:rPr>
              <w:tab/>
              <w:t>Potential for economy of scale (need and potential for harmonisation within and outside CEPT)</w:t>
            </w:r>
          </w:p>
          <w:p w:rsidR="00DD741F" w:rsidRDefault="00DD741F" w:rsidP="00D72AFD">
            <w:pPr>
              <w:jc w:val="both"/>
              <w:rPr>
                <w:lang w:val="en-GB"/>
              </w:rPr>
            </w:pPr>
          </w:p>
          <w:p w:rsidR="00DD741F" w:rsidRPr="00A843EA" w:rsidRDefault="00DD741F" w:rsidP="004D7287">
            <w:pPr>
              <w:spacing w:line="276" w:lineRule="auto"/>
              <w:jc w:val="both"/>
              <w:rPr>
                <w:lang w:val="en-GB"/>
              </w:rPr>
            </w:pPr>
            <w:r w:rsidRPr="00A843EA">
              <w:rPr>
                <w:lang w:val="en-GB"/>
              </w:rPr>
              <w:t>In this section, the size of the market for MMDL application will be estimated taking into account the potential for CEPT wide and global harmonisation. Moreover, the required level of harmonisation will also be taken into account.</w:t>
            </w:r>
          </w:p>
          <w:p w:rsidR="00DD741F" w:rsidRPr="00A843EA" w:rsidRDefault="00DD741F" w:rsidP="004D7287">
            <w:pPr>
              <w:spacing w:line="276" w:lineRule="auto"/>
              <w:jc w:val="both"/>
              <w:rPr>
                <w:lang w:val="en-GB"/>
              </w:rPr>
            </w:pPr>
          </w:p>
          <w:p w:rsidR="00DD741F" w:rsidRPr="003F6655" w:rsidRDefault="00DD741F" w:rsidP="004D7287">
            <w:pPr>
              <w:keepNext/>
              <w:numPr>
                <w:ilvl w:val="0"/>
                <w:numId w:val="24"/>
              </w:numPr>
              <w:spacing w:before="240" w:after="60" w:line="276" w:lineRule="auto"/>
              <w:jc w:val="both"/>
              <w:outlineLvl w:val="1"/>
              <w:rPr>
                <w:u w:val="single"/>
                <w:lang w:val="en-GB"/>
              </w:rPr>
            </w:pPr>
            <w:r w:rsidRPr="003F6655">
              <w:rPr>
                <w:u w:val="single"/>
                <w:lang w:val="en-GB"/>
              </w:rPr>
              <w:t>Estimation of market demand for MMDL</w:t>
            </w:r>
          </w:p>
          <w:p w:rsidR="00DD741F" w:rsidRPr="003F6655" w:rsidRDefault="00DD741F" w:rsidP="004D7287">
            <w:pPr>
              <w:spacing w:line="276" w:lineRule="auto"/>
              <w:ind w:left="1080"/>
              <w:jc w:val="both"/>
              <w:rPr>
                <w:lang w:val="en-GB"/>
              </w:rPr>
            </w:pPr>
          </w:p>
          <w:p w:rsidR="00DD741F" w:rsidRPr="003F6655" w:rsidRDefault="00DD741F" w:rsidP="004D7287">
            <w:pPr>
              <w:spacing w:line="276" w:lineRule="auto"/>
              <w:ind w:left="1162"/>
              <w:jc w:val="both"/>
              <w:rPr>
                <w:lang w:val="en-GB"/>
              </w:rPr>
            </w:pPr>
            <w:r w:rsidRPr="003F6655">
              <w:rPr>
                <w:lang w:val="en-GB"/>
              </w:rPr>
              <w:t>There are a number of arguments which, when taken together, suggest that demand for mobile multimedia is already significant and will grow strongly over the next decade. Moreover, when this is coupled with the asymmetric nature of mobile broadband and mobile multimedia traffic, it demonstrates already now the existence of a strong market demand for MMDL.</w:t>
            </w:r>
          </w:p>
          <w:p w:rsidR="00DD741F" w:rsidRPr="003F6655" w:rsidRDefault="00DD741F" w:rsidP="004D7287">
            <w:pPr>
              <w:spacing w:line="276" w:lineRule="auto"/>
              <w:ind w:left="1162"/>
              <w:jc w:val="both"/>
              <w:rPr>
                <w:lang w:val="en-GB"/>
              </w:rPr>
            </w:pPr>
          </w:p>
          <w:p w:rsidR="00DD741F" w:rsidRPr="003F6655" w:rsidRDefault="00DD741F" w:rsidP="004D7287">
            <w:pPr>
              <w:spacing w:line="276" w:lineRule="auto"/>
              <w:ind w:left="1162"/>
              <w:jc w:val="both"/>
              <w:rPr>
                <w:lang w:val="en-GB"/>
              </w:rPr>
            </w:pPr>
            <w:r w:rsidRPr="003F6655">
              <w:rPr>
                <w:b/>
                <w:i/>
                <w:lang w:val="en-GB"/>
              </w:rPr>
              <w:t>First,</w:t>
            </w:r>
            <w:r w:rsidRPr="003F6655">
              <w:rPr>
                <w:lang w:val="en-GB"/>
              </w:rPr>
              <w:t xml:space="preserve"> there is a strong trend towards personalisation and immediate use of the video-based content - which lies at the core of most multimedia applications. A significant proportion of the population, and especially young people, now watch video over their computers, tablets and smartphones rather than just via a television set</w:t>
            </w:r>
            <w:r w:rsidRPr="003F6655">
              <w:rPr>
                <w:rStyle w:val="FootnoteReference"/>
                <w:lang w:val="en-GB"/>
              </w:rPr>
              <w:footnoteReference w:id="14"/>
            </w:r>
            <w:r w:rsidRPr="003F6655">
              <w:rPr>
                <w:lang w:val="en-GB"/>
              </w:rPr>
              <w:t>. In particular there is substantial demand for catch-up TV and video on demand. Much of this demand is currently satisfied by services offered over fixed broadband. But the next logical step is to use mobile broadband services to meet any need for personalised and immediate video on the move.</w:t>
            </w:r>
          </w:p>
          <w:p w:rsidR="00DD741F" w:rsidRPr="003F6655" w:rsidRDefault="00DD741F" w:rsidP="004D7287">
            <w:pPr>
              <w:spacing w:line="276" w:lineRule="auto"/>
              <w:ind w:left="1162"/>
              <w:jc w:val="both"/>
              <w:rPr>
                <w:b/>
                <w:i/>
                <w:lang w:val="en-GB"/>
              </w:rPr>
            </w:pPr>
          </w:p>
          <w:p w:rsidR="00DD741F" w:rsidRPr="003F6655" w:rsidRDefault="00DD741F" w:rsidP="004D7287">
            <w:pPr>
              <w:spacing w:line="276" w:lineRule="auto"/>
              <w:ind w:left="1162"/>
              <w:jc w:val="both"/>
              <w:rPr>
                <w:lang w:val="en-GB"/>
              </w:rPr>
            </w:pPr>
            <w:r w:rsidRPr="003F6655">
              <w:rPr>
                <w:b/>
                <w:i/>
                <w:lang w:val="en-GB"/>
              </w:rPr>
              <w:t>Secondly,</w:t>
            </w:r>
            <w:r w:rsidRPr="003F6655">
              <w:rPr>
                <w:lang w:val="en-GB"/>
              </w:rPr>
              <w:t xml:space="preserve"> a high proportion of mobile broadband is already enhanced mobile multimedia</w:t>
            </w:r>
            <w:r w:rsidRPr="003F6655">
              <w:rPr>
                <w:rStyle w:val="FootnoteReference"/>
                <w:lang w:val="en-GB"/>
              </w:rPr>
              <w:footnoteReference w:id="15"/>
            </w:r>
            <w:r w:rsidRPr="003F6655">
              <w:rPr>
                <w:lang w:val="en-GB"/>
              </w:rPr>
              <w:t>. Allot</w:t>
            </w:r>
            <w:r w:rsidRPr="003F6655">
              <w:rPr>
                <w:rStyle w:val="FootnoteReference"/>
                <w:lang w:val="en-GB"/>
              </w:rPr>
              <w:footnoteReference w:id="16"/>
            </w:r>
            <w:r w:rsidRPr="003F6655">
              <w:rPr>
                <w:lang w:val="en-GB"/>
              </w:rPr>
              <w:t xml:space="preserve"> estimates that 63% of mobile broadband traffic was multimedia in 2010. According to Cisco</w:t>
            </w:r>
            <w:bookmarkStart w:id="2" w:name="_Ref294705603"/>
            <w:r w:rsidRPr="003F6655">
              <w:rPr>
                <w:rStyle w:val="FootnoteReference"/>
                <w:lang w:val="en-GB"/>
              </w:rPr>
              <w:footnoteReference w:id="17"/>
            </w:r>
            <w:bookmarkEnd w:id="2"/>
            <w:r w:rsidRPr="003F6655">
              <w:rPr>
                <w:lang w:val="en-GB"/>
              </w:rPr>
              <w:t xml:space="preserve"> this proportion was even higher at 81%.</w:t>
            </w:r>
          </w:p>
          <w:p w:rsidR="00DD741F" w:rsidRPr="003F6655" w:rsidRDefault="00DD741F" w:rsidP="004D7287">
            <w:pPr>
              <w:spacing w:line="276" w:lineRule="auto"/>
              <w:ind w:left="1162"/>
              <w:jc w:val="both"/>
              <w:rPr>
                <w:b/>
                <w:i/>
                <w:lang w:val="en-GB"/>
              </w:rPr>
            </w:pPr>
          </w:p>
          <w:p w:rsidR="00DD741F" w:rsidRPr="003F6655" w:rsidRDefault="00DD741F" w:rsidP="004D7287">
            <w:pPr>
              <w:spacing w:line="276" w:lineRule="auto"/>
              <w:ind w:left="1162"/>
              <w:jc w:val="both"/>
              <w:rPr>
                <w:lang w:val="en-GB"/>
              </w:rPr>
            </w:pPr>
            <w:r w:rsidRPr="003F6655">
              <w:rPr>
                <w:b/>
                <w:i/>
                <w:lang w:val="en-GB"/>
              </w:rPr>
              <w:t>Thirdly,</w:t>
            </w:r>
            <w:r w:rsidRPr="003F6655">
              <w:rPr>
                <w:lang w:val="en-GB"/>
              </w:rPr>
              <w:t xml:space="preserve"> demand for mobile broadband is expected to grow strongly over the next 10 years with enhanced mobile multimedia driving the growth. </w:t>
            </w:r>
            <w:fldSimple w:instr=" REF _Ref294705498 \h  \* MERGEFORMAT ">
              <w:r w:rsidRPr="003F6655">
                <w:rPr>
                  <w:lang w:val="en-GB"/>
                </w:rPr>
                <w:t xml:space="preserve">Figure </w:t>
              </w:r>
              <w:r w:rsidRPr="003F6655">
                <w:rPr>
                  <w:noProof/>
                  <w:lang w:val="en-GB"/>
                </w:rPr>
                <w:t>4.3.5</w:t>
              </w:r>
              <w:r w:rsidRPr="003F6655">
                <w:rPr>
                  <w:lang w:val="en-GB"/>
                </w:rPr>
                <w:noBreakHyphen/>
              </w:r>
              <w:r w:rsidRPr="003F6655">
                <w:rPr>
                  <w:noProof/>
                  <w:lang w:val="en-GB"/>
                </w:rPr>
                <w:t>1</w:t>
              </w:r>
            </w:fldSimple>
            <w:r w:rsidRPr="003F6655">
              <w:rPr>
                <w:lang w:val="en-GB"/>
              </w:rPr>
              <w:t xml:space="preserve"> shows the findings from four published sources. In Europe, mobile broadband traffic carried over mobile networks is forecasted to grow between 14 and 29 fold over the period 2010 to 2015. European mobile revenue was approximately €165 billion in 2008</w:t>
            </w:r>
            <w:r w:rsidRPr="003F6655">
              <w:rPr>
                <w:rStyle w:val="FootnoteReference"/>
                <w:lang w:val="en-GB"/>
              </w:rPr>
              <w:footnoteReference w:id="18"/>
            </w:r>
            <w:r w:rsidRPr="003F6655">
              <w:rPr>
                <w:lang w:val="en-GB"/>
              </w:rPr>
              <w:t>. Mobile data revenues are likely to form an increasingly significant proportion of mobile revenue. Nomura forecasts European mobile dongle and smartphone data revenue to grow from around €4 billion in 2007 to €15 billion by 2012</w:t>
            </w:r>
            <w:r w:rsidRPr="003F6655">
              <w:rPr>
                <w:rStyle w:val="FootnoteReference"/>
                <w:lang w:val="en-GB"/>
              </w:rPr>
              <w:footnoteReference w:id="19"/>
            </w:r>
            <w:r w:rsidRPr="003F6655">
              <w:rPr>
                <w:lang w:val="en-GB"/>
              </w:rPr>
              <w:t xml:space="preserve">. If this growth rate were to continue, the mobile data market would amount to approximately €70 billion by 2020. </w:t>
            </w:r>
          </w:p>
          <w:p w:rsidR="00DD741F" w:rsidRPr="003F6655" w:rsidRDefault="00DD741F" w:rsidP="00C04E5D">
            <w:pPr>
              <w:ind w:left="1080"/>
              <w:jc w:val="both"/>
              <w:rPr>
                <w:b/>
                <w:i/>
                <w:lang w:val="en-GB"/>
              </w:rPr>
            </w:pPr>
          </w:p>
          <w:p w:rsidR="00DD741F" w:rsidRPr="003F6655" w:rsidRDefault="00DD741F" w:rsidP="00B50140">
            <w:pPr>
              <w:ind w:left="1080"/>
              <w:jc w:val="center"/>
              <w:rPr>
                <w:noProof/>
                <w:lang w:val="en-GB"/>
              </w:rPr>
            </w:pPr>
            <w:r w:rsidRPr="004E0406">
              <w:rPr>
                <w:noProof/>
              </w:rPr>
              <w:pict>
                <v:shape id="Picture 8" o:spid="_x0000_i1028" type="#_x0000_t75" style="width:315pt;height:201pt;visibility:visible">
                  <v:imagedata r:id="rId10" o:title=""/>
                </v:shape>
              </w:pict>
            </w:r>
          </w:p>
          <w:p w:rsidR="00DD741F" w:rsidRPr="003F6655" w:rsidRDefault="00DD741F" w:rsidP="00C04E5D">
            <w:pPr>
              <w:ind w:left="1080"/>
              <w:jc w:val="center"/>
              <w:rPr>
                <w:b/>
                <w:i/>
                <w:lang w:val="en-GB"/>
              </w:rPr>
            </w:pPr>
          </w:p>
          <w:p w:rsidR="00DD741F" w:rsidRPr="003F6655" w:rsidRDefault="00DD741F" w:rsidP="004D7287">
            <w:pPr>
              <w:pStyle w:val="FigureCaption"/>
              <w:ind w:left="1162"/>
              <w:jc w:val="center"/>
              <w:rPr>
                <w:rFonts w:ascii="Times New Roman" w:hAnsi="Times New Roman"/>
                <w:color w:val="auto"/>
                <w:sz w:val="24"/>
              </w:rPr>
            </w:pPr>
            <w:bookmarkStart w:id="3" w:name="_Ref294705498"/>
            <w:r w:rsidRPr="003F6655">
              <w:rPr>
                <w:rFonts w:ascii="Times New Roman" w:hAnsi="Times New Roman"/>
                <w:color w:val="auto"/>
                <w:sz w:val="24"/>
              </w:rPr>
              <w:t>Figure 4.3.5-1</w:t>
            </w:r>
            <w:bookmarkEnd w:id="3"/>
            <w:r w:rsidRPr="003F6655">
              <w:rPr>
                <w:rFonts w:ascii="Times New Roman" w:hAnsi="Times New Roman"/>
                <w:color w:val="auto"/>
                <w:sz w:val="24"/>
              </w:rPr>
              <w:t>: Global mobile data to 2015 – PB per month</w:t>
            </w:r>
            <w:r w:rsidRPr="003F6655">
              <w:rPr>
                <w:rStyle w:val="FootnoteReference"/>
                <w:rFonts w:ascii="Times New Roman" w:hAnsi="Times New Roman"/>
                <w:color w:val="auto"/>
                <w:sz w:val="24"/>
              </w:rPr>
              <w:footnoteReference w:id="20"/>
            </w:r>
            <w:r w:rsidRPr="003F6655">
              <w:rPr>
                <w:rFonts w:ascii="Times New Roman" w:hAnsi="Times New Roman"/>
                <w:color w:val="auto"/>
                <w:sz w:val="24"/>
              </w:rPr>
              <w:t xml:space="preserve"> - four published sources compared.</w:t>
            </w:r>
          </w:p>
          <w:p w:rsidR="00DD741F" w:rsidRPr="003F6655" w:rsidRDefault="00DD741F" w:rsidP="004D7287">
            <w:pPr>
              <w:spacing w:line="276" w:lineRule="auto"/>
              <w:ind w:left="1162"/>
              <w:jc w:val="both"/>
              <w:rPr>
                <w:b/>
                <w:i/>
                <w:lang w:val="en-GB"/>
              </w:rPr>
            </w:pPr>
          </w:p>
          <w:p w:rsidR="00DD741F" w:rsidRPr="003F6655" w:rsidRDefault="00DD741F" w:rsidP="004D7287">
            <w:pPr>
              <w:spacing w:line="276" w:lineRule="auto"/>
              <w:ind w:left="1162"/>
              <w:jc w:val="both"/>
              <w:rPr>
                <w:b/>
                <w:i/>
                <w:lang w:val="en-GB"/>
              </w:rPr>
            </w:pPr>
          </w:p>
          <w:p w:rsidR="00DD741F" w:rsidRPr="003F6655" w:rsidRDefault="00DD741F" w:rsidP="004D7287">
            <w:pPr>
              <w:spacing w:line="276" w:lineRule="auto"/>
              <w:ind w:left="1162"/>
              <w:jc w:val="both"/>
              <w:rPr>
                <w:lang w:val="en-GB"/>
              </w:rPr>
            </w:pPr>
            <w:r w:rsidRPr="003F6655">
              <w:rPr>
                <w:b/>
                <w:i/>
                <w:lang w:val="en-GB"/>
              </w:rPr>
              <w:t>Fourthly,</w:t>
            </w:r>
            <w:r w:rsidRPr="003F6655">
              <w:rPr>
                <w:lang w:val="en-GB"/>
              </w:rPr>
              <w:t xml:space="preserve"> the increase in mobile network speeds and capabilities leads to an enhanced user experience which drives greater demand for multimedia services. Where current mobile data speeds are constraining demand for multimedia services, demand will increase as the capability of networks is improved. </w:t>
            </w:r>
          </w:p>
          <w:p w:rsidR="00DD741F" w:rsidRPr="003F6655" w:rsidRDefault="00DD741F" w:rsidP="004D7287">
            <w:pPr>
              <w:spacing w:line="276" w:lineRule="auto"/>
              <w:ind w:left="1162"/>
              <w:jc w:val="both"/>
              <w:rPr>
                <w:b/>
                <w:i/>
                <w:lang w:val="en-GB"/>
              </w:rPr>
            </w:pPr>
          </w:p>
          <w:p w:rsidR="00DD741F" w:rsidRPr="003F6655" w:rsidRDefault="00DD741F" w:rsidP="004D7287">
            <w:pPr>
              <w:spacing w:line="276" w:lineRule="auto"/>
              <w:ind w:left="1162"/>
              <w:jc w:val="both"/>
              <w:rPr>
                <w:lang w:val="en-GB"/>
              </w:rPr>
            </w:pPr>
            <w:r w:rsidRPr="003F6655">
              <w:rPr>
                <w:b/>
                <w:i/>
                <w:lang w:val="en-GB"/>
              </w:rPr>
              <w:t>Fifthly,</w:t>
            </w:r>
            <w:r w:rsidRPr="003F6655">
              <w:rPr>
                <w:lang w:val="en-GB"/>
              </w:rPr>
              <w:t xml:space="preserve"> the installed base of smart phones is growing rapidly as illustrated in </w:t>
            </w:r>
            <w:fldSimple w:instr=" REF _Ref294087871  \* MERGEFORMAT ">
              <w:r w:rsidRPr="003F6655">
                <w:rPr>
                  <w:lang w:val="en-GB"/>
                </w:rPr>
                <w:t>Figure 4.3.5-</w:t>
              </w:r>
              <w:r w:rsidRPr="003F6655">
                <w:rPr>
                  <w:noProof/>
                  <w:lang w:val="en-GB"/>
                </w:rPr>
                <w:t>2</w:t>
              </w:r>
            </w:fldSimple>
            <w:r w:rsidRPr="003F6655">
              <w:rPr>
                <w:lang w:val="en-GB"/>
              </w:rPr>
              <w:t xml:space="preserve">. Such phones support enhanced mobile multimedia capability. The recent explosive growth in demand for tablets, , could further stimulate demand for mobile multimedia. . </w:t>
            </w:r>
          </w:p>
          <w:p w:rsidR="00DD741F" w:rsidRPr="003F6655" w:rsidRDefault="00DD741F" w:rsidP="004D7287">
            <w:pPr>
              <w:pStyle w:val="BodyText"/>
              <w:jc w:val="center"/>
              <w:rPr>
                <w:rFonts w:ascii="Times New Roman" w:hAnsi="Times New Roman"/>
                <w:noProof/>
                <w:lang w:eastAsia="fr-FR"/>
              </w:rPr>
            </w:pPr>
            <w:r w:rsidRPr="004F2CCE">
              <w:rPr>
                <w:rFonts w:ascii="Times New Roman" w:hAnsi="Times New Roman"/>
                <w:noProof/>
                <w:lang w:val="fr-FR" w:eastAsia="fr-FR"/>
              </w:rPr>
              <w:pict>
                <v:shape id="Picture 9" o:spid="_x0000_i1029" type="#_x0000_t75" style="width:342pt;height:179.25pt;visibility:visible">
                  <v:imagedata r:id="rId11" o:title=""/>
                </v:shape>
              </w:pict>
            </w:r>
          </w:p>
          <w:p w:rsidR="00DD741F" w:rsidRPr="003F6655" w:rsidRDefault="00DD741F" w:rsidP="004D7287">
            <w:pPr>
              <w:pStyle w:val="FigureCaption"/>
              <w:jc w:val="center"/>
              <w:rPr>
                <w:rFonts w:ascii="Times New Roman" w:hAnsi="Times New Roman"/>
                <w:color w:val="auto"/>
                <w:sz w:val="24"/>
              </w:rPr>
            </w:pPr>
            <w:bookmarkStart w:id="4" w:name="_Ref294087871"/>
            <w:r w:rsidRPr="003F6655">
              <w:rPr>
                <w:rFonts w:ascii="Times New Roman" w:hAnsi="Times New Roman"/>
                <w:color w:val="auto"/>
                <w:sz w:val="24"/>
              </w:rPr>
              <w:t>Figure 4.3.5</w:t>
            </w:r>
            <w:r w:rsidRPr="003F6655">
              <w:rPr>
                <w:rFonts w:ascii="Times New Roman" w:hAnsi="Times New Roman"/>
                <w:color w:val="auto"/>
                <w:sz w:val="24"/>
              </w:rPr>
              <w:noBreakHyphen/>
            </w:r>
            <w:r w:rsidRPr="003F6655">
              <w:rPr>
                <w:rFonts w:ascii="Times New Roman" w:hAnsi="Times New Roman"/>
                <w:color w:val="auto"/>
                <w:sz w:val="24"/>
              </w:rPr>
              <w:fldChar w:fldCharType="begin"/>
            </w:r>
            <w:r w:rsidRPr="003F6655">
              <w:rPr>
                <w:rFonts w:ascii="Times New Roman" w:hAnsi="Times New Roman"/>
                <w:color w:val="auto"/>
                <w:sz w:val="24"/>
              </w:rPr>
              <w:instrText xml:space="preserve"> SEQ Figure \* ARABIC \s 1 </w:instrText>
            </w:r>
            <w:r w:rsidRPr="003F6655">
              <w:rPr>
                <w:rFonts w:ascii="Times New Roman" w:hAnsi="Times New Roman"/>
                <w:color w:val="auto"/>
                <w:sz w:val="24"/>
              </w:rPr>
              <w:fldChar w:fldCharType="separate"/>
            </w:r>
            <w:r w:rsidRPr="003F6655">
              <w:rPr>
                <w:rFonts w:ascii="Times New Roman" w:hAnsi="Times New Roman"/>
                <w:noProof/>
                <w:color w:val="auto"/>
                <w:sz w:val="24"/>
              </w:rPr>
              <w:t>2</w:t>
            </w:r>
            <w:r w:rsidRPr="003F6655">
              <w:rPr>
                <w:rFonts w:ascii="Times New Roman" w:hAnsi="Times New Roman"/>
                <w:color w:val="auto"/>
                <w:sz w:val="24"/>
              </w:rPr>
              <w:fldChar w:fldCharType="end"/>
            </w:r>
            <w:bookmarkEnd w:id="4"/>
            <w:r w:rsidRPr="003F6655">
              <w:rPr>
                <w:rFonts w:ascii="Times New Roman" w:hAnsi="Times New Roman"/>
                <w:color w:val="auto"/>
                <w:sz w:val="24"/>
              </w:rPr>
              <w:t>: The growth in the share of smartphones in Europe.</w:t>
            </w:r>
            <w:bookmarkStart w:id="5" w:name="_Ref294702614"/>
            <w:bookmarkStart w:id="6" w:name="_Toc295140258"/>
          </w:p>
          <w:p w:rsidR="00DD741F" w:rsidRPr="003F6655" w:rsidRDefault="00DD741F" w:rsidP="004D7287">
            <w:pPr>
              <w:spacing w:line="276" w:lineRule="auto"/>
              <w:jc w:val="both"/>
              <w:rPr>
                <w:u w:val="single"/>
                <w:lang w:val="en-GB"/>
              </w:rPr>
            </w:pPr>
          </w:p>
          <w:p w:rsidR="00DD741F" w:rsidRPr="003F6655" w:rsidRDefault="00DD741F" w:rsidP="004D7287">
            <w:pPr>
              <w:spacing w:line="276" w:lineRule="auto"/>
              <w:ind w:left="1162"/>
              <w:jc w:val="both"/>
              <w:rPr>
                <w:lang w:val="en-GB"/>
              </w:rPr>
            </w:pPr>
            <w:r w:rsidRPr="003F6655">
              <w:rPr>
                <w:u w:val="single"/>
                <w:lang w:val="en-GB"/>
              </w:rPr>
              <w:t>The significant and growing market demand for Mobile Multimedia, as previously anticipated, has to be coupled with the  highly asymmetric</w:t>
            </w:r>
            <w:bookmarkEnd w:id="5"/>
            <w:bookmarkEnd w:id="6"/>
            <w:r w:rsidRPr="003F6655">
              <w:rPr>
                <w:u w:val="single"/>
                <w:lang w:val="en-GB"/>
              </w:rPr>
              <w:t xml:space="preserve"> nature of the mobile traffic (detailed below) leading to a strong market demand for MMDL and thus strong potential for economies of scale.</w:t>
            </w:r>
          </w:p>
          <w:p w:rsidR="00DD741F" w:rsidRPr="003F6655" w:rsidRDefault="00DD741F" w:rsidP="004D7287">
            <w:pPr>
              <w:spacing w:line="276" w:lineRule="auto"/>
              <w:ind w:left="1162"/>
              <w:jc w:val="both"/>
              <w:rPr>
                <w:lang w:val="en-GB"/>
              </w:rPr>
            </w:pPr>
          </w:p>
          <w:p w:rsidR="00DD741F" w:rsidRDefault="00DD741F" w:rsidP="004D7287">
            <w:pPr>
              <w:spacing w:line="276" w:lineRule="auto"/>
              <w:ind w:left="1162"/>
              <w:jc w:val="both"/>
              <w:rPr>
                <w:lang w:val="en-GB"/>
              </w:rPr>
            </w:pPr>
            <w:r w:rsidRPr="003F6655">
              <w:rPr>
                <w:lang w:val="en-GB"/>
              </w:rPr>
              <w:t xml:space="preserve">Mobile users download much more data than they upload – for example downloads of videos, photos, music, maps, applications etc.  This means, mobile broadband traffic is mainly carried by the downlink (see </w:t>
            </w:r>
            <w:fldSimple w:instr=" REF _Ref293050138  \* MERGEFORMAT ">
              <w:r w:rsidRPr="003F6655">
                <w:rPr>
                  <w:lang w:val="en-GB"/>
                </w:rPr>
                <w:t>Figure 4.3.5-</w:t>
              </w:r>
              <w:r w:rsidRPr="003F6655">
                <w:rPr>
                  <w:noProof/>
                  <w:lang w:val="en-GB"/>
                </w:rPr>
                <w:t>3</w:t>
              </w:r>
            </w:fldSimple>
            <w:r w:rsidRPr="003F6655">
              <w:rPr>
                <w:lang w:val="en-GB"/>
              </w:rPr>
              <w:t>).  There are no comprehensive sources of data on the ratio of downlink (DL) to uplink (UL) traffic.  A number of studies involving traffic measurements suggest values for the ratio of the downlink to uplink traffic of between 4:1 and 9:1</w:t>
            </w:r>
            <w:r w:rsidRPr="003F6655">
              <w:rPr>
                <w:rStyle w:val="FootnoteReference"/>
                <w:lang w:val="en-GB"/>
              </w:rPr>
              <w:footnoteReference w:id="21"/>
            </w:r>
            <w:r w:rsidRPr="003F6655">
              <w:rPr>
                <w:lang w:val="en-GB"/>
              </w:rPr>
              <w:t xml:space="preserve">. </w:t>
            </w:r>
          </w:p>
          <w:p w:rsidR="00DD741F" w:rsidRDefault="00DD741F" w:rsidP="004D7287">
            <w:pPr>
              <w:spacing w:line="276" w:lineRule="auto"/>
              <w:ind w:left="1162"/>
              <w:jc w:val="both"/>
              <w:rPr>
                <w:lang w:val="en-GB"/>
              </w:rPr>
            </w:pPr>
          </w:p>
          <w:p w:rsidR="00DD741F" w:rsidRPr="003F6655" w:rsidRDefault="00DD741F" w:rsidP="00B73EC7">
            <w:pPr>
              <w:spacing w:line="276" w:lineRule="auto"/>
              <w:jc w:val="both"/>
              <w:rPr>
                <w:u w:val="single"/>
                <w:lang w:val="en-GB"/>
              </w:rPr>
            </w:pPr>
          </w:p>
          <w:p w:rsidR="00DD741F" w:rsidRPr="004D7287" w:rsidRDefault="00DD741F" w:rsidP="001A112B">
            <w:pPr>
              <w:pStyle w:val="BodyText"/>
              <w:ind w:left="1792" w:hanging="360"/>
              <w:jc w:val="center"/>
              <w:rPr>
                <w:rFonts w:ascii="Times New Roman" w:hAnsi="Times New Roman"/>
              </w:rPr>
            </w:pPr>
            <w:r w:rsidRPr="004F2CCE">
              <w:rPr>
                <w:rFonts w:ascii="Times New Roman" w:hAnsi="Times New Roman"/>
                <w:noProof/>
                <w:lang w:val="fr-FR" w:eastAsia="fr-FR"/>
              </w:rPr>
              <w:pict>
                <v:shape id="Picture 11" o:spid="_x0000_i1030" type="#_x0000_t75" style="width:290.25pt;height:179.25pt;visibility:visible">
                  <v:imagedata r:id="rId12" o:title=""/>
                </v:shape>
              </w:pict>
            </w:r>
          </w:p>
          <w:p w:rsidR="00DD741F" w:rsidRPr="00B73EC7" w:rsidRDefault="00DD741F" w:rsidP="00B73EC7">
            <w:pPr>
              <w:pStyle w:val="FigureCaption"/>
              <w:ind w:left="1882"/>
              <w:jc w:val="center"/>
              <w:rPr>
                <w:rFonts w:ascii="Times New Roman" w:hAnsi="Times New Roman"/>
                <w:color w:val="auto"/>
                <w:sz w:val="24"/>
              </w:rPr>
            </w:pPr>
            <w:bookmarkStart w:id="7" w:name="_Ref293050138"/>
            <w:r w:rsidRPr="004D7287">
              <w:rPr>
                <w:rFonts w:ascii="Times New Roman" w:hAnsi="Times New Roman"/>
                <w:color w:val="auto"/>
                <w:sz w:val="24"/>
              </w:rPr>
              <w:t xml:space="preserve">Figure </w:t>
            </w:r>
            <w:bookmarkEnd w:id="7"/>
            <w:r w:rsidRPr="004D7287">
              <w:rPr>
                <w:rFonts w:ascii="Times New Roman" w:hAnsi="Times New Roman"/>
                <w:color w:val="auto"/>
                <w:sz w:val="24"/>
              </w:rPr>
              <w:t>4.5.3-3</w:t>
            </w:r>
            <w:r w:rsidRPr="004D7287">
              <w:rPr>
                <w:rStyle w:val="FootnoteReference"/>
                <w:rFonts w:ascii="Times New Roman" w:hAnsi="Times New Roman"/>
                <w:color w:val="auto"/>
                <w:sz w:val="24"/>
              </w:rPr>
              <w:footnoteReference w:id="22"/>
            </w:r>
            <w:r w:rsidRPr="004D7287">
              <w:rPr>
                <w:rFonts w:ascii="Times New Roman" w:hAnsi="Times New Roman"/>
                <w:color w:val="auto"/>
                <w:sz w:val="24"/>
              </w:rPr>
              <w:t xml:space="preserve">: Mobile downlink traffic </w:t>
            </w:r>
            <w:r>
              <w:rPr>
                <w:rFonts w:ascii="Times New Roman" w:hAnsi="Times New Roman"/>
                <w:color w:val="auto"/>
                <w:sz w:val="24"/>
              </w:rPr>
              <w:t>as a multiple of uplink traffic</w:t>
            </w:r>
          </w:p>
          <w:p w:rsidR="00DD741F" w:rsidRPr="00B73EC7" w:rsidRDefault="00DD741F" w:rsidP="00B73EC7">
            <w:pPr>
              <w:pStyle w:val="AfterTable"/>
              <w:spacing w:line="276" w:lineRule="auto"/>
              <w:ind w:left="1072"/>
              <w:jc w:val="both"/>
              <w:rPr>
                <w:rFonts w:ascii="Times New Roman" w:hAnsi="Times New Roman"/>
                <w:sz w:val="24"/>
              </w:rPr>
            </w:pPr>
            <w:r w:rsidRPr="004D7287">
              <w:rPr>
                <w:rFonts w:ascii="Times New Roman" w:hAnsi="Times New Roman"/>
                <w:sz w:val="24"/>
              </w:rPr>
              <w:t>In order to calculate the downlink to uplink ratios in the next five years, estimates of the proportion of downlink traffic by application have been taken and then these proportions have been weighted by the application mix of mobile data traffic (as estimated by Allot for 2010</w:t>
            </w:r>
            <w:r w:rsidRPr="004D7287">
              <w:rPr>
                <w:rStyle w:val="FootnoteReference"/>
                <w:rFonts w:ascii="Times New Roman" w:hAnsi="Times New Roman"/>
                <w:sz w:val="24"/>
              </w:rPr>
              <w:footnoteReference w:id="23"/>
            </w:r>
            <w:r w:rsidRPr="004D7287">
              <w:rPr>
                <w:rFonts w:ascii="Times New Roman" w:hAnsi="Times New Roman"/>
                <w:sz w:val="24"/>
              </w:rPr>
              <w:t xml:space="preserve"> and by Cisco for 2010 and 2015</w:t>
            </w:r>
            <w:r w:rsidRPr="004D7287">
              <w:rPr>
                <w:rStyle w:val="FootnoteReference"/>
                <w:rFonts w:ascii="Times New Roman" w:hAnsi="Times New Roman"/>
                <w:sz w:val="24"/>
              </w:rPr>
              <w:footnoteReference w:id="24"/>
            </w:r>
            <w:r w:rsidRPr="004D7287">
              <w:rPr>
                <w:rFonts w:ascii="Times New Roman" w:hAnsi="Times New Roman"/>
                <w:sz w:val="24"/>
              </w:rPr>
              <w:t xml:space="preserve">).  The results are shown in </w:t>
            </w:r>
            <w:fldSimple w:instr=" REF _Ref293050156  \* MERGEFORMAT ">
              <w:r w:rsidRPr="004D7287">
                <w:rPr>
                  <w:rFonts w:ascii="Times New Roman" w:hAnsi="Times New Roman"/>
                  <w:sz w:val="24"/>
                </w:rPr>
                <w:t>Table 4.</w:t>
              </w:r>
              <w:r>
                <w:rPr>
                  <w:rFonts w:ascii="Times New Roman" w:hAnsi="Times New Roman"/>
                  <w:sz w:val="24"/>
                </w:rPr>
                <w:t>3</w:t>
              </w:r>
              <w:r w:rsidRPr="004D7287">
                <w:rPr>
                  <w:rFonts w:ascii="Times New Roman" w:hAnsi="Times New Roman"/>
                  <w:sz w:val="24"/>
                </w:rPr>
                <w:t>.</w:t>
              </w:r>
              <w:r>
                <w:rPr>
                  <w:rFonts w:ascii="Times New Roman" w:hAnsi="Times New Roman"/>
                  <w:sz w:val="24"/>
                </w:rPr>
                <w:t>5</w:t>
              </w:r>
              <w:r w:rsidRPr="004D7287">
                <w:rPr>
                  <w:rFonts w:ascii="Times New Roman" w:hAnsi="Times New Roman"/>
                  <w:sz w:val="24"/>
                </w:rPr>
                <w:noBreakHyphen/>
              </w:r>
              <w:r w:rsidRPr="004D7287">
                <w:rPr>
                  <w:rFonts w:ascii="Times New Roman" w:hAnsi="Times New Roman"/>
                  <w:noProof/>
                  <w:sz w:val="24"/>
                </w:rPr>
                <w:t>1</w:t>
              </w:r>
            </w:fldSimple>
            <w:r w:rsidRPr="004D7287">
              <w:rPr>
                <w:rFonts w:ascii="Times New Roman" w:hAnsi="Times New Roman"/>
                <w:sz w:val="24"/>
              </w:rPr>
              <w:t xml:space="preserve">.  They suggest that the current ratio of downlink to uplink traffic is around 6:1 and that this could rise to 10:1 over the next five years, as the proportion of video traffic in the total mobile traffic grows. </w:t>
            </w:r>
          </w:p>
          <w:tbl>
            <w:tblPr>
              <w:tblW w:w="8171" w:type="dxa"/>
              <w:tblInd w:w="106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57" w:type="dxa"/>
                <w:left w:w="170" w:type="dxa"/>
                <w:bottom w:w="57" w:type="dxa"/>
                <w:right w:w="170" w:type="dxa"/>
              </w:tblCellMar>
              <w:tblLook w:val="01E0"/>
            </w:tblPr>
            <w:tblGrid>
              <w:gridCol w:w="2161"/>
              <w:gridCol w:w="1084"/>
              <w:gridCol w:w="1619"/>
              <w:gridCol w:w="1709"/>
              <w:gridCol w:w="1598"/>
            </w:tblGrid>
            <w:tr w:rsidR="00DD741F" w:rsidRPr="0015327D" w:rsidTr="00B73EC7">
              <w:trPr>
                <w:cantSplit/>
              </w:trPr>
              <w:tc>
                <w:tcPr>
                  <w:tcW w:w="1322" w:type="pct"/>
                  <w:tcBorders>
                    <w:top w:val="single" w:sz="2" w:space="0" w:color="FFFFFF"/>
                    <w:left w:val="single" w:sz="2" w:space="0" w:color="FFFFFF"/>
                    <w:bottom w:val="single" w:sz="2" w:space="0" w:color="FFFFFF"/>
                    <w:right w:val="single" w:sz="2" w:space="0" w:color="FFFFFF"/>
                  </w:tcBorders>
                  <w:shd w:val="clear" w:color="auto" w:fill="DCDDDE"/>
                </w:tcPr>
                <w:p w:rsidR="00DD741F" w:rsidRPr="003F6655" w:rsidRDefault="00DD741F" w:rsidP="003F1641">
                  <w:pPr>
                    <w:spacing w:after="60"/>
                    <w:rPr>
                      <w:sz w:val="20"/>
                      <w:szCs w:val="20"/>
                      <w:lang w:val="en-GB"/>
                    </w:rPr>
                  </w:pPr>
                </w:p>
              </w:tc>
              <w:tc>
                <w:tcPr>
                  <w:tcW w:w="66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 downlink</w:t>
                  </w:r>
                </w:p>
              </w:tc>
              <w:tc>
                <w:tcPr>
                  <w:tcW w:w="991"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 Traffic</w:t>
                  </w:r>
                </w:p>
                <w:p w:rsidR="00DD741F" w:rsidRPr="0015327D" w:rsidRDefault="00DD741F" w:rsidP="003F1641">
                  <w:pPr>
                    <w:spacing w:after="60"/>
                    <w:rPr>
                      <w:sz w:val="20"/>
                      <w:szCs w:val="20"/>
                      <w:lang w:val="en-GB"/>
                    </w:rPr>
                  </w:pPr>
                  <w:r w:rsidRPr="0015327D">
                    <w:rPr>
                      <w:sz w:val="20"/>
                      <w:szCs w:val="20"/>
                      <w:lang w:val="en-GB"/>
                    </w:rPr>
                    <w:t>Allot 2010</w:t>
                  </w:r>
                </w:p>
              </w:tc>
              <w:tc>
                <w:tcPr>
                  <w:tcW w:w="1046"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 Traffic</w:t>
                  </w:r>
                </w:p>
                <w:p w:rsidR="00DD741F" w:rsidRPr="0015327D" w:rsidRDefault="00DD741F" w:rsidP="003F1641">
                  <w:pPr>
                    <w:spacing w:after="60"/>
                    <w:rPr>
                      <w:sz w:val="20"/>
                      <w:szCs w:val="20"/>
                      <w:lang w:val="en-GB"/>
                    </w:rPr>
                  </w:pPr>
                  <w:r w:rsidRPr="0015327D">
                    <w:rPr>
                      <w:sz w:val="20"/>
                      <w:szCs w:val="20"/>
                      <w:lang w:val="en-GB"/>
                    </w:rPr>
                    <w:t>Cisco 2010</w:t>
                  </w:r>
                </w:p>
              </w:tc>
              <w:tc>
                <w:tcPr>
                  <w:tcW w:w="978"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 Traffic</w:t>
                  </w:r>
                </w:p>
                <w:p w:rsidR="00DD741F" w:rsidRPr="0015327D" w:rsidRDefault="00DD741F" w:rsidP="003F1641">
                  <w:pPr>
                    <w:spacing w:after="60"/>
                    <w:rPr>
                      <w:sz w:val="20"/>
                      <w:szCs w:val="20"/>
                      <w:lang w:val="en-GB"/>
                    </w:rPr>
                  </w:pPr>
                  <w:r w:rsidRPr="0015327D">
                    <w:rPr>
                      <w:sz w:val="20"/>
                      <w:szCs w:val="20"/>
                      <w:lang w:val="en-GB"/>
                    </w:rPr>
                    <w:t>Cisco 2015</w:t>
                  </w:r>
                </w:p>
              </w:tc>
            </w:tr>
            <w:tr w:rsidR="00DD741F" w:rsidRPr="0015327D" w:rsidTr="00B73EC7">
              <w:trPr>
                <w:cantSplit/>
              </w:trPr>
              <w:tc>
                <w:tcPr>
                  <w:tcW w:w="1322"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Web browsing/e-mail</w:t>
                  </w:r>
                </w:p>
              </w:tc>
              <w:tc>
                <w:tcPr>
                  <w:tcW w:w="66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80%</w:t>
                  </w:r>
                </w:p>
              </w:tc>
              <w:tc>
                <w:tcPr>
                  <w:tcW w:w="991"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26%</w:t>
                  </w:r>
                </w:p>
              </w:tc>
              <w:tc>
                <w:tcPr>
                  <w:tcW w:w="1046"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31%</w:t>
                  </w:r>
                </w:p>
              </w:tc>
              <w:tc>
                <w:tcPr>
                  <w:tcW w:w="978"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22%</w:t>
                  </w:r>
                </w:p>
              </w:tc>
            </w:tr>
            <w:tr w:rsidR="00DD741F" w:rsidRPr="0015327D" w:rsidTr="00B73EC7">
              <w:trPr>
                <w:cantSplit/>
              </w:trPr>
              <w:tc>
                <w:tcPr>
                  <w:tcW w:w="1322"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Video</w:t>
                  </w:r>
                </w:p>
              </w:tc>
              <w:tc>
                <w:tcPr>
                  <w:tcW w:w="66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98%</w:t>
                  </w:r>
                </w:p>
              </w:tc>
              <w:tc>
                <w:tcPr>
                  <w:tcW w:w="991"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37%</w:t>
                  </w:r>
                </w:p>
              </w:tc>
              <w:tc>
                <w:tcPr>
                  <w:tcW w:w="1046"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50%</w:t>
                  </w:r>
                </w:p>
              </w:tc>
              <w:tc>
                <w:tcPr>
                  <w:tcW w:w="978"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66%</w:t>
                  </w:r>
                </w:p>
              </w:tc>
            </w:tr>
            <w:tr w:rsidR="00DD741F" w:rsidRPr="0015327D" w:rsidTr="00B73EC7">
              <w:trPr>
                <w:cantSplit/>
              </w:trPr>
              <w:tc>
                <w:tcPr>
                  <w:tcW w:w="1322"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VoIP and IM</w:t>
                  </w:r>
                </w:p>
              </w:tc>
              <w:tc>
                <w:tcPr>
                  <w:tcW w:w="66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50%</w:t>
                  </w:r>
                </w:p>
              </w:tc>
              <w:tc>
                <w:tcPr>
                  <w:tcW w:w="991"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4%</w:t>
                  </w:r>
                </w:p>
              </w:tc>
              <w:tc>
                <w:tcPr>
                  <w:tcW w:w="1046"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2%</w:t>
                  </w:r>
                </w:p>
              </w:tc>
              <w:tc>
                <w:tcPr>
                  <w:tcW w:w="978"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1%</w:t>
                  </w:r>
                </w:p>
              </w:tc>
            </w:tr>
            <w:tr w:rsidR="00DD741F" w:rsidRPr="0015327D" w:rsidTr="00B73EC7">
              <w:trPr>
                <w:cantSplit/>
              </w:trPr>
              <w:tc>
                <w:tcPr>
                  <w:tcW w:w="1322"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File sharing</w:t>
                  </w:r>
                </w:p>
              </w:tc>
              <w:tc>
                <w:tcPr>
                  <w:tcW w:w="66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80%</w:t>
                  </w:r>
                </w:p>
              </w:tc>
              <w:tc>
                <w:tcPr>
                  <w:tcW w:w="991"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30%</w:t>
                  </w:r>
                </w:p>
              </w:tc>
              <w:tc>
                <w:tcPr>
                  <w:tcW w:w="1046"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14%</w:t>
                  </w:r>
                </w:p>
              </w:tc>
              <w:tc>
                <w:tcPr>
                  <w:tcW w:w="978"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6%</w:t>
                  </w:r>
                </w:p>
              </w:tc>
            </w:tr>
            <w:tr w:rsidR="00DD741F" w:rsidRPr="0015327D" w:rsidTr="00B73EC7">
              <w:trPr>
                <w:cantSplit/>
              </w:trPr>
              <w:tc>
                <w:tcPr>
                  <w:tcW w:w="1322"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Other</w:t>
                  </w:r>
                </w:p>
              </w:tc>
              <w:tc>
                <w:tcPr>
                  <w:tcW w:w="66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60%</w:t>
                  </w:r>
                </w:p>
              </w:tc>
              <w:tc>
                <w:tcPr>
                  <w:tcW w:w="991"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3%</w:t>
                  </w:r>
                </w:p>
              </w:tc>
              <w:tc>
                <w:tcPr>
                  <w:tcW w:w="1046"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3%</w:t>
                  </w:r>
                </w:p>
              </w:tc>
              <w:tc>
                <w:tcPr>
                  <w:tcW w:w="978"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5%</w:t>
                  </w:r>
                </w:p>
              </w:tc>
            </w:tr>
            <w:tr w:rsidR="00DD741F" w:rsidRPr="0015327D" w:rsidTr="00B73EC7">
              <w:trPr>
                <w:cantSplit/>
              </w:trPr>
              <w:tc>
                <w:tcPr>
                  <w:tcW w:w="1322"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 in downlink</w:t>
                  </w:r>
                </w:p>
              </w:tc>
              <w:tc>
                <w:tcPr>
                  <w:tcW w:w="66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p>
              </w:tc>
              <w:tc>
                <w:tcPr>
                  <w:tcW w:w="991"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85%</w:t>
                  </w:r>
                </w:p>
              </w:tc>
              <w:tc>
                <w:tcPr>
                  <w:tcW w:w="1046"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88%</w:t>
                  </w:r>
                </w:p>
              </w:tc>
              <w:tc>
                <w:tcPr>
                  <w:tcW w:w="978"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91%</w:t>
                  </w:r>
                </w:p>
              </w:tc>
            </w:tr>
            <w:tr w:rsidR="00DD741F" w:rsidRPr="0015327D" w:rsidTr="00B73EC7">
              <w:trPr>
                <w:cantSplit/>
                <w:trHeight w:val="33"/>
              </w:trPr>
              <w:tc>
                <w:tcPr>
                  <w:tcW w:w="1322"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DL/UL ratio</w:t>
                  </w:r>
                </w:p>
              </w:tc>
              <w:tc>
                <w:tcPr>
                  <w:tcW w:w="663"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p>
              </w:tc>
              <w:tc>
                <w:tcPr>
                  <w:tcW w:w="991"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5.7</w:t>
                  </w:r>
                </w:p>
              </w:tc>
              <w:tc>
                <w:tcPr>
                  <w:tcW w:w="1046"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7.3</w:t>
                  </w:r>
                </w:p>
              </w:tc>
              <w:tc>
                <w:tcPr>
                  <w:tcW w:w="978" w:type="pct"/>
                  <w:tcBorders>
                    <w:top w:val="single" w:sz="2" w:space="0" w:color="FFFFFF"/>
                    <w:left w:val="single" w:sz="2" w:space="0" w:color="FFFFFF"/>
                    <w:bottom w:val="single" w:sz="2" w:space="0" w:color="FFFFFF"/>
                    <w:right w:val="single" w:sz="2" w:space="0" w:color="FFFFFF"/>
                  </w:tcBorders>
                  <w:shd w:val="clear" w:color="auto" w:fill="DCDDDE"/>
                </w:tcPr>
                <w:p w:rsidR="00DD741F" w:rsidRPr="0015327D" w:rsidRDefault="00DD741F" w:rsidP="003F1641">
                  <w:pPr>
                    <w:spacing w:after="60"/>
                    <w:rPr>
                      <w:sz w:val="20"/>
                      <w:szCs w:val="20"/>
                      <w:lang w:val="en-GB"/>
                    </w:rPr>
                  </w:pPr>
                  <w:r w:rsidRPr="0015327D">
                    <w:rPr>
                      <w:sz w:val="20"/>
                      <w:szCs w:val="20"/>
                      <w:lang w:val="en-GB"/>
                    </w:rPr>
                    <w:t>10.1</w:t>
                  </w:r>
                </w:p>
              </w:tc>
            </w:tr>
          </w:tbl>
          <w:p w:rsidR="00DD741F" w:rsidRPr="003F6655" w:rsidRDefault="00DD741F" w:rsidP="004738A9">
            <w:pPr>
              <w:pStyle w:val="BodyText"/>
              <w:ind w:left="1072"/>
              <w:rPr>
                <w:rFonts w:ascii="Times New Roman" w:hAnsi="Times New Roman"/>
                <w:i/>
                <w:sz w:val="18"/>
              </w:rPr>
            </w:pPr>
            <w:r w:rsidRPr="003F6655">
              <w:rPr>
                <w:rFonts w:ascii="Times New Roman" w:hAnsi="Times New Roman"/>
                <w:i/>
                <w:sz w:val="18"/>
              </w:rPr>
              <w:t>Sources: Plum analysis, Cisco (2011), Allot (2010)</w:t>
            </w:r>
          </w:p>
          <w:p w:rsidR="00DD741F" w:rsidRPr="004D7287" w:rsidRDefault="00DD741F" w:rsidP="00DC57FF">
            <w:pPr>
              <w:pStyle w:val="TableCaption"/>
              <w:spacing w:line="276" w:lineRule="auto"/>
              <w:jc w:val="center"/>
              <w:rPr>
                <w:color w:val="auto"/>
              </w:rPr>
            </w:pPr>
            <w:bookmarkStart w:id="8" w:name="_Ref293050156"/>
            <w:r>
              <w:rPr>
                <w:color w:val="auto"/>
              </w:rPr>
              <w:t>Table 4.3.5</w:t>
            </w:r>
            <w:r w:rsidRPr="004D7287">
              <w:rPr>
                <w:color w:val="auto"/>
              </w:rPr>
              <w:noBreakHyphen/>
            </w:r>
            <w:r w:rsidRPr="004D7287">
              <w:rPr>
                <w:color w:val="auto"/>
              </w:rPr>
              <w:fldChar w:fldCharType="begin"/>
            </w:r>
            <w:r w:rsidRPr="004D7287">
              <w:rPr>
                <w:color w:val="auto"/>
              </w:rPr>
              <w:instrText xml:space="preserve"> SEQ Table \* ARABIC \s 1 </w:instrText>
            </w:r>
            <w:r w:rsidRPr="004D7287">
              <w:rPr>
                <w:color w:val="auto"/>
              </w:rPr>
              <w:fldChar w:fldCharType="separate"/>
            </w:r>
            <w:r w:rsidRPr="004D7287">
              <w:rPr>
                <w:noProof/>
                <w:color w:val="auto"/>
              </w:rPr>
              <w:t>1</w:t>
            </w:r>
            <w:r w:rsidRPr="004D7287">
              <w:rPr>
                <w:color w:val="auto"/>
              </w:rPr>
              <w:fldChar w:fldCharType="end"/>
            </w:r>
            <w:bookmarkEnd w:id="8"/>
            <w:r w:rsidRPr="004D7287">
              <w:rPr>
                <w:color w:val="auto"/>
              </w:rPr>
              <w:t>: The ratio of downlink to uplink traffic.</w:t>
            </w:r>
          </w:p>
          <w:p w:rsidR="00DD741F" w:rsidRPr="00A843EA" w:rsidRDefault="00DD741F" w:rsidP="00F92E14">
            <w:pPr>
              <w:jc w:val="both"/>
              <w:rPr>
                <w:lang w:val="en-GB"/>
              </w:rPr>
            </w:pPr>
          </w:p>
          <w:p w:rsidR="00DD741F" w:rsidRPr="00C16AD1" w:rsidRDefault="00DD741F" w:rsidP="001A112B">
            <w:pPr>
              <w:numPr>
                <w:ilvl w:val="0"/>
                <w:numId w:val="22"/>
              </w:numPr>
              <w:ind w:left="1072"/>
              <w:jc w:val="both"/>
              <w:rPr>
                <w:u w:val="single"/>
                <w:lang w:val="en-GB"/>
              </w:rPr>
            </w:pPr>
            <w:r w:rsidRPr="00444C98">
              <w:rPr>
                <w:u w:val="single"/>
                <w:lang w:val="en-GB"/>
              </w:rPr>
              <w:t>Potential for CEPT wide or global harmonization</w:t>
            </w:r>
          </w:p>
          <w:p w:rsidR="00DD741F" w:rsidRPr="00A843EA" w:rsidRDefault="00DD741F" w:rsidP="00F92E14">
            <w:pPr>
              <w:ind w:left="720"/>
              <w:jc w:val="both"/>
              <w:rPr>
                <w:lang w:val="en-GB"/>
              </w:rPr>
            </w:pPr>
          </w:p>
          <w:p w:rsidR="00DD741F" w:rsidRDefault="00DD741F" w:rsidP="001A112B">
            <w:pPr>
              <w:spacing w:line="276" w:lineRule="auto"/>
              <w:ind w:left="1072"/>
              <w:jc w:val="both"/>
              <w:rPr>
                <w:lang w:val="en-GB"/>
              </w:rPr>
            </w:pPr>
            <w:r w:rsidRPr="00A843EA">
              <w:rPr>
                <w:lang w:val="en-GB"/>
              </w:rPr>
              <w:t xml:space="preserve">The allocation of the 1.4 GHz band to broadcasting, and in particular DAB services, has been adopted in numerous countries outside Europe and, as in Europe, DAB services have not been implemented in this band. </w:t>
            </w:r>
            <w:r>
              <w:rPr>
                <w:lang w:val="en-GB"/>
              </w:rPr>
              <w:t xml:space="preserve">In addition, some countries globally are currently considering the future use of the 1452-1492 MHz band for mobile broadband to fulfil their broadband objectives and looking at Europe current activity. </w:t>
            </w:r>
            <w:r w:rsidRPr="00A843EA">
              <w:rPr>
                <w:lang w:val="en-GB"/>
              </w:rPr>
              <w:t xml:space="preserve"> Hence if a European allocation for supplemental downlink is adopted, there is the potential for this allocation to be taken up in these other countries.  </w:t>
            </w:r>
            <w:fldSimple w:instr=" REF _Ref293067993  \* MERGEFORMAT ">
              <w:r w:rsidRPr="00A843EA">
                <w:rPr>
                  <w:lang w:val="en-GB"/>
                </w:rPr>
                <w:t xml:space="preserve">Figure </w:t>
              </w:r>
              <w:r w:rsidRPr="00A843EA">
                <w:rPr>
                  <w:noProof/>
                  <w:lang w:val="en-GB"/>
                </w:rPr>
                <w:t>4</w:t>
              </w:r>
            </w:fldSimple>
            <w:r w:rsidRPr="0015327D">
              <w:rPr>
                <w:lang w:val="en-GB"/>
              </w:rPr>
              <w:t>.3.5-4</w:t>
            </w:r>
            <w:r w:rsidRPr="00A843EA">
              <w:rPr>
                <w:lang w:val="en-GB"/>
              </w:rPr>
              <w:t xml:space="preserve"> shows the countries where this would be possible</w:t>
            </w:r>
            <w:r w:rsidRPr="00F92E14">
              <w:rPr>
                <w:lang w:val="en-GB"/>
              </w:rPr>
              <w:t>.  Taken together with European support this gives significant potential for economies of scale in equipment production and service development to be realised.</w:t>
            </w:r>
          </w:p>
          <w:p w:rsidR="00DD741F" w:rsidRDefault="00DD741F" w:rsidP="00F92E14">
            <w:pPr>
              <w:ind w:left="720"/>
              <w:jc w:val="both"/>
              <w:rPr>
                <w:lang w:val="en-GB"/>
              </w:rPr>
            </w:pPr>
          </w:p>
          <w:p w:rsidR="00DD741F" w:rsidRDefault="00DD741F" w:rsidP="00F92E14">
            <w:pPr>
              <w:ind w:left="720"/>
              <w:jc w:val="center"/>
              <w:rPr>
                <w:lang w:val="en-GB"/>
              </w:rPr>
            </w:pPr>
            <w:r w:rsidRPr="005B0F27">
              <w:rPr>
                <w:noProof/>
                <w:lang w:val="en-US"/>
              </w:rPr>
              <w:object w:dxaOrig="7210" w:dyaOrig="5394">
                <v:shape id="_x0000_i1031" type="#_x0000_t75" style="width:360.75pt;height:270pt" o:ole="">
                  <v:imagedata r:id="rId13" o:title=""/>
                </v:shape>
                <o:OLEObject Type="Embed" ProgID="PowerPoint.Slide.12" ShapeID="_x0000_i1031" DrawAspect="Content" ObjectID="_1383395438" r:id="rId14"/>
              </w:object>
            </w:r>
          </w:p>
          <w:p w:rsidR="00DD741F" w:rsidRDefault="00DD741F" w:rsidP="00F92E14">
            <w:pPr>
              <w:ind w:left="720"/>
              <w:jc w:val="center"/>
              <w:rPr>
                <w:b/>
                <w:lang w:val="en-GB"/>
              </w:rPr>
            </w:pPr>
          </w:p>
          <w:p w:rsidR="00DD741F" w:rsidRPr="00F92E14" w:rsidRDefault="00DD741F" w:rsidP="00F92E14">
            <w:pPr>
              <w:ind w:left="720"/>
              <w:jc w:val="center"/>
              <w:rPr>
                <w:b/>
                <w:lang w:val="en-GB"/>
              </w:rPr>
            </w:pPr>
            <w:r>
              <w:rPr>
                <w:b/>
                <w:lang w:val="en-GB"/>
              </w:rPr>
              <w:t>Figure 4.3.5-4</w:t>
            </w:r>
          </w:p>
          <w:p w:rsidR="00DD741F" w:rsidRDefault="00DD741F" w:rsidP="00F92E14">
            <w:pPr>
              <w:ind w:left="720"/>
              <w:jc w:val="both"/>
              <w:rPr>
                <w:lang w:val="en-GB"/>
              </w:rPr>
            </w:pPr>
          </w:p>
          <w:p w:rsidR="00DD741F" w:rsidRPr="001A112B" w:rsidRDefault="00DD741F" w:rsidP="001A112B">
            <w:pPr>
              <w:numPr>
                <w:ilvl w:val="0"/>
                <w:numId w:val="22"/>
              </w:numPr>
              <w:ind w:left="1072"/>
              <w:jc w:val="both"/>
              <w:rPr>
                <w:u w:val="single"/>
                <w:lang w:val="en-GB"/>
              </w:rPr>
            </w:pPr>
            <w:r w:rsidRPr="001A112B">
              <w:rPr>
                <w:u w:val="single"/>
                <w:lang w:val="en-GB"/>
              </w:rPr>
              <w:t>Required level of harmonization</w:t>
            </w:r>
          </w:p>
          <w:p w:rsidR="00DD741F" w:rsidRDefault="00DD741F" w:rsidP="00F92E14">
            <w:pPr>
              <w:ind w:left="720"/>
              <w:jc w:val="both"/>
              <w:rPr>
                <w:lang w:val="en-GB"/>
              </w:rPr>
            </w:pPr>
          </w:p>
          <w:p w:rsidR="00DD741F" w:rsidRDefault="00DD741F" w:rsidP="001A112B">
            <w:pPr>
              <w:spacing w:line="276" w:lineRule="auto"/>
              <w:ind w:left="1072"/>
              <w:jc w:val="both"/>
              <w:rPr>
                <w:lang w:val="en-GB"/>
              </w:rPr>
            </w:pPr>
            <w:r>
              <w:rPr>
                <w:lang w:val="en-GB"/>
              </w:rPr>
              <w:t>It</w:t>
            </w:r>
            <w:r w:rsidRPr="00F92E14">
              <w:rPr>
                <w:lang w:val="en-GB"/>
              </w:rPr>
              <w:t xml:space="preserve"> is </w:t>
            </w:r>
            <w:r>
              <w:rPr>
                <w:lang w:val="en-GB"/>
              </w:rPr>
              <w:t>key</w:t>
            </w:r>
            <w:r w:rsidRPr="00F92E14">
              <w:rPr>
                <w:lang w:val="en-GB"/>
              </w:rPr>
              <w:t xml:space="preserve"> </w:t>
            </w:r>
            <w:r>
              <w:rPr>
                <w:lang w:val="en-GB"/>
              </w:rPr>
              <w:t>to enable the deployment and development</w:t>
            </w:r>
            <w:r w:rsidRPr="00F92E14">
              <w:rPr>
                <w:lang w:val="en-GB"/>
              </w:rPr>
              <w:t xml:space="preserve"> of MMDL </w:t>
            </w:r>
            <w:r>
              <w:rPr>
                <w:lang w:val="en-GB"/>
              </w:rPr>
              <w:t>for CEPT to harmonise band plan with associated least restrictive technical conditions based on blocks of 5 MHz (i.e. 8 blocks of 5 MHz) for downlink use i.e. base station transmission towards mobile. For the success of MMDL, it is important that thees harmonised technical conditions would be adopted in</w:t>
            </w:r>
            <w:r w:rsidRPr="00F92E14">
              <w:rPr>
                <w:lang w:val="en-GB"/>
              </w:rPr>
              <w:t xml:space="preserve"> large geographic area/population in Europe so that economies of scale in consumer devices and infrastructure equipment production can be realised</w:t>
            </w:r>
          </w:p>
          <w:p w:rsidR="00DD741F" w:rsidRPr="00F92E14" w:rsidRDefault="00DD741F" w:rsidP="00295F8C">
            <w:pPr>
              <w:spacing w:line="276" w:lineRule="auto"/>
              <w:ind w:left="720"/>
              <w:jc w:val="both"/>
              <w:rPr>
                <w:lang w:val="en-GB"/>
              </w:rPr>
            </w:pPr>
            <w:r w:rsidRPr="00F92E14">
              <w:rPr>
                <w:lang w:val="en-GB"/>
              </w:rPr>
              <w:t xml:space="preserve">. </w:t>
            </w:r>
          </w:p>
          <w:p w:rsidR="00DD741F" w:rsidRDefault="00DD741F" w:rsidP="00162DF4">
            <w:pPr>
              <w:spacing w:line="276" w:lineRule="auto"/>
              <w:jc w:val="both"/>
              <w:rPr>
                <w:lang w:val="en-US"/>
              </w:rPr>
            </w:pPr>
          </w:p>
          <w:p w:rsidR="00DD741F" w:rsidRPr="003F6655" w:rsidRDefault="00DD741F" w:rsidP="00162DF4">
            <w:pPr>
              <w:spacing w:line="276" w:lineRule="auto"/>
              <w:jc w:val="both"/>
              <w:rPr>
                <w:lang w:val="en-GB"/>
              </w:rPr>
            </w:pPr>
            <w:r w:rsidRPr="003F6655">
              <w:rPr>
                <w:lang w:val="en-GB"/>
              </w:rPr>
              <w:t>In conclusion, the significant and growing market demand for Mobile Multimedia coupled with the  highly asymmetric nature of the mobile traffic  lead to a strong market demand for MMDL application over supplemental downlink at 1.4GHz in Europe and globally and thus to a strong potential for economies of scale to be realised. CEPT wide and global harmonization contribute further in strengthening the potential for economies of scale in equipment production and service development to be realised. The key requirement is for CEPT to adopt the technical harmonisation measures to enable the development of MMDL. Those technical harmonisation measures include the development of a band plan based formed of 8 blocks of 5 MHz each covering the whole 1452-1492 MHz band for downlink use.</w:t>
            </w:r>
          </w:p>
        </w:tc>
      </w:tr>
    </w:tbl>
    <w:p w:rsidR="00DD741F" w:rsidRPr="00C414C1" w:rsidRDefault="00DD741F" w:rsidP="00AD2834">
      <w:pPr>
        <w:rPr>
          <w:rFonts w:cs="Calibri"/>
          <w:lang w:val="en-US"/>
        </w:rPr>
      </w:pPr>
    </w:p>
    <w:sectPr w:rsidR="00DD741F" w:rsidRPr="00C414C1"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41F" w:rsidRDefault="00DD741F" w:rsidP="001F3A55">
      <w:r>
        <w:separator/>
      </w:r>
    </w:p>
  </w:endnote>
  <w:endnote w:type="continuationSeparator" w:id="0">
    <w:p w:rsidR="00DD741F" w:rsidRDefault="00DD741F"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41F" w:rsidRDefault="00DD741F" w:rsidP="001F3A55">
      <w:r>
        <w:separator/>
      </w:r>
    </w:p>
  </w:footnote>
  <w:footnote w:type="continuationSeparator" w:id="0">
    <w:p w:rsidR="00DD741F" w:rsidRDefault="00DD741F" w:rsidP="001F3A55">
      <w:r>
        <w:continuationSeparator/>
      </w:r>
    </w:p>
  </w:footnote>
  <w:footnote w:id="1">
    <w:p w:rsidR="00DD741F" w:rsidRDefault="00DD741F" w:rsidP="00E86E6C">
      <w:pPr>
        <w:pStyle w:val="FootnoteText"/>
        <w:jc w:val="both"/>
      </w:pPr>
      <w:r w:rsidRPr="00484702">
        <w:rPr>
          <w:rStyle w:val="FootnoteReference"/>
          <w:rFonts w:ascii="Times New Roman" w:hAnsi="Times New Roman"/>
        </w:rPr>
        <w:footnoteRef/>
      </w:r>
      <w:r w:rsidRPr="00484702">
        <w:rPr>
          <w:rFonts w:ascii="Times New Roman" w:hAnsi="Times New Roman"/>
        </w:rPr>
        <w:t xml:space="preserve"> </w:t>
      </w:r>
      <w:r w:rsidRPr="00484702">
        <w:rPr>
          <w:rFonts w:ascii="Times New Roman" w:hAnsi="Times New Roman"/>
          <w:szCs w:val="24"/>
        </w:rPr>
        <w:t>The avoided cost</w:t>
      </w:r>
      <w:r w:rsidRPr="00484702">
        <w:rPr>
          <w:rFonts w:ascii="Times New Roman" w:hAnsi="Times New Roman"/>
        </w:rPr>
        <w:t>s</w:t>
      </w:r>
      <w:r w:rsidRPr="00484702">
        <w:rPr>
          <w:rFonts w:ascii="Times New Roman" w:hAnsi="Times New Roman"/>
          <w:szCs w:val="24"/>
        </w:rPr>
        <w:t xml:space="preserve"> model utilized as well as its key assumptions are detailed section 5 and in </w:t>
      </w:r>
      <w:r w:rsidRPr="00484702">
        <w:rPr>
          <w:rFonts w:ascii="Times New Roman" w:hAnsi="Times New Roman"/>
        </w:rPr>
        <w:t>“</w:t>
      </w:r>
      <w:r w:rsidRPr="00484702">
        <w:rPr>
          <w:rFonts w:ascii="Times New Roman" w:hAnsi="Times New Roman"/>
          <w:szCs w:val="24"/>
        </w:rPr>
        <w:t>Appendix C</w:t>
      </w:r>
      <w:r w:rsidRPr="00484702">
        <w:rPr>
          <w:rFonts w:ascii="Times New Roman" w:hAnsi="Times New Roman"/>
        </w:rPr>
        <w:t>”</w:t>
      </w:r>
      <w:r w:rsidRPr="00484702">
        <w:rPr>
          <w:rFonts w:ascii="Times New Roman" w:hAnsi="Times New Roman"/>
          <w:szCs w:val="24"/>
        </w:rPr>
        <w:t xml:space="preserve"> of  FM50(11)019</w:t>
      </w:r>
      <w:r w:rsidRPr="00484702">
        <w:rPr>
          <w:rFonts w:ascii="Times New Roman" w:hAnsi="Times New Roman"/>
        </w:rPr>
        <w:t>.</w:t>
      </w:r>
    </w:p>
  </w:footnote>
  <w:footnote w:id="2">
    <w:p w:rsidR="00DD741F" w:rsidRDefault="00DD741F" w:rsidP="00E86E6C">
      <w:pPr>
        <w:pStyle w:val="FootnoteText"/>
        <w:jc w:val="both"/>
      </w:pPr>
      <w:r w:rsidRPr="00484702">
        <w:rPr>
          <w:rStyle w:val="FootnoteReference"/>
          <w:rFonts w:ascii="Times New Roman" w:hAnsi="Times New Roman"/>
        </w:rPr>
        <w:footnoteRef/>
      </w:r>
      <w:r w:rsidRPr="00484702">
        <w:rPr>
          <w:rFonts w:ascii="Times New Roman" w:hAnsi="Times New Roman"/>
        </w:rPr>
        <w:t xml:space="preserve">  </w:t>
      </w:r>
      <w:r w:rsidRPr="00484702">
        <w:rPr>
          <w:rFonts w:ascii="Times New Roman" w:hAnsi="Times New Roman"/>
          <w:i/>
        </w:rPr>
        <w:t xml:space="preserve">Additional details in section 5  and Appendix C-E of </w:t>
      </w:r>
      <w:r w:rsidRPr="00484702">
        <w:rPr>
          <w:rFonts w:ascii="Times New Roman" w:hAnsi="Times New Roman"/>
        </w:rPr>
        <w:t xml:space="preserve">FM50(11)019 </w:t>
      </w:r>
    </w:p>
  </w:footnote>
  <w:footnote w:id="3">
    <w:p w:rsidR="00DD741F" w:rsidRDefault="00DD741F" w:rsidP="00E86E6C">
      <w:pPr>
        <w:pStyle w:val="FootnoteText"/>
        <w:jc w:val="both"/>
      </w:pPr>
      <w:r w:rsidRPr="00484702">
        <w:rPr>
          <w:rStyle w:val="FootnoteReference"/>
          <w:rFonts w:ascii="Times New Roman" w:hAnsi="Times New Roman"/>
        </w:rPr>
        <w:footnoteRef/>
      </w:r>
      <w:r w:rsidRPr="00484702">
        <w:rPr>
          <w:rFonts w:ascii="Times New Roman" w:hAnsi="Times New Roman"/>
        </w:rPr>
        <w:t xml:space="preserve"> Calculated over a 10 year period with a 10% discount rate.</w:t>
      </w:r>
    </w:p>
  </w:footnote>
  <w:footnote w:id="4">
    <w:p w:rsidR="00DD741F" w:rsidRDefault="00DD741F" w:rsidP="00E86E6C">
      <w:pPr>
        <w:pStyle w:val="FootnoteText"/>
        <w:jc w:val="both"/>
      </w:pPr>
      <w:r w:rsidRPr="00484702">
        <w:rPr>
          <w:rStyle w:val="FootnoteReference"/>
          <w:rFonts w:ascii="Times New Roman" w:hAnsi="Times New Roman"/>
        </w:rPr>
        <w:footnoteRef/>
      </w:r>
      <w:r w:rsidRPr="00484702">
        <w:rPr>
          <w:rFonts w:ascii="Times New Roman" w:hAnsi="Times New Roman"/>
        </w:rPr>
        <w:t xml:space="preserve"> The radio frequency front-end will need an additional diplexer and a band-pass SAW filter, see Appendix B of FM50 (11)019.</w:t>
      </w:r>
    </w:p>
  </w:footnote>
  <w:footnote w:id="5">
    <w:p w:rsidR="00DD741F" w:rsidRDefault="00DD741F" w:rsidP="00E86E6C">
      <w:pPr>
        <w:pStyle w:val="FootnoteText"/>
        <w:jc w:val="both"/>
      </w:pPr>
      <w:r w:rsidRPr="00484702">
        <w:rPr>
          <w:rStyle w:val="FootnoteReference"/>
          <w:rFonts w:ascii="Times New Roman" w:hAnsi="Times New Roman"/>
        </w:rPr>
        <w:footnoteRef/>
      </w:r>
      <w:r w:rsidRPr="00484702">
        <w:rPr>
          <w:rFonts w:ascii="Times New Roman" w:hAnsi="Times New Roman"/>
        </w:rPr>
        <w:t>For example, with HSPA+</w:t>
      </w:r>
      <w:r>
        <w:rPr>
          <w:rFonts w:ascii="Times New Roman" w:hAnsi="Times New Roman"/>
        </w:rPr>
        <w:t xml:space="preserve"> </w:t>
      </w:r>
      <w:r>
        <w:t>and LTE</w:t>
      </w:r>
      <w:r w:rsidRPr="00484702">
        <w:rPr>
          <w:rFonts w:ascii="Times New Roman" w:hAnsi="Times New Roman"/>
        </w:rPr>
        <w:t xml:space="preserve">, adding requirement for 1.4 GHz band supplemental downlink uses the architecture Rel-9 </w:t>
      </w:r>
      <w:r>
        <w:t xml:space="preserve">and Rel-10 </w:t>
      </w:r>
      <w:r w:rsidRPr="00484702">
        <w:rPr>
          <w:rFonts w:ascii="Times New Roman" w:hAnsi="Times New Roman"/>
        </w:rPr>
        <w:t>capable chipsets that are under development. Antennas in devices use shared antenna across bands 800 MHz-2.6 GHz.</w:t>
      </w:r>
      <w:r>
        <w:t xml:space="preserve"> </w:t>
      </w:r>
    </w:p>
  </w:footnote>
  <w:footnote w:id="6">
    <w:p w:rsidR="00DD741F" w:rsidRDefault="00DD741F" w:rsidP="00C81AB2">
      <w:pPr>
        <w:pStyle w:val="FootnoteText"/>
        <w:jc w:val="both"/>
      </w:pPr>
      <w:r w:rsidRPr="00C81AB2">
        <w:rPr>
          <w:rStyle w:val="FootnoteReference"/>
          <w:rFonts w:ascii="Times New Roman" w:hAnsi="Times New Roman"/>
        </w:rPr>
        <w:footnoteRef/>
      </w:r>
      <w:r w:rsidRPr="00C81AB2">
        <w:rPr>
          <w:rFonts w:ascii="Times New Roman" w:hAnsi="Times New Roman"/>
        </w:rPr>
        <w:t xml:space="preserve"> Auction rules of the </w:t>
      </w:r>
      <w:r w:rsidRPr="00C81AB2">
        <w:rPr>
          <w:rFonts w:ascii="Times New Roman" w:hAnsi="Times New Roman"/>
          <w:lang w:val="en-US"/>
        </w:rPr>
        <w:t>800 MHz auction rules in most Europe countries impose spectrum caps that limit the maximum spectrum holding per operator to 2x10 MHz or 2x15 MHz in the 800 MHz. Limited spectrum at 900 MHz is limiting UMTS900 deployment to 2x5 MHz per operator.</w:t>
      </w:r>
    </w:p>
  </w:footnote>
  <w:footnote w:id="7">
    <w:p w:rsidR="00DD741F" w:rsidRDefault="00DD741F" w:rsidP="00C81AB2">
      <w:pPr>
        <w:pStyle w:val="FootnoteText"/>
        <w:jc w:val="both"/>
      </w:pPr>
      <w:r w:rsidRPr="00C81AB2">
        <w:rPr>
          <w:rStyle w:val="FootnoteReference"/>
          <w:rFonts w:ascii="Times New Roman" w:hAnsi="Times New Roman"/>
        </w:rPr>
        <w:footnoteRef/>
      </w:r>
      <w:r w:rsidRPr="00C81AB2">
        <w:rPr>
          <w:rFonts w:ascii="Times New Roman" w:hAnsi="Times New Roman"/>
        </w:rPr>
        <w:t xml:space="preserve"> Thomas Hazelett and Robert Munoz. 2008. “A Welfare Analysis of Spectrum Allocation Policies”, George Mason University.</w:t>
      </w:r>
    </w:p>
  </w:footnote>
  <w:footnote w:id="8">
    <w:p w:rsidR="00DD741F" w:rsidRDefault="00DD741F" w:rsidP="00BA1D26">
      <w:pPr>
        <w:pStyle w:val="FootnoteText"/>
        <w:jc w:val="both"/>
      </w:pPr>
      <w:r w:rsidRPr="00BA1D26">
        <w:rPr>
          <w:rStyle w:val="FootnoteReference"/>
          <w:rFonts w:ascii="Times New Roman" w:hAnsi="Times New Roman"/>
        </w:rPr>
        <w:footnoteRef/>
      </w:r>
      <w:r w:rsidRPr="00BA1D26">
        <w:rPr>
          <w:rFonts w:ascii="Times New Roman" w:hAnsi="Times New Roman"/>
        </w:rPr>
        <w:t xml:space="preserve"> Potential markets will exist in Europe and potentially in many countries outside Europe where the 1.4 GHz band can be made available for MMDL.  In addition, service providers will also have the opportunities in the US market for supplying innovative multimedia services as a Supplemental Downlinik is planned there.</w:t>
      </w:r>
      <w:r w:rsidRPr="00BA1D26">
        <w:t xml:space="preserve"> </w:t>
      </w:r>
    </w:p>
  </w:footnote>
  <w:footnote w:id="9">
    <w:p w:rsidR="00DD741F" w:rsidRDefault="00DD741F" w:rsidP="00BA1D26">
      <w:pPr>
        <w:pStyle w:val="FootnoteText"/>
        <w:jc w:val="both"/>
      </w:pPr>
      <w:r w:rsidRPr="00BA1D26">
        <w:rPr>
          <w:rStyle w:val="FootnoteReference"/>
          <w:rFonts w:ascii="Times New Roman" w:hAnsi="Times New Roman"/>
        </w:rPr>
        <w:footnoteRef/>
      </w:r>
      <w:r w:rsidRPr="00BA1D26">
        <w:rPr>
          <w:rFonts w:ascii="Times New Roman" w:hAnsi="Times New Roman"/>
        </w:rPr>
        <w:t xml:space="preserve"> ECC FM(11)131 Annex 05, www.ero.dk</w:t>
      </w:r>
      <w:r w:rsidRPr="004D7287" w:rsidDel="0078116A">
        <w:rPr>
          <w:rFonts w:ascii="Times New Roman" w:hAnsi="Times New Roman"/>
          <w:sz w:val="18"/>
          <w:szCs w:val="18"/>
          <w:highlight w:val="yellow"/>
          <w:lang w:val="en-US"/>
        </w:rPr>
        <w:t xml:space="preserve"> </w:t>
      </w:r>
    </w:p>
  </w:footnote>
  <w:footnote w:id="10">
    <w:p w:rsidR="00DD741F" w:rsidRDefault="00DD741F" w:rsidP="004D7287">
      <w:pPr>
        <w:pStyle w:val="BodyText"/>
        <w:spacing w:before="0" w:after="0" w:line="240" w:lineRule="auto"/>
        <w:jc w:val="both"/>
        <w:rPr>
          <w:rFonts w:ascii="Times New Roman" w:hAnsi="Times New Roman"/>
          <w:sz w:val="20"/>
          <w:szCs w:val="18"/>
        </w:rPr>
      </w:pPr>
      <w:r w:rsidRPr="00DC57FF">
        <w:rPr>
          <w:rStyle w:val="FootnoteReference"/>
          <w:rFonts w:ascii="Times New Roman" w:hAnsi="Times New Roman"/>
          <w:sz w:val="20"/>
          <w:szCs w:val="18"/>
        </w:rPr>
        <w:footnoteRef/>
      </w:r>
      <w:r w:rsidRPr="00DC57FF">
        <w:rPr>
          <w:rFonts w:ascii="Times New Roman" w:hAnsi="Times New Roman"/>
          <w:sz w:val="20"/>
          <w:szCs w:val="18"/>
        </w:rPr>
        <w:t xml:space="preserve"> The key things the specifications would need to cover are:</w:t>
      </w:r>
    </w:p>
    <w:p w:rsidR="00DD741F" w:rsidRPr="00DC57FF" w:rsidRDefault="00DD741F" w:rsidP="004D7287">
      <w:pPr>
        <w:pStyle w:val="BodyText"/>
        <w:spacing w:before="0" w:after="0" w:line="240" w:lineRule="auto"/>
        <w:jc w:val="both"/>
        <w:rPr>
          <w:rFonts w:ascii="Times New Roman" w:hAnsi="Times New Roman"/>
          <w:sz w:val="20"/>
          <w:szCs w:val="18"/>
        </w:rPr>
      </w:pPr>
    </w:p>
    <w:p w:rsidR="00DD741F" w:rsidRPr="00DC57FF" w:rsidRDefault="00DD741F" w:rsidP="004D7287">
      <w:pPr>
        <w:pStyle w:val="BulletList1"/>
        <w:numPr>
          <w:ilvl w:val="0"/>
          <w:numId w:val="17"/>
        </w:numPr>
        <w:spacing w:before="0" w:after="40" w:line="240" w:lineRule="auto"/>
        <w:ind w:left="403" w:hanging="403"/>
        <w:jc w:val="both"/>
        <w:rPr>
          <w:rFonts w:ascii="Times New Roman" w:hAnsi="Times New Roman"/>
          <w:szCs w:val="18"/>
          <w:lang w:val="en-US"/>
        </w:rPr>
      </w:pPr>
      <w:r w:rsidRPr="00DC57FF">
        <w:rPr>
          <w:rFonts w:ascii="Times New Roman" w:hAnsi="Times New Roman"/>
          <w:szCs w:val="18"/>
        </w:rPr>
        <w:t xml:space="preserve">The capability to aggregate channels across bands (i.e. bonding channels in different bands to create greater bandwidth): This </w:t>
      </w:r>
      <w:r w:rsidRPr="00DC57FF">
        <w:rPr>
          <w:rFonts w:ascii="Times New Roman" w:hAnsi="Times New Roman"/>
          <w:szCs w:val="18"/>
          <w:lang w:val="en-US"/>
        </w:rPr>
        <w:t>is supported in HSPA+ R9 (and beyond) and LTE R10 (and beyond) standards, but each specific band combination has to be defined in 3GPP.</w:t>
      </w:r>
      <w:r w:rsidRPr="00DC57FF">
        <w:rPr>
          <w:rFonts w:ascii="Times New Roman" w:hAnsi="Times New Roman"/>
          <w:szCs w:val="18"/>
        </w:rPr>
        <w:t xml:space="preserve"> </w:t>
      </w:r>
    </w:p>
    <w:p w:rsidR="00DD741F" w:rsidRDefault="00DD741F" w:rsidP="004D7287">
      <w:pPr>
        <w:pStyle w:val="BulletList1"/>
        <w:numPr>
          <w:ilvl w:val="0"/>
          <w:numId w:val="17"/>
        </w:numPr>
        <w:spacing w:before="0" w:after="40" w:line="240" w:lineRule="auto"/>
        <w:ind w:left="403" w:hanging="403"/>
        <w:jc w:val="both"/>
      </w:pPr>
      <w:r w:rsidRPr="00DC57FF">
        <w:rPr>
          <w:rFonts w:ascii="Times New Roman" w:hAnsi="Times New Roman"/>
          <w:szCs w:val="18"/>
        </w:rPr>
        <w:t xml:space="preserve">Channel management, power control and handover: Likewise this should all be within the capability of the existing specifications. Quality management information for </w:t>
      </w:r>
      <w:r w:rsidRPr="00DC57FF">
        <w:rPr>
          <w:rFonts w:ascii="Times New Roman" w:hAnsi="Times New Roman"/>
          <w:szCs w:val="18"/>
          <w:lang w:val="en-US"/>
        </w:rPr>
        <w:t>two downlinks could be handled in a single uplink connection.</w:t>
      </w:r>
    </w:p>
  </w:footnote>
  <w:footnote w:id="11">
    <w:p w:rsidR="00DD741F" w:rsidRDefault="00DD741F" w:rsidP="004D7287">
      <w:pPr>
        <w:pStyle w:val="FootnoteText"/>
        <w:jc w:val="both"/>
      </w:pPr>
      <w:r w:rsidRPr="00DC57FF">
        <w:rPr>
          <w:rStyle w:val="FootnoteReference"/>
          <w:rFonts w:ascii="Times New Roman" w:hAnsi="Times New Roman"/>
          <w:szCs w:val="18"/>
          <w:lang w:val="en-US"/>
        </w:rPr>
        <w:footnoteRef/>
      </w:r>
      <w:r w:rsidRPr="00DC57FF">
        <w:rPr>
          <w:rFonts w:ascii="Times New Roman" w:hAnsi="Times New Roman"/>
          <w:szCs w:val="18"/>
          <w:lang w:val="en-US"/>
        </w:rPr>
        <w:t xml:space="preserve"> </w:t>
      </w:r>
      <w:r>
        <w:rPr>
          <w:rFonts w:ascii="Times New Roman" w:hAnsi="Times New Roman"/>
          <w:szCs w:val="18"/>
          <w:lang w:val="en-US"/>
        </w:rPr>
        <w:t>Subject to the completion of the ongoing</w:t>
      </w:r>
      <w:r w:rsidRPr="00DC57FF">
        <w:rPr>
          <w:rFonts w:ascii="Times New Roman" w:hAnsi="Times New Roman"/>
          <w:szCs w:val="18"/>
          <w:lang w:val="en-US"/>
        </w:rPr>
        <w:t xml:space="preserve"> regulatory approval</w:t>
      </w:r>
      <w:r>
        <w:rPr>
          <w:rFonts w:ascii="Times New Roman" w:hAnsi="Times New Roman"/>
          <w:szCs w:val="18"/>
          <w:lang w:val="en-US"/>
        </w:rPr>
        <w:t xml:space="preserve"> process for the acquisition of a block of 700 MHz by AT&amp;T</w:t>
      </w:r>
    </w:p>
  </w:footnote>
  <w:footnote w:id="12">
    <w:p w:rsidR="00DD741F" w:rsidRDefault="00DD741F" w:rsidP="004D7287">
      <w:pPr>
        <w:pStyle w:val="FootnoteText"/>
        <w:jc w:val="both"/>
      </w:pPr>
      <w:r w:rsidRPr="00DC57FF">
        <w:rPr>
          <w:rStyle w:val="FootnoteReference"/>
          <w:rFonts w:ascii="Times New Roman" w:hAnsi="Times New Roman"/>
          <w:szCs w:val="18"/>
        </w:rPr>
        <w:footnoteRef/>
      </w:r>
      <w:r w:rsidRPr="00DC57FF">
        <w:rPr>
          <w:rFonts w:ascii="Times New Roman" w:hAnsi="Times New Roman"/>
          <w:szCs w:val="18"/>
        </w:rPr>
        <w:t xml:space="preserve"> Based on experience with progressing specifications in 3GPP for AT&amp;T’s use of supplemental downlink at 700 MHz.</w:t>
      </w:r>
    </w:p>
  </w:footnote>
  <w:footnote w:id="13">
    <w:p w:rsidR="00DD741F" w:rsidRDefault="00DD741F" w:rsidP="004D7287">
      <w:pPr>
        <w:pStyle w:val="BodyText"/>
        <w:spacing w:before="0" w:after="40" w:line="240" w:lineRule="auto"/>
        <w:jc w:val="both"/>
      </w:pPr>
      <w:r w:rsidRPr="00DC57FF">
        <w:rPr>
          <w:rStyle w:val="FootnoteReference"/>
          <w:rFonts w:ascii="Times New Roman" w:hAnsi="Times New Roman"/>
          <w:sz w:val="20"/>
          <w:szCs w:val="18"/>
        </w:rPr>
        <w:footnoteRef/>
      </w:r>
      <w:r w:rsidRPr="00DC57FF">
        <w:rPr>
          <w:rFonts w:ascii="Times New Roman" w:hAnsi="Times New Roman"/>
          <w:sz w:val="20"/>
          <w:szCs w:val="18"/>
        </w:rPr>
        <w:t xml:space="preserve"> Note that RF band support is a release-independent feature in 3GPP, hence the 1.4 GHz band can be supported by Release 9 devices (dual band and dual carrier) although 1.4 GHz band numerology and conformance test specifications will be part of a later 3GPP release.</w:t>
      </w:r>
    </w:p>
  </w:footnote>
  <w:footnote w:id="14">
    <w:p w:rsidR="00DD741F" w:rsidRDefault="00DD741F" w:rsidP="00DC57FF">
      <w:pPr>
        <w:pStyle w:val="FootnoteText"/>
        <w:jc w:val="both"/>
        <w:rPr>
          <w:rFonts w:ascii="Times New Roman" w:hAnsi="Times New Roman"/>
        </w:rPr>
      </w:pPr>
      <w:r w:rsidRPr="00DC57FF">
        <w:rPr>
          <w:rStyle w:val="FootnoteReference"/>
          <w:rFonts w:ascii="Times New Roman" w:hAnsi="Times New Roman"/>
        </w:rPr>
        <w:footnoteRef/>
      </w:r>
      <w:r w:rsidRPr="00DC57FF">
        <w:rPr>
          <w:rFonts w:ascii="Times New Roman" w:hAnsi="Times New Roman"/>
        </w:rPr>
        <w:t xml:space="preserve"> Ofcom. 2010. Communications Market Report. </w:t>
      </w:r>
    </w:p>
    <w:p w:rsidR="00DD741F" w:rsidRDefault="00DD741F" w:rsidP="00DC57FF">
      <w:pPr>
        <w:pStyle w:val="FootnoteText"/>
        <w:jc w:val="both"/>
      </w:pPr>
      <w:hyperlink r:id="rId1" w:history="1">
        <w:r w:rsidRPr="00DC57FF">
          <w:rPr>
            <w:rStyle w:val="Hyperlink"/>
            <w:rFonts w:ascii="Times New Roman" w:hAnsi="Times New Roman"/>
          </w:rPr>
          <w:t>http://stakeholders.ofcom.org.uk/binaries/research/cmr/753567/CMR_2010_FINAL.pdf</w:t>
        </w:r>
      </w:hyperlink>
      <w:r w:rsidRPr="00DC57FF">
        <w:rPr>
          <w:rFonts w:ascii="Times New Roman" w:hAnsi="Times New Roman"/>
        </w:rPr>
        <w:t xml:space="preserve"> </w:t>
      </w:r>
    </w:p>
  </w:footnote>
  <w:footnote w:id="15">
    <w:p w:rsidR="00DD741F" w:rsidRDefault="00DD741F" w:rsidP="00DC57FF">
      <w:pPr>
        <w:pStyle w:val="FootnoteText"/>
        <w:jc w:val="both"/>
      </w:pPr>
      <w:r w:rsidRPr="00DC57FF">
        <w:rPr>
          <w:rStyle w:val="FootnoteReference"/>
          <w:rFonts w:ascii="Times New Roman" w:hAnsi="Times New Roman"/>
        </w:rPr>
        <w:footnoteRef/>
      </w:r>
      <w:r w:rsidRPr="00DC57FF">
        <w:rPr>
          <w:rFonts w:ascii="Times New Roman" w:hAnsi="Times New Roman"/>
        </w:rPr>
        <w:t xml:space="preserve">  Video and web browsing is included and file sharing, VoIP and instant messaging are excluded.</w:t>
      </w:r>
    </w:p>
  </w:footnote>
  <w:footnote w:id="16">
    <w:p w:rsidR="00DD741F" w:rsidRDefault="00DD741F" w:rsidP="00DC57FF">
      <w:pPr>
        <w:pStyle w:val="FootnoteText"/>
        <w:jc w:val="both"/>
      </w:pPr>
      <w:r w:rsidRPr="00DC57FF">
        <w:rPr>
          <w:rStyle w:val="FootnoteReference"/>
          <w:rFonts w:ascii="Times New Roman" w:hAnsi="Times New Roman"/>
        </w:rPr>
        <w:footnoteRef/>
      </w:r>
      <w:r w:rsidRPr="00DC57FF">
        <w:rPr>
          <w:rFonts w:ascii="Times New Roman" w:hAnsi="Times New Roman"/>
        </w:rPr>
        <w:t xml:space="preserve"> </w:t>
      </w:r>
      <w:r w:rsidRPr="00DC57FF">
        <w:rPr>
          <w:rFonts w:ascii="Times New Roman" w:hAnsi="Times New Roman"/>
          <w:i/>
        </w:rPr>
        <w:t>Global mobile broadband traffic report, H2 2010</w:t>
      </w:r>
      <w:r w:rsidRPr="00DC57FF">
        <w:rPr>
          <w:rFonts w:ascii="Times New Roman" w:hAnsi="Times New Roman"/>
        </w:rPr>
        <w:t>, Allot, 2011.</w:t>
      </w:r>
    </w:p>
  </w:footnote>
  <w:footnote w:id="17">
    <w:p w:rsidR="00DD741F" w:rsidRDefault="00DD741F" w:rsidP="00DC57FF">
      <w:pPr>
        <w:pStyle w:val="FootnoteText"/>
        <w:jc w:val="both"/>
      </w:pPr>
      <w:r w:rsidRPr="00DC57FF">
        <w:rPr>
          <w:rStyle w:val="FootnoteReference"/>
          <w:rFonts w:ascii="Times New Roman" w:hAnsi="Times New Roman"/>
        </w:rPr>
        <w:footnoteRef/>
      </w:r>
      <w:r w:rsidRPr="00DC57FF">
        <w:rPr>
          <w:rFonts w:ascii="Times New Roman" w:hAnsi="Times New Roman"/>
        </w:rPr>
        <w:t xml:space="preserve"> </w:t>
      </w:r>
      <w:r w:rsidRPr="00DC57FF">
        <w:rPr>
          <w:rFonts w:ascii="Times New Roman" w:hAnsi="Times New Roman"/>
          <w:i/>
        </w:rPr>
        <w:t>Global Mobile Data Traffic Forecast update, 2010-2015,</w:t>
      </w:r>
      <w:r w:rsidRPr="00DC57FF">
        <w:rPr>
          <w:rFonts w:ascii="Times New Roman" w:hAnsi="Times New Roman"/>
        </w:rPr>
        <w:t xml:space="preserve"> Cisco, February 2011.</w:t>
      </w:r>
    </w:p>
  </w:footnote>
  <w:footnote w:id="18">
    <w:p w:rsidR="00DD741F" w:rsidRDefault="00DD741F" w:rsidP="00DC57FF">
      <w:pPr>
        <w:pStyle w:val="FootnoteText"/>
        <w:jc w:val="both"/>
      </w:pPr>
      <w:r w:rsidRPr="00DC57FF">
        <w:rPr>
          <w:rStyle w:val="FootnoteReference"/>
          <w:rFonts w:ascii="Times New Roman" w:hAnsi="Times New Roman"/>
        </w:rPr>
        <w:footnoteRef/>
      </w:r>
      <w:r w:rsidRPr="00DC57FF">
        <w:rPr>
          <w:rFonts w:ascii="Times New Roman" w:hAnsi="Times New Roman"/>
        </w:rPr>
        <w:t xml:space="preserve"> EC, 15</w:t>
      </w:r>
      <w:r w:rsidRPr="00DC57FF">
        <w:rPr>
          <w:rFonts w:ascii="Times New Roman" w:hAnsi="Times New Roman"/>
          <w:vertAlign w:val="superscript"/>
        </w:rPr>
        <w:t>th</w:t>
      </w:r>
      <w:r w:rsidRPr="00DC57FF">
        <w:rPr>
          <w:rFonts w:ascii="Times New Roman" w:hAnsi="Times New Roman"/>
        </w:rPr>
        <w:t xml:space="preserve"> Implementation Report. </w:t>
      </w:r>
    </w:p>
  </w:footnote>
  <w:footnote w:id="19">
    <w:p w:rsidR="00DD741F" w:rsidRDefault="00DD741F" w:rsidP="00DC57FF">
      <w:pPr>
        <w:pStyle w:val="FootnoteText"/>
        <w:jc w:val="both"/>
      </w:pPr>
      <w:r w:rsidRPr="00DC57FF">
        <w:rPr>
          <w:rStyle w:val="FootnoteReference"/>
          <w:rFonts w:ascii="Times New Roman" w:hAnsi="Times New Roman"/>
        </w:rPr>
        <w:footnoteRef/>
      </w:r>
      <w:r w:rsidRPr="00DC57FF">
        <w:rPr>
          <w:rFonts w:ascii="Times New Roman" w:hAnsi="Times New Roman"/>
        </w:rPr>
        <w:t xml:space="preserve"> Nomura. December 2009. “Telecommunication services”.</w:t>
      </w:r>
    </w:p>
  </w:footnote>
  <w:footnote w:id="20">
    <w:p w:rsidR="00DD741F" w:rsidRDefault="00DD741F" w:rsidP="00DC57FF">
      <w:pPr>
        <w:pStyle w:val="FootnoteText"/>
        <w:jc w:val="both"/>
      </w:pPr>
      <w:r w:rsidRPr="00DC57FF">
        <w:rPr>
          <w:rStyle w:val="FootnoteReference"/>
          <w:rFonts w:ascii="Times New Roman" w:hAnsi="Times New Roman"/>
        </w:rPr>
        <w:footnoteRef/>
      </w:r>
      <w:r w:rsidRPr="00DC57FF">
        <w:rPr>
          <w:rFonts w:ascii="Times New Roman" w:hAnsi="Times New Roman"/>
        </w:rPr>
        <w:t xml:space="preserve">  Peta Bytes per month.  One Peta Byte = 10</w:t>
      </w:r>
      <w:r w:rsidRPr="00DC57FF">
        <w:rPr>
          <w:rFonts w:ascii="Times New Roman" w:hAnsi="Times New Roman"/>
          <w:vertAlign w:val="superscript"/>
        </w:rPr>
        <w:t>15</w:t>
      </w:r>
      <w:r w:rsidRPr="00DC57FF">
        <w:rPr>
          <w:rFonts w:ascii="Times New Roman" w:hAnsi="Times New Roman"/>
        </w:rPr>
        <w:t xml:space="preserve"> Bytes.</w:t>
      </w:r>
    </w:p>
  </w:footnote>
  <w:footnote w:id="21">
    <w:p w:rsidR="00DD741F" w:rsidRDefault="00DD741F" w:rsidP="004738A9">
      <w:pPr>
        <w:pStyle w:val="FootnoteText"/>
        <w:jc w:val="both"/>
      </w:pPr>
      <w:r w:rsidRPr="004738A9">
        <w:rPr>
          <w:rStyle w:val="FootnoteReference"/>
          <w:rFonts w:ascii="Times New Roman" w:hAnsi="Times New Roman"/>
        </w:rPr>
        <w:footnoteRef/>
      </w:r>
      <w:r w:rsidRPr="004738A9">
        <w:rPr>
          <w:rFonts w:ascii="Times New Roman" w:hAnsi="Times New Roman"/>
        </w:rPr>
        <w:t xml:space="preserve"> See Figure 4.5.3-3 and measurements reported in </w:t>
      </w:r>
      <w:hyperlink r:id="rId2" w:history="1">
        <w:r w:rsidRPr="004738A9">
          <w:rPr>
            <w:rStyle w:val="Hyperlink"/>
            <w:rFonts w:ascii="Times New Roman" w:hAnsi="Times New Roman"/>
          </w:rPr>
          <w:t>http://lib.tkk.fi/Dipl/2009/urn100072.pdf</w:t>
        </w:r>
      </w:hyperlink>
      <w:r w:rsidRPr="004738A9">
        <w:rPr>
          <w:rFonts w:ascii="Times New Roman" w:hAnsi="Times New Roman"/>
        </w:rPr>
        <w:t xml:space="preserve"> and </w:t>
      </w:r>
      <w:hyperlink r:id="rId3" w:history="1">
        <w:r w:rsidRPr="004738A9">
          <w:rPr>
            <w:rStyle w:val="Hyperlink"/>
            <w:rFonts w:ascii="Times New Roman" w:hAnsi="Times New Roman"/>
          </w:rPr>
          <w:t>http://www.cs.ucla.edu/~falaki/pub/imc153s-falaki.pdf</w:t>
        </w:r>
      </w:hyperlink>
      <w:r w:rsidRPr="004738A9">
        <w:rPr>
          <w:rFonts w:ascii="Times New Roman" w:hAnsi="Times New Roman"/>
        </w:rPr>
        <w:t>. </w:t>
      </w:r>
    </w:p>
  </w:footnote>
  <w:footnote w:id="22">
    <w:p w:rsidR="00DD741F" w:rsidRDefault="00DD741F" w:rsidP="004738A9">
      <w:pPr>
        <w:pStyle w:val="FootnoteText"/>
        <w:jc w:val="both"/>
      </w:pPr>
      <w:r w:rsidRPr="004738A9">
        <w:rPr>
          <w:rStyle w:val="FootnoteReference"/>
          <w:rFonts w:ascii="Times New Roman" w:hAnsi="Times New Roman"/>
        </w:rPr>
        <w:footnoteRef/>
      </w:r>
      <w:r w:rsidRPr="004738A9">
        <w:rPr>
          <w:rFonts w:ascii="Times New Roman" w:hAnsi="Times New Roman"/>
        </w:rPr>
        <w:t xml:space="preserve"> The data is based on measurements in live networks.  Median value is shown.</w:t>
      </w:r>
    </w:p>
  </w:footnote>
  <w:footnote w:id="23">
    <w:p w:rsidR="00DD741F" w:rsidRDefault="00DD741F" w:rsidP="004738A9">
      <w:pPr>
        <w:pStyle w:val="FootnoteText"/>
        <w:jc w:val="both"/>
      </w:pPr>
      <w:r w:rsidRPr="004738A9">
        <w:rPr>
          <w:rStyle w:val="FootnoteReference"/>
          <w:rFonts w:ascii="Times New Roman" w:hAnsi="Times New Roman"/>
        </w:rPr>
        <w:footnoteRef/>
      </w:r>
      <w:r w:rsidRPr="004738A9">
        <w:rPr>
          <w:rFonts w:ascii="Times New Roman" w:hAnsi="Times New Roman"/>
        </w:rPr>
        <w:t xml:space="preserve">  </w:t>
      </w:r>
      <w:r w:rsidRPr="004738A9">
        <w:rPr>
          <w:rFonts w:ascii="Times New Roman" w:hAnsi="Times New Roman"/>
          <w:i/>
        </w:rPr>
        <w:t>Global Mobile Broadband Traffic Report</w:t>
      </w:r>
      <w:r w:rsidRPr="004738A9">
        <w:rPr>
          <w:rFonts w:ascii="Times New Roman" w:hAnsi="Times New Roman"/>
        </w:rPr>
        <w:t>, Allot, H2 2010.</w:t>
      </w:r>
    </w:p>
  </w:footnote>
  <w:footnote w:id="24">
    <w:p w:rsidR="00DD741F" w:rsidRDefault="00DD741F" w:rsidP="004738A9">
      <w:pPr>
        <w:pStyle w:val="FootnoteText"/>
        <w:jc w:val="both"/>
      </w:pPr>
      <w:r w:rsidRPr="004738A9">
        <w:rPr>
          <w:rStyle w:val="FootnoteReference"/>
          <w:rFonts w:ascii="Times New Roman" w:hAnsi="Times New Roman"/>
        </w:rPr>
        <w:footnoteRef/>
      </w:r>
      <w:r w:rsidRPr="004738A9">
        <w:rPr>
          <w:rFonts w:ascii="Times New Roman" w:hAnsi="Times New Roman"/>
        </w:rPr>
        <w:t xml:space="preserve">  </w:t>
      </w:r>
      <w:r w:rsidRPr="004738A9">
        <w:rPr>
          <w:rFonts w:ascii="Times New Roman" w:hAnsi="Times New Roman"/>
          <w:i/>
        </w:rPr>
        <w:t>Cisco Visual Networking Index: Global Mobile Data Traffic Forecast Update, 2010-2015</w:t>
      </w:r>
      <w:r w:rsidRPr="004738A9">
        <w:rPr>
          <w:rFonts w:ascii="Times New Roman" w:hAnsi="Times New Roman"/>
        </w:rPr>
        <w:t>, Cisco, February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228DD0"/>
    <w:lvl w:ilvl="0">
      <w:start w:val="1"/>
      <w:numFmt w:val="decimal"/>
      <w:lvlText w:val="%1."/>
      <w:lvlJc w:val="left"/>
      <w:pPr>
        <w:tabs>
          <w:tab w:val="num" w:pos="1492"/>
        </w:tabs>
        <w:ind w:left="1492" w:hanging="360"/>
      </w:pPr>
      <w:rPr>
        <w:rFonts w:cs="Times New Roman"/>
      </w:rPr>
    </w:lvl>
  </w:abstractNum>
  <w:abstractNum w:abstractNumId="1">
    <w:nsid w:val="FFFFFF7E"/>
    <w:multiLevelType w:val="singleLevel"/>
    <w:tmpl w:val="7E506574"/>
    <w:lvl w:ilvl="0">
      <w:start w:val="1"/>
      <w:numFmt w:val="decimal"/>
      <w:pStyle w:val="ListNumber5"/>
      <w:lvlText w:val="%1."/>
      <w:lvlJc w:val="left"/>
      <w:pPr>
        <w:tabs>
          <w:tab w:val="num" w:pos="926"/>
        </w:tabs>
        <w:ind w:left="926" w:hanging="360"/>
      </w:pPr>
      <w:rPr>
        <w:rFonts w:cs="Times New Roman"/>
      </w:rPr>
    </w:lvl>
  </w:abstractNum>
  <w:abstractNum w:abstractNumId="2">
    <w:nsid w:val="FFFFFFFE"/>
    <w:multiLevelType w:val="singleLevel"/>
    <w:tmpl w:val="E19467C2"/>
    <w:lvl w:ilvl="0">
      <w:numFmt w:val="decimal"/>
      <w:lvlText w:val="*"/>
      <w:lvlJc w:val="left"/>
      <w:rPr>
        <w:rFonts w:cs="Times New Roman"/>
      </w:rPr>
    </w:lvl>
  </w:abstractNum>
  <w:abstractNum w:abstractNumId="3">
    <w:nsid w:val="0AC841DA"/>
    <w:multiLevelType w:val="multilevel"/>
    <w:tmpl w:val="335CD6A2"/>
    <w:lvl w:ilvl="0">
      <w:start w:val="4"/>
      <w:numFmt w:val="decimal"/>
      <w:lvlText w:val="%1"/>
      <w:lvlJc w:val="left"/>
      <w:pPr>
        <w:ind w:left="660" w:hanging="660"/>
      </w:pPr>
      <w:rPr>
        <w:rFonts w:cs="Times New Roman" w:hint="default"/>
      </w:rPr>
    </w:lvl>
    <w:lvl w:ilvl="1">
      <w:start w:val="3"/>
      <w:numFmt w:val="decimal"/>
      <w:lvlText w:val="%1.%2"/>
      <w:lvlJc w:val="left"/>
      <w:pPr>
        <w:ind w:left="900" w:hanging="660"/>
      </w:pPr>
      <w:rPr>
        <w:rFonts w:cs="Times New Roman" w:hint="default"/>
      </w:rPr>
    </w:lvl>
    <w:lvl w:ilvl="2">
      <w:start w:val="3"/>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4">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5">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6">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1C1463A2"/>
    <w:multiLevelType w:val="hybridMultilevel"/>
    <w:tmpl w:val="081A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0C219E"/>
    <w:multiLevelType w:val="hybridMultilevel"/>
    <w:tmpl w:val="E52E9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4">
    <w:nsid w:val="48495192"/>
    <w:multiLevelType w:val="hybridMultilevel"/>
    <w:tmpl w:val="0778C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A572D4F"/>
    <w:multiLevelType w:val="hybridMultilevel"/>
    <w:tmpl w:val="F5D0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4CDF54C6"/>
    <w:multiLevelType w:val="multilevel"/>
    <w:tmpl w:val="335CD6A2"/>
    <w:lvl w:ilvl="0">
      <w:start w:val="4"/>
      <w:numFmt w:val="decimal"/>
      <w:lvlText w:val="%1"/>
      <w:lvlJc w:val="left"/>
      <w:pPr>
        <w:ind w:left="660" w:hanging="660"/>
      </w:pPr>
      <w:rPr>
        <w:rFonts w:cs="Times New Roman" w:hint="default"/>
      </w:rPr>
    </w:lvl>
    <w:lvl w:ilvl="1">
      <w:start w:val="3"/>
      <w:numFmt w:val="decimal"/>
      <w:lvlText w:val="%1.%2"/>
      <w:lvlJc w:val="left"/>
      <w:pPr>
        <w:ind w:left="900" w:hanging="660"/>
      </w:pPr>
      <w:rPr>
        <w:rFonts w:cs="Times New Roman" w:hint="default"/>
      </w:rPr>
    </w:lvl>
    <w:lvl w:ilvl="2">
      <w:start w:val="3"/>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8">
    <w:nsid w:val="4E071EDA"/>
    <w:multiLevelType w:val="multilevel"/>
    <w:tmpl w:val="335CD6A2"/>
    <w:lvl w:ilvl="0">
      <w:start w:val="4"/>
      <w:numFmt w:val="decimal"/>
      <w:lvlText w:val="%1"/>
      <w:lvlJc w:val="left"/>
      <w:pPr>
        <w:ind w:left="660" w:hanging="660"/>
      </w:pPr>
      <w:rPr>
        <w:rFonts w:cs="Times New Roman" w:hint="default"/>
      </w:rPr>
    </w:lvl>
    <w:lvl w:ilvl="1">
      <w:start w:val="3"/>
      <w:numFmt w:val="decimal"/>
      <w:lvlText w:val="%1.%2"/>
      <w:lvlJc w:val="left"/>
      <w:pPr>
        <w:ind w:left="900" w:hanging="660"/>
      </w:pPr>
      <w:rPr>
        <w:rFonts w:cs="Times New Roman" w:hint="default"/>
      </w:rPr>
    </w:lvl>
    <w:lvl w:ilvl="2">
      <w:start w:val="3"/>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9">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66DA7BBE"/>
    <w:multiLevelType w:val="hybridMultilevel"/>
    <w:tmpl w:val="D44CDDF6"/>
    <w:lvl w:ilvl="0" w:tplc="89DE86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818305E"/>
    <w:multiLevelType w:val="multilevel"/>
    <w:tmpl w:val="6C9643CE"/>
    <w:lvl w:ilvl="0">
      <w:start w:val="1"/>
      <w:numFmt w:val="bullet"/>
      <w:lvlText w:val=""/>
      <w:lvlJc w:val="left"/>
      <w:pPr>
        <w:tabs>
          <w:tab w:val="num" w:pos="1816"/>
        </w:tabs>
        <w:ind w:left="1816" w:hanging="400"/>
      </w:pPr>
      <w:rPr>
        <w:rFonts w:ascii="Symbol" w:hAnsi="Symbol" w:hint="default"/>
        <w:color w:val="4F2683"/>
      </w:rPr>
    </w:lvl>
    <w:lvl w:ilvl="1">
      <w:start w:val="1"/>
      <w:numFmt w:val="lowerLetter"/>
      <w:lvlText w:val="–"/>
      <w:lvlJc w:val="left"/>
      <w:pPr>
        <w:tabs>
          <w:tab w:val="num" w:pos="2216"/>
        </w:tabs>
        <w:ind w:left="2216" w:hanging="400"/>
      </w:pPr>
      <w:rPr>
        <w:rFonts w:ascii="Arial" w:hAnsi="Arial" w:cs="Arial"/>
        <w:color w:val="4F2683"/>
      </w:rPr>
    </w:lvl>
    <w:lvl w:ilvl="2">
      <w:start w:val="1"/>
      <w:numFmt w:val="lowerRoman"/>
      <w:lvlText w:val="–"/>
      <w:lvlJc w:val="left"/>
      <w:pPr>
        <w:tabs>
          <w:tab w:val="num" w:pos="2616"/>
        </w:tabs>
        <w:ind w:left="2616" w:hanging="400"/>
      </w:pPr>
      <w:rPr>
        <w:rFonts w:ascii="Arial" w:hAnsi="Arial" w:cs="Arial"/>
        <w:color w:val="4F2683"/>
      </w:rPr>
    </w:lvl>
    <w:lvl w:ilvl="3">
      <w:start w:val="1"/>
      <w:numFmt w:val="decimal"/>
      <w:lvlText w:null="1"/>
      <w:lvlJc w:val="left"/>
      <w:pPr>
        <w:tabs>
          <w:tab w:val="num" w:pos="1416"/>
        </w:tabs>
      </w:pPr>
      <w:rPr>
        <w:rFonts w:cs="Times New Roman"/>
        <w:color w:val="000000"/>
      </w:rPr>
    </w:lvl>
    <w:lvl w:ilvl="4">
      <w:start w:val="1"/>
      <w:numFmt w:val="lowerLetter"/>
      <w:lvlText w:null="1"/>
      <w:lvlJc w:val="left"/>
      <w:pPr>
        <w:tabs>
          <w:tab w:val="num" w:pos="1416"/>
        </w:tabs>
      </w:pPr>
      <w:rPr>
        <w:rFonts w:cs="Times New Roman"/>
        <w:color w:val="000000"/>
      </w:rPr>
    </w:lvl>
    <w:lvl w:ilvl="5">
      <w:start w:val="1"/>
      <w:numFmt w:val="lowerRoman"/>
      <w:lvlText w:null="1"/>
      <w:lvlJc w:val="left"/>
      <w:pPr>
        <w:tabs>
          <w:tab w:val="num" w:pos="1416"/>
        </w:tabs>
      </w:pPr>
      <w:rPr>
        <w:rFonts w:cs="Times New Roman"/>
        <w:color w:val="000000"/>
      </w:rPr>
    </w:lvl>
    <w:lvl w:ilvl="6">
      <w:start w:val="1"/>
      <w:numFmt w:val="decimal"/>
      <w:lvlText w:null="1"/>
      <w:lvlJc w:val="left"/>
      <w:pPr>
        <w:tabs>
          <w:tab w:val="num" w:pos="1416"/>
        </w:tabs>
      </w:pPr>
      <w:rPr>
        <w:rFonts w:cs="Times New Roman"/>
        <w:color w:val="000000"/>
      </w:rPr>
    </w:lvl>
    <w:lvl w:ilvl="7">
      <w:start w:val="1"/>
      <w:numFmt w:val="lowerLetter"/>
      <w:lvlText w:null="1"/>
      <w:lvlJc w:val="left"/>
      <w:pPr>
        <w:tabs>
          <w:tab w:val="num" w:pos="1416"/>
        </w:tabs>
      </w:pPr>
      <w:rPr>
        <w:rFonts w:cs="Times New Roman"/>
        <w:color w:val="000000"/>
      </w:rPr>
    </w:lvl>
    <w:lvl w:ilvl="8">
      <w:start w:val="1"/>
      <w:numFmt w:val="lowerRoman"/>
      <w:lvlText w:null="1"/>
      <w:lvlJc w:val="left"/>
      <w:pPr>
        <w:tabs>
          <w:tab w:val="num" w:pos="1416"/>
        </w:tabs>
      </w:pPr>
      <w:rPr>
        <w:rFonts w:cs="Times New Roman"/>
        <w:color w:val="000000"/>
      </w:rPr>
    </w:lvl>
  </w:abstractNum>
  <w:abstractNum w:abstractNumId="22">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3">
    <w:nsid w:val="6FB94C00"/>
    <w:multiLevelType w:val="hybridMultilevel"/>
    <w:tmpl w:val="B9AE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DD7632"/>
    <w:multiLevelType w:val="multilevel"/>
    <w:tmpl w:val="C5F4B03E"/>
    <w:lvl w:ilvl="0">
      <w:start w:val="1"/>
      <w:numFmt w:val="decimal"/>
      <w:lvlText w:val="●"/>
      <w:lvlJc w:val="left"/>
      <w:pPr>
        <w:tabs>
          <w:tab w:val="num" w:pos="1816"/>
        </w:tabs>
        <w:ind w:left="1816" w:hanging="400"/>
      </w:pPr>
      <w:rPr>
        <w:rFonts w:ascii="Arial" w:hAnsi="Arial" w:cs="Arial"/>
        <w:color w:val="4F2683"/>
      </w:rPr>
    </w:lvl>
    <w:lvl w:ilvl="1">
      <w:start w:val="1"/>
      <w:numFmt w:val="lowerLetter"/>
      <w:lvlText w:val="–"/>
      <w:lvlJc w:val="left"/>
      <w:pPr>
        <w:tabs>
          <w:tab w:val="num" w:pos="2216"/>
        </w:tabs>
        <w:ind w:left="2216" w:hanging="400"/>
      </w:pPr>
      <w:rPr>
        <w:rFonts w:ascii="Arial" w:hAnsi="Arial" w:cs="Arial"/>
        <w:color w:val="4F2683"/>
      </w:rPr>
    </w:lvl>
    <w:lvl w:ilvl="2">
      <w:start w:val="1"/>
      <w:numFmt w:val="lowerRoman"/>
      <w:lvlText w:val="–"/>
      <w:lvlJc w:val="left"/>
      <w:pPr>
        <w:tabs>
          <w:tab w:val="num" w:pos="2616"/>
        </w:tabs>
        <w:ind w:left="2616" w:hanging="400"/>
      </w:pPr>
      <w:rPr>
        <w:rFonts w:ascii="Arial" w:hAnsi="Arial" w:cs="Arial"/>
        <w:color w:val="4F2683"/>
      </w:rPr>
    </w:lvl>
    <w:lvl w:ilvl="3">
      <w:start w:val="1"/>
      <w:numFmt w:val="decimal"/>
      <w:lvlText w:null="1"/>
      <w:lvlJc w:val="left"/>
      <w:pPr>
        <w:tabs>
          <w:tab w:val="num" w:pos="1416"/>
        </w:tabs>
      </w:pPr>
      <w:rPr>
        <w:rFonts w:cs="Times New Roman"/>
        <w:color w:val="000000"/>
      </w:rPr>
    </w:lvl>
    <w:lvl w:ilvl="4">
      <w:start w:val="1"/>
      <w:numFmt w:val="lowerLetter"/>
      <w:lvlText w:null="1"/>
      <w:lvlJc w:val="left"/>
      <w:pPr>
        <w:tabs>
          <w:tab w:val="num" w:pos="1416"/>
        </w:tabs>
      </w:pPr>
      <w:rPr>
        <w:rFonts w:cs="Times New Roman"/>
        <w:color w:val="000000"/>
      </w:rPr>
    </w:lvl>
    <w:lvl w:ilvl="5">
      <w:start w:val="1"/>
      <w:numFmt w:val="lowerRoman"/>
      <w:lvlText w:null="1"/>
      <w:lvlJc w:val="left"/>
      <w:pPr>
        <w:tabs>
          <w:tab w:val="num" w:pos="1416"/>
        </w:tabs>
      </w:pPr>
      <w:rPr>
        <w:rFonts w:cs="Times New Roman"/>
        <w:color w:val="000000"/>
      </w:rPr>
    </w:lvl>
    <w:lvl w:ilvl="6">
      <w:start w:val="1"/>
      <w:numFmt w:val="decimal"/>
      <w:lvlText w:null="1"/>
      <w:lvlJc w:val="left"/>
      <w:pPr>
        <w:tabs>
          <w:tab w:val="num" w:pos="1416"/>
        </w:tabs>
      </w:pPr>
      <w:rPr>
        <w:rFonts w:cs="Times New Roman"/>
        <w:color w:val="000000"/>
      </w:rPr>
    </w:lvl>
    <w:lvl w:ilvl="7">
      <w:start w:val="1"/>
      <w:numFmt w:val="lowerLetter"/>
      <w:lvlText w:null="1"/>
      <w:lvlJc w:val="left"/>
      <w:pPr>
        <w:tabs>
          <w:tab w:val="num" w:pos="1416"/>
        </w:tabs>
      </w:pPr>
      <w:rPr>
        <w:rFonts w:cs="Times New Roman"/>
        <w:color w:val="000000"/>
      </w:rPr>
    </w:lvl>
    <w:lvl w:ilvl="8">
      <w:start w:val="1"/>
      <w:numFmt w:val="lowerRoman"/>
      <w:lvlText w:null="1"/>
      <w:lvlJc w:val="left"/>
      <w:pPr>
        <w:tabs>
          <w:tab w:val="num" w:pos="1416"/>
        </w:tabs>
      </w:pPr>
      <w:rPr>
        <w:rFonts w:cs="Times New Roman"/>
        <w:color w:val="000000"/>
      </w:rPr>
    </w:lvl>
  </w:abstractNum>
  <w:abstractNum w:abstractNumId="25">
    <w:nsid w:val="771D76F3"/>
    <w:multiLevelType w:val="hybridMultilevel"/>
    <w:tmpl w:val="25B0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7344611"/>
    <w:multiLevelType w:val="multilevel"/>
    <w:tmpl w:val="5E5EA8CC"/>
    <w:lvl w:ilvl="0">
      <w:start w:val="1"/>
      <w:numFmt w:val="bullet"/>
      <w:lvlText w:val=""/>
      <w:lvlJc w:val="left"/>
      <w:pPr>
        <w:tabs>
          <w:tab w:val="num" w:pos="1816"/>
        </w:tabs>
        <w:ind w:left="1816" w:hanging="400"/>
      </w:pPr>
      <w:rPr>
        <w:rFonts w:ascii="Symbol" w:hAnsi="Symbol" w:hint="default"/>
        <w:color w:val="4F2683"/>
      </w:rPr>
    </w:lvl>
    <w:lvl w:ilvl="1">
      <w:start w:val="1"/>
      <w:numFmt w:val="lowerLetter"/>
      <w:lvlText w:val="–"/>
      <w:lvlJc w:val="left"/>
      <w:pPr>
        <w:tabs>
          <w:tab w:val="num" w:pos="2216"/>
        </w:tabs>
        <w:ind w:left="2216" w:hanging="400"/>
      </w:pPr>
      <w:rPr>
        <w:rFonts w:ascii="Arial" w:hAnsi="Arial" w:cs="Arial"/>
        <w:color w:val="4F2683"/>
      </w:rPr>
    </w:lvl>
    <w:lvl w:ilvl="2">
      <w:start w:val="1"/>
      <w:numFmt w:val="lowerRoman"/>
      <w:lvlText w:val="–"/>
      <w:lvlJc w:val="left"/>
      <w:pPr>
        <w:tabs>
          <w:tab w:val="num" w:pos="2616"/>
        </w:tabs>
        <w:ind w:left="2616" w:hanging="400"/>
      </w:pPr>
      <w:rPr>
        <w:rFonts w:ascii="Arial" w:hAnsi="Arial" w:cs="Arial"/>
        <w:color w:val="4F2683"/>
      </w:rPr>
    </w:lvl>
    <w:lvl w:ilvl="3">
      <w:start w:val="1"/>
      <w:numFmt w:val="decimal"/>
      <w:lvlText w:val="·"/>
      <w:lvlJc w:val="left"/>
      <w:pPr>
        <w:tabs>
          <w:tab w:val="num" w:pos="2776"/>
        </w:tabs>
        <w:ind w:left="2776" w:hanging="340"/>
      </w:pPr>
      <w:rPr>
        <w:rFonts w:ascii="Symbol" w:hAnsi="Symbol" w:cs="Times New Roman" w:hint="default"/>
      </w:rPr>
    </w:lvl>
    <w:lvl w:ilvl="4">
      <w:start w:val="1"/>
      <w:numFmt w:val="lowerLetter"/>
      <w:lvlText w:val="·"/>
      <w:lvlJc w:val="left"/>
      <w:pPr>
        <w:tabs>
          <w:tab w:val="num" w:pos="3116"/>
        </w:tabs>
        <w:ind w:left="3116" w:hanging="340"/>
      </w:pPr>
      <w:rPr>
        <w:rFonts w:ascii="Symbol" w:hAnsi="Symbol" w:cs="Times New Roman" w:hint="default"/>
      </w:rPr>
    </w:lvl>
    <w:lvl w:ilvl="5">
      <w:start w:val="1"/>
      <w:numFmt w:val="lowerRoman"/>
      <w:lvlText w:val="·"/>
      <w:lvlJc w:val="left"/>
      <w:pPr>
        <w:tabs>
          <w:tab w:val="num" w:pos="3456"/>
        </w:tabs>
        <w:ind w:left="3456" w:hanging="340"/>
      </w:pPr>
      <w:rPr>
        <w:rFonts w:ascii="Symbol" w:hAnsi="Symbol" w:cs="Times New Roman" w:hint="default"/>
      </w:rPr>
    </w:lvl>
    <w:lvl w:ilvl="6">
      <w:start w:val="1"/>
      <w:numFmt w:val="decimal"/>
      <w:lvlText w:val="·"/>
      <w:lvlJc w:val="left"/>
      <w:pPr>
        <w:tabs>
          <w:tab w:val="num" w:pos="3796"/>
        </w:tabs>
        <w:ind w:left="3796" w:hanging="340"/>
      </w:pPr>
      <w:rPr>
        <w:rFonts w:ascii="Symbol" w:hAnsi="Symbol" w:cs="Times New Roman" w:hint="default"/>
      </w:rPr>
    </w:lvl>
    <w:lvl w:ilvl="7">
      <w:start w:val="1"/>
      <w:numFmt w:val="lowerLetter"/>
      <w:lvlText w:val="·"/>
      <w:lvlJc w:val="left"/>
      <w:pPr>
        <w:tabs>
          <w:tab w:val="num" w:pos="4136"/>
        </w:tabs>
        <w:ind w:left="4136" w:hanging="340"/>
      </w:pPr>
      <w:rPr>
        <w:rFonts w:ascii="Symbol" w:hAnsi="Symbol" w:cs="Times New Roman" w:hint="default"/>
      </w:rPr>
    </w:lvl>
    <w:lvl w:ilvl="8">
      <w:start w:val="1"/>
      <w:numFmt w:val="lowerRoman"/>
      <w:lvlText w:val="·"/>
      <w:lvlJc w:val="left"/>
      <w:pPr>
        <w:tabs>
          <w:tab w:val="num" w:pos="4476"/>
        </w:tabs>
        <w:ind w:left="4476" w:hanging="340"/>
      </w:pPr>
      <w:rPr>
        <w:rFonts w:ascii="Symbol" w:hAnsi="Symbol" w:cs="Times New Roman" w:hint="default"/>
      </w:rPr>
    </w:lvl>
  </w:abstractNum>
  <w:abstractNum w:abstractNumId="27">
    <w:nsid w:val="7E8172D4"/>
    <w:multiLevelType w:val="multilevel"/>
    <w:tmpl w:val="121866B2"/>
    <w:lvl w:ilvl="0">
      <w:start w:val="1"/>
      <w:numFmt w:val="decimal"/>
      <w:lvlText w:val=""/>
      <w:lvlJc w:val="left"/>
      <w:pPr>
        <w:tabs>
          <w:tab w:val="num" w:pos="760"/>
        </w:tabs>
        <w:ind w:left="760" w:hanging="400"/>
      </w:pPr>
      <w:rPr>
        <w:rFonts w:ascii="Symbol" w:hAnsi="Symbol" w:cs="Times New Roman" w:hint="default"/>
        <w:color w:val="4F2683"/>
      </w:rPr>
    </w:lvl>
    <w:lvl w:ilvl="1">
      <w:start w:val="1"/>
      <w:numFmt w:val="lowerLetter"/>
      <w:lvlText w:val="–"/>
      <w:lvlJc w:val="left"/>
      <w:pPr>
        <w:tabs>
          <w:tab w:val="num" w:pos="1160"/>
        </w:tabs>
        <w:ind w:left="1160" w:hanging="400"/>
      </w:pPr>
      <w:rPr>
        <w:rFonts w:ascii="Arial" w:hAnsi="Arial" w:cs="Arial"/>
        <w:color w:val="4F2683"/>
      </w:rPr>
    </w:lvl>
    <w:lvl w:ilvl="2">
      <w:start w:val="1"/>
      <w:numFmt w:val="lowerRoman"/>
      <w:lvlText w:val="–"/>
      <w:lvlJc w:val="left"/>
      <w:pPr>
        <w:tabs>
          <w:tab w:val="num" w:pos="1560"/>
        </w:tabs>
        <w:ind w:left="1560" w:hanging="400"/>
      </w:pPr>
      <w:rPr>
        <w:rFonts w:ascii="Arial" w:hAnsi="Arial" w:cs="Arial"/>
        <w:color w:val="4F2683"/>
      </w:rPr>
    </w:lvl>
    <w:lvl w:ilvl="3">
      <w:start w:val="1"/>
      <w:numFmt w:val="decimal"/>
      <w:lvlText w:val="·"/>
      <w:lvlJc w:val="left"/>
      <w:pPr>
        <w:tabs>
          <w:tab w:val="num" w:pos="1720"/>
        </w:tabs>
        <w:ind w:left="1720" w:hanging="340"/>
      </w:pPr>
      <w:rPr>
        <w:rFonts w:ascii="Symbol" w:hAnsi="Symbol" w:cs="Times New Roman" w:hint="default"/>
      </w:rPr>
    </w:lvl>
    <w:lvl w:ilvl="4">
      <w:start w:val="1"/>
      <w:numFmt w:val="lowerLetter"/>
      <w:lvlText w:val="·"/>
      <w:lvlJc w:val="left"/>
      <w:pPr>
        <w:tabs>
          <w:tab w:val="num" w:pos="2060"/>
        </w:tabs>
        <w:ind w:left="2060" w:hanging="340"/>
      </w:pPr>
      <w:rPr>
        <w:rFonts w:ascii="Symbol" w:hAnsi="Symbol" w:cs="Times New Roman" w:hint="default"/>
      </w:rPr>
    </w:lvl>
    <w:lvl w:ilvl="5">
      <w:start w:val="1"/>
      <w:numFmt w:val="lowerRoman"/>
      <w:lvlText w:val="·"/>
      <w:lvlJc w:val="left"/>
      <w:pPr>
        <w:tabs>
          <w:tab w:val="num" w:pos="2400"/>
        </w:tabs>
        <w:ind w:left="2400" w:hanging="340"/>
      </w:pPr>
      <w:rPr>
        <w:rFonts w:ascii="Symbol" w:hAnsi="Symbol" w:cs="Times New Roman" w:hint="default"/>
      </w:rPr>
    </w:lvl>
    <w:lvl w:ilvl="6">
      <w:start w:val="1"/>
      <w:numFmt w:val="decimal"/>
      <w:lvlText w:val="·"/>
      <w:lvlJc w:val="left"/>
      <w:pPr>
        <w:tabs>
          <w:tab w:val="num" w:pos="2740"/>
        </w:tabs>
        <w:ind w:left="2740" w:hanging="340"/>
      </w:pPr>
      <w:rPr>
        <w:rFonts w:ascii="Symbol" w:hAnsi="Symbol" w:cs="Times New Roman" w:hint="default"/>
      </w:rPr>
    </w:lvl>
    <w:lvl w:ilvl="7">
      <w:start w:val="1"/>
      <w:numFmt w:val="lowerLetter"/>
      <w:lvlText w:val="·"/>
      <w:lvlJc w:val="left"/>
      <w:pPr>
        <w:tabs>
          <w:tab w:val="num" w:pos="3080"/>
        </w:tabs>
        <w:ind w:left="3080" w:hanging="340"/>
      </w:pPr>
      <w:rPr>
        <w:rFonts w:ascii="Symbol" w:hAnsi="Symbol" w:cs="Times New Roman" w:hint="default"/>
      </w:rPr>
    </w:lvl>
    <w:lvl w:ilvl="8">
      <w:start w:val="1"/>
      <w:numFmt w:val="lowerRoman"/>
      <w:lvlText w:val="·"/>
      <w:lvlJc w:val="left"/>
      <w:pPr>
        <w:tabs>
          <w:tab w:val="num" w:pos="3420"/>
        </w:tabs>
        <w:ind w:left="3420" w:hanging="340"/>
      </w:pPr>
      <w:rPr>
        <w:rFonts w:ascii="Symbol" w:hAnsi="Symbol" w:cs="Times New Roman" w:hint="default"/>
      </w:rPr>
    </w:lvl>
  </w:abstractNum>
  <w:abstractNum w:abstractNumId="28">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6"/>
  </w:num>
  <w:num w:numId="4">
    <w:abstractNumId w:val="19"/>
  </w:num>
  <w:num w:numId="5">
    <w:abstractNumId w:val="7"/>
  </w:num>
  <w:num w:numId="6">
    <w:abstractNumId w:val="6"/>
  </w:num>
  <w:num w:numId="7">
    <w:abstractNumId w:val="9"/>
  </w:num>
  <w:num w:numId="8">
    <w:abstractNumId w:val="28"/>
  </w:num>
  <w:num w:numId="9">
    <w:abstractNumId w:val="12"/>
  </w:num>
  <w:num w:numId="10">
    <w:abstractNumId w:val="10"/>
  </w:num>
  <w:num w:numId="11">
    <w:abstractNumId w:val="4"/>
  </w:num>
  <w:num w:numId="1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 w:ilvl="0">
        <w:numFmt w:val="bullet"/>
        <w:lvlText w:val=""/>
        <w:legacy w:legacy="1" w:legacySpace="0" w:legacyIndent="360"/>
        <w:lvlJc w:val="left"/>
        <w:pPr>
          <w:ind w:left="360" w:hanging="360"/>
        </w:pPr>
        <w:rPr>
          <w:rFonts w:ascii="Symbol" w:hAnsi="Symbol" w:hint="default"/>
        </w:rPr>
      </w:lvl>
    </w:lvlOverride>
  </w:num>
  <w:num w:numId="16">
    <w:abstractNumId w:val="27"/>
  </w:num>
  <w:num w:numId="17">
    <w:abstractNumId w:val="2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1"/>
  </w:num>
  <w:num w:numId="22">
    <w:abstractNumId w:val="15"/>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 w:numId="28">
    <w:abstractNumId w:val="8"/>
  </w:num>
  <w:num w:numId="29">
    <w:abstractNumId w:val="18"/>
  </w:num>
  <w:num w:numId="30">
    <w:abstractNumId w:val="17"/>
  </w:num>
  <w:num w:numId="31">
    <w:abstractNumId w:val="23"/>
  </w:num>
  <w:num w:numId="32">
    <w:abstractNumId w:val="26"/>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11F35"/>
    <w:rsid w:val="00030063"/>
    <w:rsid w:val="00041FAD"/>
    <w:rsid w:val="000A3DD0"/>
    <w:rsid w:val="000C27CD"/>
    <w:rsid w:val="000C35B7"/>
    <w:rsid w:val="000D75AD"/>
    <w:rsid w:val="000E340F"/>
    <w:rsid w:val="000F34A8"/>
    <w:rsid w:val="00100397"/>
    <w:rsid w:val="001167AA"/>
    <w:rsid w:val="00124174"/>
    <w:rsid w:val="001405AC"/>
    <w:rsid w:val="001437D9"/>
    <w:rsid w:val="001475B1"/>
    <w:rsid w:val="0015327D"/>
    <w:rsid w:val="00153BF8"/>
    <w:rsid w:val="001565BD"/>
    <w:rsid w:val="00162DF4"/>
    <w:rsid w:val="001703F2"/>
    <w:rsid w:val="001A112B"/>
    <w:rsid w:val="001A657D"/>
    <w:rsid w:val="001B0525"/>
    <w:rsid w:val="001B1202"/>
    <w:rsid w:val="001C604F"/>
    <w:rsid w:val="001D0031"/>
    <w:rsid w:val="001D04F6"/>
    <w:rsid w:val="001D5529"/>
    <w:rsid w:val="001F3A55"/>
    <w:rsid w:val="001F46BF"/>
    <w:rsid w:val="001F533C"/>
    <w:rsid w:val="002327A5"/>
    <w:rsid w:val="00240165"/>
    <w:rsid w:val="002633FA"/>
    <w:rsid w:val="00263510"/>
    <w:rsid w:val="00286AF0"/>
    <w:rsid w:val="00295F8C"/>
    <w:rsid w:val="00296A28"/>
    <w:rsid w:val="002B3D4D"/>
    <w:rsid w:val="002C1E54"/>
    <w:rsid w:val="002F5FFC"/>
    <w:rsid w:val="0030009E"/>
    <w:rsid w:val="00301217"/>
    <w:rsid w:val="00302A6A"/>
    <w:rsid w:val="00303772"/>
    <w:rsid w:val="003107DC"/>
    <w:rsid w:val="00336D21"/>
    <w:rsid w:val="0034457C"/>
    <w:rsid w:val="003452C0"/>
    <w:rsid w:val="003477D0"/>
    <w:rsid w:val="00354D7E"/>
    <w:rsid w:val="00354E43"/>
    <w:rsid w:val="00363BB4"/>
    <w:rsid w:val="003646BB"/>
    <w:rsid w:val="003658DD"/>
    <w:rsid w:val="00371244"/>
    <w:rsid w:val="003748A9"/>
    <w:rsid w:val="0037628F"/>
    <w:rsid w:val="003A4E79"/>
    <w:rsid w:val="003C0279"/>
    <w:rsid w:val="003C5CEE"/>
    <w:rsid w:val="003D2DA7"/>
    <w:rsid w:val="003F1641"/>
    <w:rsid w:val="003F6655"/>
    <w:rsid w:val="0040695B"/>
    <w:rsid w:val="00407BC1"/>
    <w:rsid w:val="0041749A"/>
    <w:rsid w:val="004254E8"/>
    <w:rsid w:val="00444C98"/>
    <w:rsid w:val="00451643"/>
    <w:rsid w:val="00452EFB"/>
    <w:rsid w:val="004738A9"/>
    <w:rsid w:val="00481769"/>
    <w:rsid w:val="00483358"/>
    <w:rsid w:val="00484702"/>
    <w:rsid w:val="0049695D"/>
    <w:rsid w:val="004A78C1"/>
    <w:rsid w:val="004B64F4"/>
    <w:rsid w:val="004C1680"/>
    <w:rsid w:val="004C77E5"/>
    <w:rsid w:val="004D7287"/>
    <w:rsid w:val="004E0406"/>
    <w:rsid w:val="004E4E74"/>
    <w:rsid w:val="004F2CCE"/>
    <w:rsid w:val="004F70DD"/>
    <w:rsid w:val="0051454C"/>
    <w:rsid w:val="00532B6D"/>
    <w:rsid w:val="00535D8A"/>
    <w:rsid w:val="00535E64"/>
    <w:rsid w:val="0053749D"/>
    <w:rsid w:val="005612CB"/>
    <w:rsid w:val="00562793"/>
    <w:rsid w:val="00572576"/>
    <w:rsid w:val="00592EDB"/>
    <w:rsid w:val="005A0BD8"/>
    <w:rsid w:val="005B0F27"/>
    <w:rsid w:val="005C7409"/>
    <w:rsid w:val="005E02FC"/>
    <w:rsid w:val="00604D5B"/>
    <w:rsid w:val="0062582F"/>
    <w:rsid w:val="006275D0"/>
    <w:rsid w:val="00637FC7"/>
    <w:rsid w:val="0065594B"/>
    <w:rsid w:val="00662E6C"/>
    <w:rsid w:val="0069239F"/>
    <w:rsid w:val="006972F1"/>
    <w:rsid w:val="006A0771"/>
    <w:rsid w:val="006A14D1"/>
    <w:rsid w:val="006A3986"/>
    <w:rsid w:val="006B3DF4"/>
    <w:rsid w:val="006D1E70"/>
    <w:rsid w:val="006D72DF"/>
    <w:rsid w:val="006E0098"/>
    <w:rsid w:val="006E2AF1"/>
    <w:rsid w:val="00705F0E"/>
    <w:rsid w:val="00732D38"/>
    <w:rsid w:val="007548F5"/>
    <w:rsid w:val="007566E0"/>
    <w:rsid w:val="00761603"/>
    <w:rsid w:val="00765BC2"/>
    <w:rsid w:val="00765C18"/>
    <w:rsid w:val="00770899"/>
    <w:rsid w:val="00772842"/>
    <w:rsid w:val="0078116A"/>
    <w:rsid w:val="007A4C06"/>
    <w:rsid w:val="007C1795"/>
    <w:rsid w:val="007C287F"/>
    <w:rsid w:val="007D6ACE"/>
    <w:rsid w:val="007E5E95"/>
    <w:rsid w:val="007E6D83"/>
    <w:rsid w:val="00811644"/>
    <w:rsid w:val="0084739D"/>
    <w:rsid w:val="00870989"/>
    <w:rsid w:val="00873388"/>
    <w:rsid w:val="00877760"/>
    <w:rsid w:val="00886EE0"/>
    <w:rsid w:val="008A5FB4"/>
    <w:rsid w:val="008C44A9"/>
    <w:rsid w:val="008D13A4"/>
    <w:rsid w:val="008D79EE"/>
    <w:rsid w:val="008F3792"/>
    <w:rsid w:val="008F7AD7"/>
    <w:rsid w:val="00901314"/>
    <w:rsid w:val="00906007"/>
    <w:rsid w:val="00933FF2"/>
    <w:rsid w:val="00936005"/>
    <w:rsid w:val="00981DAD"/>
    <w:rsid w:val="009843B0"/>
    <w:rsid w:val="00994981"/>
    <w:rsid w:val="00997BF5"/>
    <w:rsid w:val="009A681E"/>
    <w:rsid w:val="009C16FD"/>
    <w:rsid w:val="009D1EE7"/>
    <w:rsid w:val="009D5187"/>
    <w:rsid w:val="009E060E"/>
    <w:rsid w:val="009F01BA"/>
    <w:rsid w:val="009F05FF"/>
    <w:rsid w:val="009F45D4"/>
    <w:rsid w:val="00A02791"/>
    <w:rsid w:val="00A101FB"/>
    <w:rsid w:val="00A3734E"/>
    <w:rsid w:val="00A40773"/>
    <w:rsid w:val="00A41FE4"/>
    <w:rsid w:val="00A447F0"/>
    <w:rsid w:val="00A6497B"/>
    <w:rsid w:val="00A73F45"/>
    <w:rsid w:val="00A843EA"/>
    <w:rsid w:val="00A96A89"/>
    <w:rsid w:val="00AD09D9"/>
    <w:rsid w:val="00AD2834"/>
    <w:rsid w:val="00B00DA6"/>
    <w:rsid w:val="00B359FC"/>
    <w:rsid w:val="00B50140"/>
    <w:rsid w:val="00B64FFB"/>
    <w:rsid w:val="00B73EC7"/>
    <w:rsid w:val="00B75EED"/>
    <w:rsid w:val="00B80619"/>
    <w:rsid w:val="00B85E85"/>
    <w:rsid w:val="00B9673A"/>
    <w:rsid w:val="00B977A6"/>
    <w:rsid w:val="00BA1D26"/>
    <w:rsid w:val="00BD5832"/>
    <w:rsid w:val="00C04E5D"/>
    <w:rsid w:val="00C16AD1"/>
    <w:rsid w:val="00C27DED"/>
    <w:rsid w:val="00C414C1"/>
    <w:rsid w:val="00C44DFE"/>
    <w:rsid w:val="00C52917"/>
    <w:rsid w:val="00C54B9E"/>
    <w:rsid w:val="00C81AB2"/>
    <w:rsid w:val="00C83A05"/>
    <w:rsid w:val="00C87EA1"/>
    <w:rsid w:val="00CA0C7B"/>
    <w:rsid w:val="00CB0671"/>
    <w:rsid w:val="00CB48F4"/>
    <w:rsid w:val="00CC7F4A"/>
    <w:rsid w:val="00CD61A6"/>
    <w:rsid w:val="00CE226E"/>
    <w:rsid w:val="00CF613B"/>
    <w:rsid w:val="00D0009B"/>
    <w:rsid w:val="00D00BF9"/>
    <w:rsid w:val="00D06068"/>
    <w:rsid w:val="00D33BCE"/>
    <w:rsid w:val="00D43F12"/>
    <w:rsid w:val="00D46AF4"/>
    <w:rsid w:val="00D46C4B"/>
    <w:rsid w:val="00D65C4A"/>
    <w:rsid w:val="00D670E7"/>
    <w:rsid w:val="00D72AFD"/>
    <w:rsid w:val="00D95384"/>
    <w:rsid w:val="00D96C9F"/>
    <w:rsid w:val="00DC3C5C"/>
    <w:rsid w:val="00DC57FF"/>
    <w:rsid w:val="00DD6B9D"/>
    <w:rsid w:val="00DD741F"/>
    <w:rsid w:val="00E31254"/>
    <w:rsid w:val="00E342EF"/>
    <w:rsid w:val="00E4542F"/>
    <w:rsid w:val="00E51D71"/>
    <w:rsid w:val="00E722DF"/>
    <w:rsid w:val="00E72FC8"/>
    <w:rsid w:val="00E76E16"/>
    <w:rsid w:val="00E843BC"/>
    <w:rsid w:val="00E86E6C"/>
    <w:rsid w:val="00EA1831"/>
    <w:rsid w:val="00EB2850"/>
    <w:rsid w:val="00EB58D7"/>
    <w:rsid w:val="00EC7DFC"/>
    <w:rsid w:val="00EE3899"/>
    <w:rsid w:val="00EE3935"/>
    <w:rsid w:val="00EE638E"/>
    <w:rsid w:val="00EF27CA"/>
    <w:rsid w:val="00F03A95"/>
    <w:rsid w:val="00F124F8"/>
    <w:rsid w:val="00F262B1"/>
    <w:rsid w:val="00F35BEF"/>
    <w:rsid w:val="00F426A7"/>
    <w:rsid w:val="00F4570C"/>
    <w:rsid w:val="00F46B93"/>
    <w:rsid w:val="00F56FB2"/>
    <w:rsid w:val="00F7432F"/>
    <w:rsid w:val="00F92E14"/>
    <w:rsid w:val="00F948BE"/>
    <w:rsid w:val="00FC3BC8"/>
    <w:rsid w:val="00FE3AE2"/>
    <w:rsid w:val="00FE4559"/>
    <w:rsid w:val="00FF29C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96C9F"/>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uiPriority w:val="99"/>
    <w:qFormat/>
    <w:locked/>
    <w:rsid w:val="000E34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D96C9F"/>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6C9F"/>
    <w:rPr>
      <w:rFonts w:ascii="Calibri" w:hAnsi="Calibri"/>
      <w:b/>
      <w:kern w:val="32"/>
      <w:sz w:val="32"/>
      <w:lang w:val="fr-FR" w:eastAsia="fr-FR"/>
    </w:rPr>
  </w:style>
  <w:style w:type="character" w:customStyle="1" w:styleId="Heading2Char">
    <w:name w:val="Heading 2 Char"/>
    <w:basedOn w:val="DefaultParagraphFont"/>
    <w:link w:val="Heading2"/>
    <w:uiPriority w:val="99"/>
    <w:locked/>
    <w:rsid w:val="000E340F"/>
    <w:rPr>
      <w:rFonts w:ascii="Cambria" w:hAnsi="Cambria" w:cs="Times New Roman"/>
      <w:b/>
      <w:bCs/>
      <w:i/>
      <w:iCs/>
      <w:sz w:val="28"/>
      <w:szCs w:val="28"/>
      <w:lang w:val="fr-FR" w:eastAsia="fr-FR"/>
    </w:rPr>
  </w:style>
  <w:style w:type="character" w:customStyle="1" w:styleId="Heading3Char">
    <w:name w:val="Heading 3 Char"/>
    <w:basedOn w:val="DefaultParagraphFont"/>
    <w:link w:val="Heading3"/>
    <w:uiPriority w:val="99"/>
    <w:locked/>
    <w:rsid w:val="00D96C9F"/>
    <w:rPr>
      <w:rFonts w:ascii="Calibri" w:hAnsi="Calibri"/>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D96C9F"/>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D96C9F"/>
    <w:rPr>
      <w:rFonts w:ascii="Arial" w:hAnsi="Arial"/>
      <w:sz w:val="24"/>
      <w:lang w:val="en-GB" w:eastAsia="en-GB"/>
    </w:rPr>
  </w:style>
  <w:style w:type="paragraph" w:customStyle="1" w:styleId="Elencoacolori-Colore11">
    <w:name w:val="Elenco a colori - Colore 11"/>
    <w:basedOn w:val="Normal"/>
    <w:uiPriority w:val="99"/>
    <w:rsid w:val="00D96C9F"/>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D96C9F"/>
    <w:rPr>
      <w:rFonts w:ascii="Tahoma" w:hAnsi="Tahoma"/>
      <w:sz w:val="16"/>
      <w:szCs w:val="16"/>
    </w:rPr>
  </w:style>
  <w:style w:type="character" w:customStyle="1" w:styleId="BalloonTextChar">
    <w:name w:val="Balloon Text Char"/>
    <w:basedOn w:val="DefaultParagraphFont"/>
    <w:link w:val="BalloonText"/>
    <w:uiPriority w:val="99"/>
    <w:locked/>
    <w:rsid w:val="00D96C9F"/>
    <w:rPr>
      <w:rFonts w:ascii="Tahoma" w:hAnsi="Tahoma"/>
      <w:sz w:val="16"/>
      <w:lang w:val="fr-FR" w:eastAsia="fr-FR"/>
    </w:rPr>
  </w:style>
  <w:style w:type="character" w:styleId="Strong">
    <w:name w:val="Strong"/>
    <w:basedOn w:val="DefaultParagraphFont"/>
    <w:uiPriority w:val="99"/>
    <w:qFormat/>
    <w:rsid w:val="00D96C9F"/>
    <w:rPr>
      <w:rFonts w:cs="Times New Roman"/>
      <w:b/>
    </w:rPr>
  </w:style>
  <w:style w:type="character" w:styleId="Hyperlink">
    <w:name w:val="Hyperlink"/>
    <w:basedOn w:val="DefaultParagraphFont"/>
    <w:uiPriority w:val="99"/>
    <w:rsid w:val="00D96C9F"/>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Char Char Char,f,fn"/>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locked/>
    <w:rsid w:val="001F3A55"/>
    <w:rPr>
      <w:rFonts w:ascii="Calibri" w:hAnsi="Calibri"/>
      <w:lang w:val="en-GB" w:eastAsia="en-GB"/>
    </w:rPr>
  </w:style>
  <w:style w:type="character" w:styleId="FootnoteReference">
    <w:name w:val="footnote reference"/>
    <w:aliases w:val="Appel note de bas de p,Footnote"/>
    <w:basedOn w:val="DefaultParagraphFont"/>
    <w:uiPriority w:val="99"/>
    <w:rsid w:val="001F3A55"/>
    <w:rPr>
      <w:rFonts w:cs="Times New Roman"/>
      <w:vertAlign w:val="superscript"/>
    </w:rPr>
  </w:style>
  <w:style w:type="paragraph" w:customStyle="1" w:styleId="BulletList2">
    <w:name w:val="Bullet List 2"/>
    <w:basedOn w:val="BulletList1"/>
    <w:uiPriority w:val="99"/>
    <w:rsid w:val="00D72AFD"/>
    <w:pPr>
      <w:numPr>
        <w:ilvl w:val="1"/>
      </w:numPr>
      <w:tabs>
        <w:tab w:val="num" w:pos="576"/>
        <w:tab w:val="num" w:pos="926"/>
        <w:tab w:val="num" w:pos="1209"/>
      </w:tabs>
      <w:ind w:left="576" w:hanging="576"/>
    </w:pPr>
  </w:style>
  <w:style w:type="paragraph" w:customStyle="1" w:styleId="BulletList1">
    <w:name w:val="Bullet List 1"/>
    <w:basedOn w:val="Normal"/>
    <w:link w:val="BulletList1Char"/>
    <w:uiPriority w:val="99"/>
    <w:rsid w:val="00D72AFD"/>
    <w:pPr>
      <w:numPr>
        <w:numId w:val="15"/>
      </w:numPr>
      <w:tabs>
        <w:tab w:val="num" w:pos="760"/>
      </w:tabs>
      <w:spacing w:before="120" w:after="120" w:line="287" w:lineRule="auto"/>
      <w:ind w:left="760" w:hanging="400"/>
    </w:pPr>
    <w:rPr>
      <w:rFonts w:ascii="Arial" w:hAnsi="Arial"/>
      <w:sz w:val="20"/>
      <w:lang w:val="en-GB" w:eastAsia="en-GB"/>
    </w:rPr>
  </w:style>
  <w:style w:type="paragraph" w:customStyle="1" w:styleId="BulletList3">
    <w:name w:val="Bullet List 3"/>
    <w:basedOn w:val="BulletList2"/>
    <w:uiPriority w:val="99"/>
    <w:rsid w:val="00D72AFD"/>
    <w:pPr>
      <w:numPr>
        <w:ilvl w:val="2"/>
      </w:numPr>
      <w:tabs>
        <w:tab w:val="num" w:pos="720"/>
        <w:tab w:val="num" w:pos="1560"/>
      </w:tabs>
      <w:ind w:left="720" w:hanging="720"/>
    </w:pPr>
  </w:style>
  <w:style w:type="paragraph" w:customStyle="1" w:styleId="BulletList4">
    <w:name w:val="Bullet List 4"/>
    <w:basedOn w:val="BulletList3"/>
    <w:uiPriority w:val="99"/>
    <w:rsid w:val="00D72AFD"/>
    <w:pPr>
      <w:numPr>
        <w:ilvl w:val="3"/>
      </w:numPr>
      <w:tabs>
        <w:tab w:val="num" w:pos="864"/>
        <w:tab w:val="num" w:pos="1720"/>
      </w:tabs>
      <w:ind w:left="864" w:hanging="864"/>
    </w:pPr>
  </w:style>
  <w:style w:type="paragraph" w:customStyle="1" w:styleId="BulletList5">
    <w:name w:val="Bullet List 5"/>
    <w:basedOn w:val="BulletList4"/>
    <w:uiPriority w:val="99"/>
    <w:rsid w:val="00D72AFD"/>
    <w:pPr>
      <w:numPr>
        <w:ilvl w:val="4"/>
      </w:numPr>
      <w:tabs>
        <w:tab w:val="num" w:pos="1008"/>
        <w:tab w:val="num" w:pos="2060"/>
      </w:tabs>
      <w:ind w:left="1008" w:hanging="1008"/>
    </w:pPr>
  </w:style>
  <w:style w:type="paragraph" w:customStyle="1" w:styleId="BulletList6">
    <w:name w:val="Bullet List 6"/>
    <w:basedOn w:val="BulletList5"/>
    <w:uiPriority w:val="99"/>
    <w:rsid w:val="00D72AFD"/>
    <w:pPr>
      <w:numPr>
        <w:ilvl w:val="5"/>
      </w:numPr>
      <w:tabs>
        <w:tab w:val="num" w:pos="1152"/>
        <w:tab w:val="num" w:pos="2400"/>
      </w:tabs>
      <w:ind w:left="1152" w:hanging="1152"/>
    </w:pPr>
  </w:style>
  <w:style w:type="paragraph" w:customStyle="1" w:styleId="BulletList7">
    <w:name w:val="Bullet List 7"/>
    <w:basedOn w:val="BulletList6"/>
    <w:uiPriority w:val="99"/>
    <w:rsid w:val="00D72AFD"/>
    <w:pPr>
      <w:numPr>
        <w:ilvl w:val="6"/>
      </w:numPr>
      <w:tabs>
        <w:tab w:val="num" w:pos="1296"/>
        <w:tab w:val="num" w:pos="2740"/>
      </w:tabs>
      <w:ind w:left="1296" w:hanging="1296"/>
    </w:pPr>
  </w:style>
  <w:style w:type="paragraph" w:customStyle="1" w:styleId="BulletList8">
    <w:name w:val="Bullet List 8"/>
    <w:basedOn w:val="BulletList7"/>
    <w:uiPriority w:val="99"/>
    <w:rsid w:val="00D72AFD"/>
    <w:pPr>
      <w:numPr>
        <w:ilvl w:val="7"/>
      </w:numPr>
      <w:tabs>
        <w:tab w:val="num" w:pos="1440"/>
        <w:tab w:val="num" w:pos="3080"/>
      </w:tabs>
      <w:ind w:left="1440" w:hanging="1440"/>
    </w:pPr>
  </w:style>
  <w:style w:type="paragraph" w:customStyle="1" w:styleId="BulletList9">
    <w:name w:val="Bullet List 9"/>
    <w:basedOn w:val="BulletList8"/>
    <w:uiPriority w:val="99"/>
    <w:rsid w:val="00D72AFD"/>
    <w:pPr>
      <w:numPr>
        <w:ilvl w:val="8"/>
      </w:numPr>
      <w:tabs>
        <w:tab w:val="num" w:pos="1584"/>
        <w:tab w:val="num" w:pos="3420"/>
      </w:tabs>
      <w:ind w:left="1584" w:hanging="1584"/>
    </w:pPr>
  </w:style>
  <w:style w:type="character" w:customStyle="1" w:styleId="BulletList1Char">
    <w:name w:val="Bullet List 1 Char"/>
    <w:basedOn w:val="DefaultParagraphFont"/>
    <w:link w:val="BulletList1"/>
    <w:uiPriority w:val="99"/>
    <w:locked/>
    <w:rsid w:val="00D72AFD"/>
    <w:rPr>
      <w:rFonts w:ascii="Arial" w:hAnsi="Arial" w:cs="Times New Roman"/>
      <w:sz w:val="24"/>
      <w:szCs w:val="24"/>
      <w:lang w:val="en-GB" w:eastAsia="en-GB" w:bidi="ar-SA"/>
    </w:rPr>
  </w:style>
  <w:style w:type="character" w:customStyle="1" w:styleId="FootnoteTextChar1">
    <w:name w:val="Footnote Text Char1"/>
    <w:aliases w:val="ALTS FOOTNOTE Char1,Footnote Text2 Char1,Footnote Text11 Char1,ALTS FOOTNOTE11 Char1,Footnote Text Char111 Char1,Footnote Text Char Char Char11 Char1,Footnote Text Char1 Char Char Char Char11 Char1,ALTS FOOTNOTE2 Char,f Char,fn Char"/>
    <w:basedOn w:val="DefaultParagraphFont"/>
    <w:uiPriority w:val="99"/>
    <w:locked/>
    <w:rsid w:val="00C83A05"/>
    <w:rPr>
      <w:rFonts w:ascii="Arial" w:hAnsi="Arial" w:cs="Times New Roman"/>
      <w:sz w:val="24"/>
      <w:szCs w:val="24"/>
      <w:lang w:val="en-GB" w:eastAsia="de-DE"/>
    </w:rPr>
  </w:style>
  <w:style w:type="paragraph" w:customStyle="1" w:styleId="FigureCaption">
    <w:name w:val="Figure Caption"/>
    <w:basedOn w:val="Normal"/>
    <w:next w:val="BodyText"/>
    <w:uiPriority w:val="99"/>
    <w:rsid w:val="00C83A05"/>
    <w:pPr>
      <w:keepNext/>
      <w:keepLines/>
      <w:spacing w:before="360" w:after="120" w:line="288" w:lineRule="auto"/>
    </w:pPr>
    <w:rPr>
      <w:rFonts w:ascii="Arial" w:hAnsi="Arial"/>
      <w:b/>
      <w:color w:val="939598"/>
      <w:sz w:val="20"/>
      <w:lang w:val="en-GB" w:eastAsia="en-GB"/>
    </w:rPr>
  </w:style>
  <w:style w:type="paragraph" w:customStyle="1" w:styleId="AfterTable">
    <w:name w:val="After Table"/>
    <w:basedOn w:val="BodyText"/>
    <w:next w:val="BodyText"/>
    <w:uiPriority w:val="99"/>
    <w:rsid w:val="00C83A05"/>
    <w:pPr>
      <w:spacing w:before="360"/>
    </w:pPr>
    <w:rPr>
      <w:sz w:val="20"/>
    </w:rPr>
  </w:style>
  <w:style w:type="paragraph" w:customStyle="1" w:styleId="TableCaption">
    <w:name w:val="Table Caption"/>
    <w:basedOn w:val="BodyText"/>
    <w:next w:val="BodyText"/>
    <w:uiPriority w:val="99"/>
    <w:rsid w:val="00301217"/>
    <w:pPr>
      <w:keepNext/>
      <w:keepLines/>
      <w:spacing w:before="360"/>
    </w:pPr>
    <w:rPr>
      <w:b/>
      <w:color w:val="939598"/>
      <w:sz w:val="20"/>
    </w:rPr>
  </w:style>
  <w:style w:type="character" w:styleId="PageNumber">
    <w:name w:val="page number"/>
    <w:basedOn w:val="DefaultParagraphFont"/>
    <w:uiPriority w:val="99"/>
    <w:rsid w:val="006E2AF1"/>
    <w:rPr>
      <w:rFonts w:cs="Times New Roman"/>
    </w:rPr>
  </w:style>
  <w:style w:type="paragraph" w:styleId="ListNumber5">
    <w:name w:val="List Number 5"/>
    <w:basedOn w:val="Normal"/>
    <w:uiPriority w:val="99"/>
    <w:rsid w:val="006E2AF1"/>
    <w:pPr>
      <w:numPr>
        <w:numId w:val="21"/>
      </w:numPr>
      <w:tabs>
        <w:tab w:val="clear" w:pos="926"/>
        <w:tab w:val="num" w:pos="1492"/>
      </w:tabs>
      <w:ind w:left="1492"/>
      <w:contextualSpacing/>
    </w:pPr>
    <w:rPr>
      <w:sz w:val="20"/>
      <w:lang w:val="en-GB" w:eastAsia="en-GB"/>
    </w:rPr>
  </w:style>
  <w:style w:type="character" w:styleId="CommentReference">
    <w:name w:val="annotation reference"/>
    <w:basedOn w:val="DefaultParagraphFont"/>
    <w:uiPriority w:val="99"/>
    <w:rsid w:val="0040695B"/>
    <w:rPr>
      <w:rFonts w:cs="Times New Roman"/>
      <w:sz w:val="16"/>
      <w:szCs w:val="16"/>
    </w:rPr>
  </w:style>
  <w:style w:type="paragraph" w:styleId="CommentText">
    <w:name w:val="annotation text"/>
    <w:basedOn w:val="Normal"/>
    <w:link w:val="CommentTextChar"/>
    <w:uiPriority w:val="99"/>
    <w:rsid w:val="0040695B"/>
    <w:rPr>
      <w:sz w:val="20"/>
      <w:szCs w:val="20"/>
    </w:rPr>
  </w:style>
  <w:style w:type="character" w:customStyle="1" w:styleId="CommentTextChar">
    <w:name w:val="Comment Text Char"/>
    <w:basedOn w:val="DefaultParagraphFont"/>
    <w:link w:val="CommentText"/>
    <w:uiPriority w:val="99"/>
    <w:locked/>
    <w:rsid w:val="0040695B"/>
    <w:rPr>
      <w:rFonts w:cs="Times New Roman"/>
      <w:lang w:val="fr-FR" w:eastAsia="fr-FR"/>
    </w:rPr>
  </w:style>
  <w:style w:type="paragraph" w:styleId="CommentSubject">
    <w:name w:val="annotation subject"/>
    <w:basedOn w:val="CommentText"/>
    <w:next w:val="CommentText"/>
    <w:link w:val="CommentSubjectChar"/>
    <w:uiPriority w:val="99"/>
    <w:rsid w:val="0040695B"/>
    <w:rPr>
      <w:b/>
      <w:bCs/>
    </w:rPr>
  </w:style>
  <w:style w:type="character" w:customStyle="1" w:styleId="CommentSubjectChar">
    <w:name w:val="Comment Subject Char"/>
    <w:basedOn w:val="CommentTextChar"/>
    <w:link w:val="CommentSubject"/>
    <w:uiPriority w:val="99"/>
    <w:locked/>
    <w:rsid w:val="0040695B"/>
    <w:rPr>
      <w:b/>
      <w:bCs/>
    </w:rPr>
  </w:style>
  <w:style w:type="paragraph" w:styleId="Revision">
    <w:name w:val="Revision"/>
    <w:hidden/>
    <w:uiPriority w:val="99"/>
    <w:semiHidden/>
    <w:rsid w:val="0040695B"/>
    <w:rPr>
      <w:sz w:val="24"/>
      <w:szCs w:val="24"/>
    </w:rPr>
  </w:style>
  <w:style w:type="character" w:styleId="FollowedHyperlink">
    <w:name w:val="FollowedHyperlink"/>
    <w:basedOn w:val="DefaultParagraphFont"/>
    <w:uiPriority w:val="99"/>
    <w:rsid w:val="00B73EC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577324086">
      <w:marLeft w:val="0"/>
      <w:marRight w:val="0"/>
      <w:marTop w:val="0"/>
      <w:marBottom w:val="0"/>
      <w:divBdr>
        <w:top w:val="none" w:sz="0" w:space="0" w:color="auto"/>
        <w:left w:val="none" w:sz="0" w:space="0" w:color="auto"/>
        <w:bottom w:val="none" w:sz="0" w:space="0" w:color="auto"/>
        <w:right w:val="none" w:sz="0" w:space="0" w:color="auto"/>
      </w:divBdr>
    </w:div>
    <w:div w:id="577324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package" Target="embeddings/Microsoft_Office_PowerPoint_Slide11.sldx"/></Relationships>
</file>

<file path=word/_rels/footnotes.xml.rels><?xml version="1.0" encoding="UTF-8" standalone="yes"?>
<Relationships xmlns="http://schemas.openxmlformats.org/package/2006/relationships"><Relationship Id="rId3" Type="http://schemas.openxmlformats.org/officeDocument/2006/relationships/hyperlink" Target="http://www.cs.ucla.edu/~falaki/pub/imc153s-falaki.pdf" TargetMode="External"/><Relationship Id="rId2" Type="http://schemas.openxmlformats.org/officeDocument/2006/relationships/hyperlink" Target="http://lib.tkk.fi/Dipl/2009/urn100072.pdf" TargetMode="External"/><Relationship Id="rId1" Type="http://schemas.openxmlformats.org/officeDocument/2006/relationships/hyperlink" Target="http://stakeholders.ofcom.org.uk/binaries/research/cmr/753567/CMR_2010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15</Pages>
  <Words>4093</Words>
  <Characters>22516</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Qualcomm</dc:creator>
  <cp:keywords/>
  <dc:description/>
  <cp:lastModifiedBy>Benoist Deschamps</cp:lastModifiedBy>
  <cp:revision>2</cp:revision>
  <cp:lastPrinted>2011-07-08T12:52:00Z</cp:lastPrinted>
  <dcterms:created xsi:type="dcterms:W3CDTF">2011-11-21T14:44:00Z</dcterms:created>
  <dcterms:modified xsi:type="dcterms:W3CDTF">2011-11-21T14:44:00Z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1550482296</vt:i4>
  </property>
  <property fmtid="{D5CDD505-2E9C-101B-9397-08002B2CF9AE}" pid="3" name="_NewReviewCycle">
    <vt:lpwstr/>
  </property>
  <property fmtid="{D5CDD505-2E9C-101B-9397-08002B2CF9AE}" pid="4" name="_EmailSubject">
    <vt:lpwstr>Contribution to FM50</vt:lpwstr>
  </property>
  <property fmtid="{D5CDD505-2E9C-101B-9397-08002B2CF9AE}" pid="5" name="_AuthorEmail">
    <vt:lpwstr>wchourba@qualcomm.com</vt:lpwstr>
  </property>
  <property fmtid="{D5CDD505-2E9C-101B-9397-08002B2CF9AE}" pid="6" name="_AuthorEmailDisplayName">
    <vt:lpwstr>Chourbaji, Wassim</vt:lpwstr>
  </property>
  <property fmtid="{D5CDD505-2E9C-101B-9397-08002B2CF9AE}" pid="7" name="_PreviousAdHocReviewCycleID">
    <vt:i4>-1443803571</vt:i4>
  </property>
  <property fmtid="{D5CDD505-2E9C-101B-9397-08002B2CF9AE}" pid="8" name="_ReviewingToolsShownOnce">
    <vt:lpwstr/>
  </property>
</Properties>
</file>