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6" w:type="dxa"/>
        <w:tblInd w:w="-497" w:type="dxa"/>
        <w:tblLayout w:type="fixed"/>
        <w:tblCellMar>
          <w:left w:w="70" w:type="dxa"/>
          <w:right w:w="70" w:type="dxa"/>
        </w:tblCellMar>
        <w:tblLook w:val="0000"/>
      </w:tblPr>
      <w:tblGrid>
        <w:gridCol w:w="5670"/>
        <w:gridCol w:w="4536"/>
      </w:tblGrid>
      <w:tr w:rsidR="00DD5C16" w:rsidTr="00E50E85">
        <w:trPr>
          <w:cantSplit/>
        </w:trPr>
        <w:tc>
          <w:tcPr>
            <w:tcW w:w="5670" w:type="dxa"/>
          </w:tcPr>
          <w:p w:rsidR="00DD5C16" w:rsidRDefault="00DD5C16" w:rsidP="00E50E85">
            <w:pPr>
              <w:ind w:right="282"/>
            </w:pPr>
            <w:r w:rsidRPr="0017693F">
              <w:rPr>
                <w:b/>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25.25pt;height:64.5pt;visibility:visible">
                  <v:imagedata r:id="rId5" o:title=""/>
                </v:shape>
              </w:pict>
            </w:r>
          </w:p>
        </w:tc>
        <w:tc>
          <w:tcPr>
            <w:tcW w:w="4536" w:type="dxa"/>
          </w:tcPr>
          <w:p w:rsidR="00DD5C16" w:rsidRPr="008864EA" w:rsidRDefault="00DD5C16" w:rsidP="00111B98">
            <w:pPr>
              <w:ind w:right="282"/>
              <w:jc w:val="right"/>
              <w:rPr>
                <w:b/>
              </w:rPr>
            </w:pPr>
            <w:r w:rsidRPr="0051409D">
              <w:rPr>
                <w:b/>
              </w:rPr>
              <w:t>FM50</w:t>
            </w:r>
            <w:r>
              <w:rPr>
                <w:b/>
              </w:rPr>
              <w:t>(11)053</w:t>
            </w:r>
          </w:p>
        </w:tc>
      </w:tr>
      <w:tr w:rsidR="00DD5C16" w:rsidTr="00E50E85">
        <w:tblPrEx>
          <w:tblCellMar>
            <w:left w:w="108" w:type="dxa"/>
            <w:right w:w="108" w:type="dxa"/>
          </w:tblCellMar>
        </w:tblPrEx>
        <w:tc>
          <w:tcPr>
            <w:tcW w:w="5670" w:type="dxa"/>
          </w:tcPr>
          <w:p w:rsidR="00DD5C16" w:rsidRDefault="00DD5C16" w:rsidP="00E50E85">
            <w:pPr>
              <w:pStyle w:val="Heading4"/>
              <w:ind w:right="-321"/>
              <w:rPr>
                <w:color w:val="808080"/>
              </w:rPr>
            </w:pPr>
          </w:p>
          <w:p w:rsidR="00DD5C16" w:rsidRDefault="00DD5C16" w:rsidP="00E50E85">
            <w:pPr>
              <w:pStyle w:val="Heading4"/>
              <w:ind w:right="-321"/>
            </w:pPr>
            <w:r>
              <w:rPr>
                <w:color w:val="808080"/>
              </w:rPr>
              <w:t>FM PT 50 – Future use of 1452-1492 MHz</w:t>
            </w:r>
          </w:p>
        </w:tc>
        <w:tc>
          <w:tcPr>
            <w:tcW w:w="4536" w:type="dxa"/>
          </w:tcPr>
          <w:p w:rsidR="00DD5C16" w:rsidRDefault="00DD5C16" w:rsidP="00E50E85">
            <w:pPr>
              <w:ind w:right="282"/>
              <w:rPr>
                <w:sz w:val="12"/>
              </w:rPr>
            </w:pPr>
          </w:p>
          <w:p w:rsidR="00DD5C16" w:rsidRDefault="00DD5C16" w:rsidP="00E50E85">
            <w:pPr>
              <w:pStyle w:val="Heading4"/>
              <w:ind w:right="-321"/>
            </w:pPr>
          </w:p>
        </w:tc>
      </w:tr>
      <w:tr w:rsidR="00DD5C16" w:rsidTr="00E50E85">
        <w:tblPrEx>
          <w:tblCellMar>
            <w:left w:w="108" w:type="dxa"/>
            <w:right w:w="108" w:type="dxa"/>
          </w:tblCellMar>
        </w:tblPrEx>
        <w:tc>
          <w:tcPr>
            <w:tcW w:w="5670" w:type="dxa"/>
          </w:tcPr>
          <w:p w:rsidR="00DD5C16" w:rsidRDefault="00DD5C16" w:rsidP="00E50E85">
            <w:pPr>
              <w:pStyle w:val="Heading4"/>
              <w:ind w:right="-321"/>
            </w:pPr>
          </w:p>
        </w:tc>
        <w:tc>
          <w:tcPr>
            <w:tcW w:w="4536" w:type="dxa"/>
          </w:tcPr>
          <w:p w:rsidR="00DD5C16" w:rsidRDefault="00DD5C16" w:rsidP="00E50E85">
            <w:pPr>
              <w:pStyle w:val="Heading4"/>
              <w:ind w:right="-321"/>
            </w:pPr>
          </w:p>
        </w:tc>
      </w:tr>
      <w:tr w:rsidR="00DD5C16" w:rsidTr="00E50E85">
        <w:tblPrEx>
          <w:tblCellMar>
            <w:left w:w="108" w:type="dxa"/>
            <w:right w:w="108" w:type="dxa"/>
          </w:tblCellMar>
        </w:tblPrEx>
        <w:trPr>
          <w:trHeight w:val="377"/>
        </w:trPr>
        <w:tc>
          <w:tcPr>
            <w:tcW w:w="5670" w:type="dxa"/>
          </w:tcPr>
          <w:p w:rsidR="00DD5C16" w:rsidRPr="00AB3656" w:rsidRDefault="00DD5C16" w:rsidP="00E50E85">
            <w:pPr>
              <w:rPr>
                <w:rFonts w:ascii="Arial" w:hAnsi="Arial" w:cs="Arial"/>
                <w:b/>
              </w:rPr>
            </w:pPr>
            <w:r>
              <w:rPr>
                <w:rFonts w:ascii="Arial" w:hAnsi="Arial" w:cs="Arial"/>
                <w:b/>
              </w:rPr>
              <w:t>3</w:t>
            </w:r>
            <w:r>
              <w:rPr>
                <w:rFonts w:ascii="Arial" w:hAnsi="Arial" w:cs="Arial"/>
                <w:b/>
                <w:vertAlign w:val="superscript"/>
              </w:rPr>
              <w:t>r</w:t>
            </w:r>
            <w:r w:rsidRPr="00912699">
              <w:rPr>
                <w:rFonts w:ascii="Arial" w:hAnsi="Arial" w:cs="Arial"/>
                <w:b/>
                <w:vertAlign w:val="superscript"/>
              </w:rPr>
              <w:t>d</w:t>
            </w:r>
            <w:r w:rsidRPr="00AB3656">
              <w:rPr>
                <w:rFonts w:ascii="Arial" w:hAnsi="Arial" w:cs="Arial"/>
                <w:b/>
              </w:rPr>
              <w:t>Meeting of the FM</w:t>
            </w:r>
            <w:r>
              <w:rPr>
                <w:rFonts w:ascii="Arial" w:hAnsi="Arial" w:cs="Arial"/>
                <w:b/>
              </w:rPr>
              <w:t xml:space="preserve"> PT 50</w:t>
            </w:r>
          </w:p>
          <w:p w:rsidR="00DD5C16" w:rsidRDefault="00DD5C16" w:rsidP="00111B98">
            <w:smartTag w:uri="urn:schemas-microsoft-com:office:smarttags" w:element="City">
              <w:smartTag w:uri="urn:schemas-microsoft-com:office:smarttags" w:element="place">
                <w:r>
                  <w:rPr>
                    <w:rFonts w:ascii="Arial" w:hAnsi="Arial" w:cs="Arial"/>
                    <w:b/>
                  </w:rPr>
                  <w:t>Helsinki</w:t>
                </w:r>
              </w:smartTag>
            </w:smartTag>
            <w:r>
              <w:rPr>
                <w:rFonts w:ascii="Arial" w:hAnsi="Arial" w:cs="Arial"/>
                <w:b/>
              </w:rPr>
              <w:t>, 30 November – 2 December 2011</w:t>
            </w:r>
          </w:p>
        </w:tc>
        <w:tc>
          <w:tcPr>
            <w:tcW w:w="4536" w:type="dxa"/>
          </w:tcPr>
          <w:p w:rsidR="00DD5C16" w:rsidRDefault="00DD5C16" w:rsidP="00E50E85">
            <w:pPr>
              <w:pStyle w:val="Heading4"/>
              <w:ind w:right="-321"/>
            </w:pPr>
          </w:p>
          <w:p w:rsidR="00DD5C16" w:rsidRPr="008D51EF" w:rsidRDefault="00DD5C16" w:rsidP="00E50E85">
            <w:pPr>
              <w:pStyle w:val="Heading4"/>
              <w:jc w:val="right"/>
              <w:rPr>
                <w:lang w:val="ru-RU"/>
              </w:rPr>
            </w:pPr>
          </w:p>
        </w:tc>
      </w:tr>
      <w:tr w:rsidR="00DD5C16" w:rsidRPr="009F5084" w:rsidTr="00E50E85">
        <w:tblPrEx>
          <w:tblCellMar>
            <w:left w:w="108" w:type="dxa"/>
            <w:right w:w="108" w:type="dxa"/>
          </w:tblCellMar>
        </w:tblPrEx>
        <w:tc>
          <w:tcPr>
            <w:tcW w:w="10206" w:type="dxa"/>
            <w:gridSpan w:val="2"/>
          </w:tcPr>
          <w:p w:rsidR="00DD5C16" w:rsidRPr="00002A9E" w:rsidRDefault="00DD5C16" w:rsidP="00E50E85">
            <w:pPr>
              <w:pStyle w:val="Heading4"/>
              <w:tabs>
                <w:tab w:val="left" w:pos="8789"/>
              </w:tabs>
              <w:rPr>
                <w:rFonts w:cs="Arial"/>
                <w:szCs w:val="24"/>
              </w:rPr>
            </w:pPr>
          </w:p>
          <w:p w:rsidR="00DD5C16" w:rsidRDefault="00DD5C16" w:rsidP="00A55554">
            <w:pPr>
              <w:rPr>
                <w:rFonts w:ascii="Arial" w:hAnsi="Arial" w:cs="Arial"/>
                <w:b/>
              </w:rPr>
            </w:pPr>
            <w:r w:rsidRPr="00002A9E">
              <w:rPr>
                <w:rFonts w:ascii="Arial" w:hAnsi="Arial" w:cs="Arial"/>
                <w:b/>
              </w:rPr>
              <w:t>Date issued:</w:t>
            </w:r>
            <w:r>
              <w:rPr>
                <w:rFonts w:ascii="Arial" w:hAnsi="Arial" w:cs="Arial"/>
                <w:b/>
              </w:rPr>
              <w:tab/>
            </w:r>
            <w:r w:rsidRPr="00563DDD">
              <w:rPr>
                <w:rFonts w:ascii="Arial" w:hAnsi="Arial" w:cs="Arial"/>
                <w:b/>
              </w:rPr>
              <w:t>2</w:t>
            </w:r>
            <w:r>
              <w:rPr>
                <w:rFonts w:ascii="Arial" w:hAnsi="Arial" w:cs="Arial"/>
                <w:b/>
              </w:rPr>
              <w:t>1</w:t>
            </w:r>
            <w:r w:rsidRPr="00A55554">
              <w:rPr>
                <w:rFonts w:ascii="Arial" w:hAnsi="Arial" w:cs="Arial"/>
                <w:b/>
                <w:vertAlign w:val="superscript"/>
              </w:rPr>
              <w:t>st</w:t>
            </w:r>
            <w:r>
              <w:rPr>
                <w:rFonts w:ascii="Arial" w:hAnsi="Arial" w:cs="Arial"/>
                <w:b/>
              </w:rPr>
              <w:t xml:space="preserve"> November 2011</w:t>
            </w:r>
          </w:p>
          <w:p w:rsidR="00DD5C16" w:rsidRPr="00002A9E" w:rsidRDefault="00DD5C16" w:rsidP="00E50E85">
            <w:pPr>
              <w:rPr>
                <w:rFonts w:ascii="Arial" w:hAnsi="Arial" w:cs="Arial"/>
                <w:b/>
              </w:rPr>
            </w:pPr>
          </w:p>
          <w:p w:rsidR="00DD5C16" w:rsidRDefault="00DD5C16" w:rsidP="00E50E85">
            <w:pPr>
              <w:rPr>
                <w:rFonts w:ascii="Arial" w:hAnsi="Arial" w:cs="Arial"/>
                <w:b/>
              </w:rPr>
            </w:pPr>
            <w:r>
              <w:rPr>
                <w:rFonts w:ascii="Arial" w:hAnsi="Arial" w:cs="Arial"/>
                <w:b/>
              </w:rPr>
              <w:t>Source:</w:t>
            </w:r>
            <w:r>
              <w:rPr>
                <w:rFonts w:ascii="Arial" w:hAnsi="Arial" w:cs="Arial"/>
                <w:b/>
              </w:rPr>
              <w:tab/>
            </w:r>
            <w:r>
              <w:rPr>
                <w:rFonts w:ascii="Arial" w:hAnsi="Arial" w:cs="Arial"/>
                <w:b/>
              </w:rPr>
              <w:tab/>
            </w:r>
            <w:smartTag w:uri="urn:schemas-microsoft-com:office:smarttags" w:element="place">
              <w:smartTag w:uri="urn:schemas-microsoft-com:office:smarttags" w:element="country-region">
                <w:r>
                  <w:rPr>
                    <w:rFonts w:ascii="Arial" w:hAnsi="Arial" w:cs="Arial"/>
                    <w:b/>
                  </w:rPr>
                  <w:t>Italy</w:t>
                </w:r>
              </w:smartTag>
            </w:smartTag>
          </w:p>
          <w:p w:rsidR="00DD5C16" w:rsidRPr="00002A9E" w:rsidRDefault="00DD5C16" w:rsidP="00E50E85">
            <w:pPr>
              <w:rPr>
                <w:rFonts w:ascii="Arial" w:hAnsi="Arial" w:cs="Arial"/>
                <w:b/>
              </w:rPr>
            </w:pPr>
          </w:p>
          <w:p w:rsidR="00DD5C16" w:rsidRPr="009F5084" w:rsidRDefault="00DD5C16" w:rsidP="001126EF">
            <w:pPr>
              <w:autoSpaceDE w:val="0"/>
              <w:autoSpaceDN w:val="0"/>
              <w:adjustRightInd w:val="0"/>
              <w:ind w:left="1168" w:hanging="1135"/>
              <w:rPr>
                <w:rFonts w:ascii="Arial" w:hAnsi="Arial" w:cs="Arial"/>
                <w:b/>
              </w:rPr>
            </w:pPr>
            <w:r>
              <w:rPr>
                <w:rFonts w:ascii="Arial" w:hAnsi="Arial" w:cs="Arial"/>
                <w:b/>
              </w:rPr>
              <w:t>Subject:</w:t>
            </w:r>
            <w:r>
              <w:rPr>
                <w:rFonts w:ascii="Arial" w:hAnsi="Arial" w:cs="Arial"/>
                <w:b/>
              </w:rPr>
              <w:tab/>
            </w:r>
            <w:r>
              <w:rPr>
                <w:rFonts w:ascii="Arial" w:hAnsi="Arial" w:cs="Arial"/>
                <w:b/>
              </w:rPr>
              <w:tab/>
            </w:r>
            <w:r>
              <w:rPr>
                <w:rFonts w:ascii="Arial" w:hAnsi="Arial" w:cs="Arial"/>
                <w:b/>
              </w:rPr>
              <w:tab/>
              <w:t>Proposal for the evaluation of “</w:t>
            </w:r>
            <w:r w:rsidRPr="00111B98">
              <w:rPr>
                <w:rFonts w:ascii="Arial" w:hAnsi="Arial" w:cs="Arial"/>
                <w:b/>
              </w:rPr>
              <w:t>Extent (maximisation) of social and economic benefits</w:t>
            </w:r>
            <w:r>
              <w:rPr>
                <w:rFonts w:ascii="Arial" w:hAnsi="Arial" w:cs="Arial"/>
                <w:b/>
              </w:rPr>
              <w:t>”, as one of the impact assessment criteria -</w:t>
            </w:r>
            <w:r>
              <w:rPr>
                <w:rFonts w:ascii="Arial" w:hAnsi="Arial" w:cs="Arial"/>
                <w:b/>
              </w:rPr>
              <w:br/>
              <w:t>Ref. Section 4</w:t>
            </w:r>
          </w:p>
        </w:tc>
      </w:tr>
    </w:tbl>
    <w:p w:rsidR="00DD5C16" w:rsidRDefault="00DD5C16"/>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23"/>
      </w:tblGrid>
      <w:tr w:rsidR="00DD5C16" w:rsidRPr="00C0046D" w:rsidTr="00E50E85">
        <w:tc>
          <w:tcPr>
            <w:tcW w:w="9923" w:type="dxa"/>
          </w:tcPr>
          <w:p w:rsidR="00DD5C16" w:rsidRPr="00C0046D" w:rsidRDefault="00DD5C16" w:rsidP="00E50E85">
            <w:pPr>
              <w:autoSpaceDE w:val="0"/>
              <w:autoSpaceDN w:val="0"/>
              <w:adjustRightInd w:val="0"/>
              <w:jc w:val="both"/>
              <w:rPr>
                <w:rFonts w:ascii="Arial" w:hAnsi="Arial" w:cs="Arial"/>
                <w:lang w:val="en-GB" w:eastAsia="de-DE"/>
              </w:rPr>
            </w:pPr>
            <w:r w:rsidRPr="00C0046D">
              <w:rPr>
                <w:rFonts w:ascii="Arial" w:hAnsi="Arial" w:cs="Arial"/>
                <w:b/>
              </w:rPr>
              <w:t>Summary</w:t>
            </w:r>
            <w:r w:rsidRPr="00C0046D">
              <w:rPr>
                <w:rFonts w:ascii="Arial" w:hAnsi="Arial" w:cs="Arial"/>
              </w:rPr>
              <w:br/>
            </w:r>
          </w:p>
          <w:p w:rsidR="00DD5C16" w:rsidRPr="002C1B8E" w:rsidRDefault="00DD5C16" w:rsidP="00E50E85">
            <w:pPr>
              <w:autoSpaceDE w:val="0"/>
              <w:autoSpaceDN w:val="0"/>
              <w:adjustRightInd w:val="0"/>
              <w:spacing w:line="276" w:lineRule="auto"/>
              <w:jc w:val="both"/>
              <w:rPr>
                <w:rFonts w:ascii="Arial" w:hAnsi="Arial" w:cs="Arial"/>
                <w:lang w:val="en-GB" w:eastAsia="de-DE"/>
              </w:rPr>
            </w:pPr>
            <w:r w:rsidRPr="002C1B8E">
              <w:rPr>
                <w:rFonts w:ascii="Arial" w:hAnsi="Arial" w:cs="Arial"/>
                <w:sz w:val="22"/>
                <w:szCs w:val="22"/>
                <w:lang w:val="en-GB" w:eastAsia="de-DE"/>
              </w:rPr>
              <w:t xml:space="preserve">This document proposes a methodology to assess social and economic benefits of </w:t>
            </w:r>
            <w:r>
              <w:rPr>
                <w:rFonts w:ascii="Arial" w:hAnsi="Arial" w:cs="Arial"/>
                <w:sz w:val="22"/>
                <w:szCs w:val="22"/>
                <w:lang w:val="en-GB" w:eastAsia="de-DE"/>
              </w:rPr>
              <w:t xml:space="preserve">different </w:t>
            </w:r>
            <w:r w:rsidRPr="002C1B8E">
              <w:rPr>
                <w:rFonts w:ascii="Arial" w:hAnsi="Arial" w:cs="Arial"/>
                <w:sz w:val="22"/>
                <w:szCs w:val="22"/>
                <w:lang w:val="en-GB" w:eastAsia="de-DE"/>
              </w:rPr>
              <w:t>candidate applications for the L band, which represents one of the impact assessment criteria listed in Section 2 of the draft ECC Report (</w:t>
            </w:r>
            <w:r>
              <w:rPr>
                <w:rFonts w:ascii="Arial" w:hAnsi="Arial" w:cs="Arial"/>
                <w:sz w:val="22"/>
                <w:szCs w:val="22"/>
                <w:lang w:val="en-GB" w:eastAsia="de-DE"/>
              </w:rPr>
              <w:t>“</w:t>
            </w:r>
            <w:r w:rsidRPr="002C1B8E">
              <w:rPr>
                <w:rFonts w:ascii="Arial" w:hAnsi="Arial" w:cs="Arial"/>
                <w:sz w:val="22"/>
                <w:szCs w:val="22"/>
                <w:lang w:val="en-GB" w:eastAsia="de-DE"/>
              </w:rPr>
              <w:t>Extent (maximisation) of social and economic benefits</w:t>
            </w:r>
            <w:r>
              <w:rPr>
                <w:rFonts w:ascii="Arial" w:hAnsi="Arial" w:cs="Arial"/>
                <w:sz w:val="22"/>
                <w:szCs w:val="22"/>
                <w:lang w:val="en-GB" w:eastAsia="de-DE"/>
              </w:rPr>
              <w:t>”</w:t>
            </w:r>
            <w:r w:rsidRPr="002C1B8E">
              <w:rPr>
                <w:rFonts w:ascii="Arial" w:hAnsi="Arial" w:cs="Arial"/>
                <w:sz w:val="22"/>
                <w:szCs w:val="22"/>
                <w:lang w:val="en-GB" w:eastAsia="de-DE"/>
              </w:rPr>
              <w:t xml:space="preserve">). </w:t>
            </w:r>
          </w:p>
          <w:p w:rsidR="00DD5C16" w:rsidRDefault="00DD5C16" w:rsidP="002C1B8E">
            <w:pPr>
              <w:spacing w:line="276" w:lineRule="auto"/>
              <w:jc w:val="both"/>
              <w:rPr>
                <w:rFonts w:ascii="Arial" w:hAnsi="Arial" w:cs="Arial"/>
              </w:rPr>
            </w:pPr>
            <w:r>
              <w:rPr>
                <w:rFonts w:ascii="Arial" w:hAnsi="Arial" w:cs="Arial"/>
                <w:sz w:val="22"/>
                <w:szCs w:val="22"/>
                <w:lang w:val="en-GB"/>
              </w:rPr>
              <w:t>It is proposed that economic</w:t>
            </w:r>
            <w:r>
              <w:rPr>
                <w:rFonts w:ascii="Arial" w:hAnsi="Arial" w:cs="Arial"/>
                <w:sz w:val="22"/>
                <w:szCs w:val="22"/>
              </w:rPr>
              <w:t xml:space="preserve"> efficiency assessment</w:t>
            </w:r>
            <w:r w:rsidRPr="002C1B8E">
              <w:rPr>
                <w:rFonts w:ascii="Arial" w:hAnsi="Arial" w:cs="Arial"/>
                <w:sz w:val="22"/>
              </w:rPr>
              <w:t xml:space="preserve"> is based on </w:t>
            </w:r>
            <w:r w:rsidRPr="002C1B8E">
              <w:rPr>
                <w:rFonts w:ascii="Arial" w:hAnsi="Arial" w:cs="Arial"/>
                <w:sz w:val="22"/>
                <w:szCs w:val="22"/>
              </w:rPr>
              <w:t>the evaluation of the Consumer Surplus (CS) and Producer Surplus (PS)</w:t>
            </w:r>
            <w:r>
              <w:rPr>
                <w:rFonts w:ascii="Arial" w:hAnsi="Arial" w:cs="Arial"/>
                <w:sz w:val="22"/>
                <w:szCs w:val="22"/>
              </w:rPr>
              <w:t xml:space="preserve">. Several considerations are also drawn for social benefits evaluation, stemming from the goals outlined within the European framework. </w:t>
            </w:r>
          </w:p>
          <w:p w:rsidR="00DD5C16" w:rsidRPr="00C0046D" w:rsidRDefault="00DD5C16" w:rsidP="00395FB0">
            <w:pPr>
              <w:spacing w:line="276" w:lineRule="auto"/>
              <w:jc w:val="both"/>
              <w:rPr>
                <w:rFonts w:ascii="Arial" w:hAnsi="Arial" w:cs="Arial"/>
                <w:lang w:eastAsia="de-DE"/>
              </w:rPr>
            </w:pPr>
          </w:p>
        </w:tc>
      </w:tr>
      <w:tr w:rsidR="00DD5C16" w:rsidRPr="00C0046D" w:rsidTr="00E50E85">
        <w:tc>
          <w:tcPr>
            <w:tcW w:w="9923" w:type="dxa"/>
          </w:tcPr>
          <w:p w:rsidR="00DD5C16" w:rsidRDefault="00DD5C16" w:rsidP="00E50E85">
            <w:pPr>
              <w:jc w:val="both"/>
              <w:rPr>
                <w:rFonts w:ascii="Arial" w:hAnsi="Arial" w:cs="Arial"/>
                <w:b/>
                <w:szCs w:val="20"/>
                <w:lang w:val="en-GB" w:eastAsia="de-DE"/>
              </w:rPr>
            </w:pPr>
            <w:r w:rsidRPr="00C0046D">
              <w:rPr>
                <w:rFonts w:ascii="Arial" w:hAnsi="Arial" w:cs="Arial"/>
                <w:b/>
                <w:szCs w:val="20"/>
                <w:lang w:val="en-GB" w:eastAsia="de-DE"/>
              </w:rPr>
              <w:br/>
              <w:t xml:space="preserve">Proposal </w:t>
            </w:r>
          </w:p>
          <w:p w:rsidR="00DD5C16" w:rsidRPr="00C0046D" w:rsidRDefault="00DD5C16" w:rsidP="00E50E85">
            <w:pPr>
              <w:jc w:val="both"/>
              <w:rPr>
                <w:rFonts w:ascii="Arial" w:hAnsi="Arial" w:cs="Arial"/>
                <w:b/>
                <w:szCs w:val="20"/>
                <w:lang w:val="en-GB" w:eastAsia="de-DE"/>
              </w:rPr>
            </w:pPr>
          </w:p>
          <w:p w:rsidR="00DD5C16" w:rsidRPr="00C0046D" w:rsidRDefault="00DD5C16" w:rsidP="002C1B8E">
            <w:pPr>
              <w:autoSpaceDE w:val="0"/>
              <w:autoSpaceDN w:val="0"/>
              <w:adjustRightInd w:val="0"/>
              <w:spacing w:line="276" w:lineRule="auto"/>
              <w:jc w:val="both"/>
              <w:rPr>
                <w:rFonts w:ascii="Arial" w:hAnsi="Arial" w:cs="Arial"/>
                <w:lang w:val="en-GB" w:eastAsia="de-DE"/>
              </w:rPr>
            </w:pPr>
            <w:r>
              <w:rPr>
                <w:rFonts w:ascii="Arial" w:hAnsi="Arial" w:cs="Arial"/>
                <w:sz w:val="22"/>
                <w:szCs w:val="22"/>
                <w:lang w:val="en-GB" w:eastAsia="de-DE"/>
              </w:rPr>
              <w:t>This document is proposed to be included in Section 4 of the draft ECC Report.</w:t>
            </w:r>
          </w:p>
          <w:p w:rsidR="00DD5C16" w:rsidRPr="00C0046D" w:rsidRDefault="00DD5C16" w:rsidP="002C1B8E">
            <w:pPr>
              <w:spacing w:line="276" w:lineRule="auto"/>
              <w:jc w:val="both"/>
              <w:rPr>
                <w:rFonts w:ascii="Arial" w:hAnsi="Arial" w:cs="Arial"/>
              </w:rPr>
            </w:pPr>
          </w:p>
        </w:tc>
      </w:tr>
      <w:tr w:rsidR="00DD5C16" w:rsidRPr="00C0046D" w:rsidTr="00E50E85">
        <w:tc>
          <w:tcPr>
            <w:tcW w:w="9923" w:type="dxa"/>
          </w:tcPr>
          <w:p w:rsidR="00DD5C16" w:rsidRPr="00C0046D" w:rsidRDefault="00DD5C16" w:rsidP="00E50E85">
            <w:pPr>
              <w:jc w:val="both"/>
              <w:rPr>
                <w:rFonts w:ascii="Arial" w:hAnsi="Arial" w:cs="Arial"/>
                <w:b/>
              </w:rPr>
            </w:pPr>
          </w:p>
          <w:p w:rsidR="00DD5C16" w:rsidRPr="00C0046D" w:rsidRDefault="00DD5C16" w:rsidP="00E50E85">
            <w:pPr>
              <w:jc w:val="both"/>
              <w:rPr>
                <w:rFonts w:ascii="Arial" w:hAnsi="Arial" w:cs="Arial"/>
                <w:b/>
              </w:rPr>
            </w:pPr>
            <w:r w:rsidRPr="00C0046D">
              <w:rPr>
                <w:rFonts w:ascii="Arial" w:hAnsi="Arial" w:cs="Arial"/>
                <w:b/>
                <w:sz w:val="22"/>
                <w:szCs w:val="22"/>
              </w:rPr>
              <w:t>Background</w:t>
            </w:r>
          </w:p>
          <w:p w:rsidR="00DD5C16" w:rsidRPr="00C0046D" w:rsidRDefault="00DD5C16" w:rsidP="00E50E85">
            <w:pPr>
              <w:autoSpaceDE w:val="0"/>
              <w:autoSpaceDN w:val="0"/>
              <w:adjustRightInd w:val="0"/>
              <w:spacing w:line="276" w:lineRule="auto"/>
              <w:jc w:val="both"/>
              <w:rPr>
                <w:rFonts w:ascii="Arial" w:hAnsi="Arial" w:cs="Arial"/>
              </w:rPr>
            </w:pPr>
          </w:p>
          <w:p w:rsidR="00DD5C16" w:rsidRPr="00C0046D" w:rsidRDefault="00DD5C16" w:rsidP="00E50E85">
            <w:pPr>
              <w:autoSpaceDE w:val="0"/>
              <w:autoSpaceDN w:val="0"/>
              <w:adjustRightInd w:val="0"/>
              <w:spacing w:line="276" w:lineRule="auto"/>
              <w:jc w:val="both"/>
              <w:rPr>
                <w:rFonts w:ascii="Arial" w:hAnsi="Arial" w:cs="Arial"/>
              </w:rPr>
            </w:pPr>
            <w:r w:rsidRPr="00C0046D">
              <w:rPr>
                <w:rFonts w:ascii="Arial" w:hAnsi="Arial" w:cs="Arial"/>
                <w:sz w:val="22"/>
                <w:szCs w:val="22"/>
              </w:rPr>
              <w:t xml:space="preserve">Section 2 of the draft ECC Report provides the criteria to be used for the impact assessment of different possible applications in the L band. </w:t>
            </w:r>
          </w:p>
          <w:p w:rsidR="00DD5C16" w:rsidRPr="00C0046D" w:rsidRDefault="00DD5C16" w:rsidP="00E50E85">
            <w:pPr>
              <w:autoSpaceDE w:val="0"/>
              <w:autoSpaceDN w:val="0"/>
              <w:adjustRightInd w:val="0"/>
              <w:spacing w:line="276" w:lineRule="auto"/>
              <w:jc w:val="both"/>
              <w:rPr>
                <w:rFonts w:ascii="Arial" w:hAnsi="Arial" w:cs="Arial"/>
              </w:rPr>
            </w:pPr>
            <w:r w:rsidRPr="00C0046D">
              <w:rPr>
                <w:rFonts w:ascii="Arial" w:hAnsi="Arial" w:cs="Arial"/>
                <w:sz w:val="22"/>
                <w:szCs w:val="22"/>
              </w:rPr>
              <w:t>One of the criteria foresees the evaluation of the</w:t>
            </w:r>
            <w:r>
              <w:rPr>
                <w:rFonts w:ascii="Arial" w:hAnsi="Arial" w:cs="Arial"/>
                <w:sz w:val="22"/>
                <w:szCs w:val="22"/>
              </w:rPr>
              <w:t xml:space="preserve"> extent (maximization) of</w:t>
            </w:r>
            <w:r w:rsidRPr="00C0046D">
              <w:rPr>
                <w:rFonts w:ascii="Arial" w:hAnsi="Arial" w:cs="Arial"/>
                <w:sz w:val="22"/>
                <w:szCs w:val="22"/>
              </w:rPr>
              <w:t xml:space="preserve"> social and economic benefits of each </w:t>
            </w:r>
            <w:r>
              <w:rPr>
                <w:rFonts w:ascii="Arial" w:hAnsi="Arial" w:cs="Arial"/>
                <w:sz w:val="22"/>
                <w:szCs w:val="22"/>
              </w:rPr>
              <w:t xml:space="preserve">candidate </w:t>
            </w:r>
            <w:r w:rsidRPr="00C0046D">
              <w:rPr>
                <w:rFonts w:ascii="Arial" w:hAnsi="Arial" w:cs="Arial"/>
                <w:sz w:val="22"/>
                <w:szCs w:val="22"/>
              </w:rPr>
              <w:t>application</w:t>
            </w:r>
            <w:r>
              <w:rPr>
                <w:rFonts w:ascii="Arial" w:hAnsi="Arial" w:cs="Arial"/>
                <w:sz w:val="22"/>
                <w:szCs w:val="22"/>
              </w:rPr>
              <w:t xml:space="preserve"> for the L band</w:t>
            </w:r>
            <w:r w:rsidRPr="00C0046D">
              <w:rPr>
                <w:rFonts w:ascii="Arial" w:hAnsi="Arial" w:cs="Arial"/>
                <w:sz w:val="22"/>
                <w:szCs w:val="22"/>
              </w:rPr>
              <w:t xml:space="preserve">, based on </w:t>
            </w:r>
            <w:r>
              <w:rPr>
                <w:rFonts w:ascii="Arial" w:hAnsi="Arial" w:cs="Arial"/>
                <w:sz w:val="22"/>
                <w:szCs w:val="22"/>
              </w:rPr>
              <w:t xml:space="preserve">both </w:t>
            </w:r>
            <w:r w:rsidRPr="00C0046D">
              <w:rPr>
                <w:rFonts w:ascii="Arial" w:hAnsi="Arial" w:cs="Arial"/>
                <w:sz w:val="22"/>
                <w:szCs w:val="22"/>
              </w:rPr>
              <w:t xml:space="preserve">quantitative data </w:t>
            </w:r>
            <w:r>
              <w:rPr>
                <w:rFonts w:ascii="Arial" w:hAnsi="Arial" w:cs="Arial"/>
                <w:sz w:val="22"/>
                <w:szCs w:val="22"/>
              </w:rPr>
              <w:t>where applicable and</w:t>
            </w:r>
            <w:r w:rsidRPr="00C0046D">
              <w:rPr>
                <w:rFonts w:ascii="Arial" w:hAnsi="Arial" w:cs="Arial"/>
                <w:sz w:val="22"/>
                <w:szCs w:val="22"/>
              </w:rPr>
              <w:t xml:space="preserve"> on a qualitative analysis of expec</w:t>
            </w:r>
            <w:r>
              <w:rPr>
                <w:rFonts w:ascii="Arial" w:hAnsi="Arial" w:cs="Arial"/>
                <w:sz w:val="22"/>
                <w:szCs w:val="22"/>
              </w:rPr>
              <w:t>ted not measurable benefits.</w:t>
            </w:r>
          </w:p>
          <w:p w:rsidR="00DD5C16" w:rsidRPr="00C0046D" w:rsidRDefault="00DD5C16" w:rsidP="00E50E85">
            <w:pPr>
              <w:autoSpaceDE w:val="0"/>
              <w:autoSpaceDN w:val="0"/>
              <w:adjustRightInd w:val="0"/>
              <w:spacing w:line="276" w:lineRule="auto"/>
              <w:jc w:val="both"/>
              <w:rPr>
                <w:rFonts w:ascii="Arial" w:hAnsi="Arial" w:cs="Arial"/>
              </w:rPr>
            </w:pPr>
            <w:r w:rsidRPr="004B47AC">
              <w:rPr>
                <w:rFonts w:ascii="Arial" w:hAnsi="Arial" w:cs="Arial"/>
                <w:sz w:val="22"/>
                <w:szCs w:val="22"/>
              </w:rPr>
              <w:t>In this contribution we address this issue proposing a general methodology for the evaluation of economic and social</w:t>
            </w:r>
            <w:r>
              <w:rPr>
                <w:rFonts w:ascii="Arial" w:hAnsi="Arial" w:cs="Arial"/>
                <w:sz w:val="22"/>
                <w:szCs w:val="22"/>
              </w:rPr>
              <w:t xml:space="preserve"> benefits</w:t>
            </w:r>
            <w:r w:rsidRPr="004B47AC">
              <w:rPr>
                <w:rFonts w:ascii="Arial" w:hAnsi="Arial" w:cs="Arial"/>
                <w:sz w:val="22"/>
                <w:szCs w:val="22"/>
              </w:rPr>
              <w:t>.</w:t>
            </w:r>
          </w:p>
          <w:p w:rsidR="00DD5C16" w:rsidRDefault="00DD5C16" w:rsidP="00E50E85">
            <w:pPr>
              <w:keepNext/>
              <w:keepLines/>
              <w:jc w:val="both"/>
              <w:rPr>
                <w:rFonts w:ascii="Arial" w:hAnsi="Arial" w:cs="Arial"/>
              </w:rPr>
            </w:pPr>
          </w:p>
          <w:p w:rsidR="00DD5C16" w:rsidRPr="00C0046D" w:rsidRDefault="00DD5C16" w:rsidP="004B47AC">
            <w:pPr>
              <w:jc w:val="both"/>
              <w:rPr>
                <w:rFonts w:ascii="Arial" w:hAnsi="Arial" w:cs="Arial"/>
              </w:rPr>
            </w:pPr>
          </w:p>
        </w:tc>
      </w:tr>
      <w:tr w:rsidR="00DD5C16" w:rsidRPr="00911EB5" w:rsidTr="00E50E85">
        <w:tc>
          <w:tcPr>
            <w:tcW w:w="9923" w:type="dxa"/>
          </w:tcPr>
          <w:p w:rsidR="00DD5C16" w:rsidRPr="00911EB5" w:rsidRDefault="00DD5C16" w:rsidP="004B47AC">
            <w:pPr>
              <w:keepNext/>
              <w:keepLines/>
              <w:jc w:val="both"/>
              <w:rPr>
                <w:rFonts w:ascii="Arial" w:hAnsi="Arial" w:cs="Arial"/>
                <w:b/>
              </w:rPr>
            </w:pPr>
            <w:r w:rsidRPr="00911EB5">
              <w:rPr>
                <w:rFonts w:ascii="Arial" w:hAnsi="Arial" w:cs="Arial"/>
                <w:b/>
                <w:sz w:val="22"/>
                <w:szCs w:val="22"/>
              </w:rPr>
              <w:t>Economic efficiency</w:t>
            </w:r>
          </w:p>
          <w:p w:rsidR="00DD5C16" w:rsidRPr="00911EB5" w:rsidRDefault="00DD5C16" w:rsidP="004B47AC">
            <w:pPr>
              <w:keepNext/>
              <w:keepLines/>
              <w:jc w:val="both"/>
              <w:rPr>
                <w:rFonts w:ascii="Arial" w:hAnsi="Arial" w:cs="Arial"/>
                <w:b/>
              </w:rPr>
            </w:pPr>
          </w:p>
          <w:p w:rsidR="00DD5C16" w:rsidRPr="00911EB5" w:rsidRDefault="00DD5C16" w:rsidP="004B47AC">
            <w:pPr>
              <w:jc w:val="both"/>
              <w:rPr>
                <w:rFonts w:ascii="Arial" w:hAnsi="Arial" w:cs="Arial"/>
              </w:rPr>
            </w:pPr>
            <w:r w:rsidRPr="00911EB5">
              <w:rPr>
                <w:rFonts w:ascii="Arial" w:hAnsi="Arial" w:cs="Arial"/>
                <w:sz w:val="22"/>
                <w:szCs w:val="22"/>
              </w:rPr>
              <w:t>Economic efficiency is aimed to create the highest value for consumers and firms with the least amount of inputs. In principle, economic efficiency can be expressed as:</w:t>
            </w:r>
          </w:p>
          <w:p w:rsidR="00DD5C16" w:rsidRPr="00911EB5" w:rsidRDefault="00DD5C16" w:rsidP="004B47AC">
            <w:pPr>
              <w:spacing w:before="120" w:after="120"/>
              <w:ind w:left="437" w:firstLine="284"/>
              <w:jc w:val="center"/>
              <w:rPr>
                <w:rFonts w:ascii="Arial" w:hAnsi="Arial" w:cs="Arial"/>
              </w:rPr>
            </w:pPr>
            <w:r w:rsidRPr="00911EB5">
              <w:rPr>
                <w:rFonts w:ascii="Arial" w:hAnsi="Arial" w:cs="Arial"/>
                <w:position w:val="-28"/>
                <w:sz w:val="22"/>
                <w:szCs w:val="22"/>
              </w:rPr>
              <w:object w:dxaOrig="4480" w:dyaOrig="660">
                <v:shape id="_x0000_i1026" type="#_x0000_t75" style="width:222pt;height:32.25pt" o:ole="">
                  <v:imagedata r:id="rId6" o:title=""/>
                </v:shape>
                <o:OLEObject Type="Embed" ProgID="Equation.3" ShapeID="_x0000_i1026" DrawAspect="Content" ObjectID="_1383395568" r:id="rId7"/>
              </w:object>
            </w:r>
          </w:p>
          <w:p w:rsidR="00DD5C16" w:rsidRPr="00911EB5" w:rsidRDefault="00DD5C16" w:rsidP="004B47AC">
            <w:pPr>
              <w:jc w:val="both"/>
              <w:rPr>
                <w:rFonts w:ascii="Arial" w:hAnsi="Arial" w:cs="Arial"/>
              </w:rPr>
            </w:pPr>
            <w:r w:rsidRPr="00911EB5">
              <w:rPr>
                <w:rFonts w:ascii="Arial" w:hAnsi="Arial" w:cs="Arial"/>
                <w:sz w:val="22"/>
                <w:szCs w:val="22"/>
              </w:rPr>
              <w:t>The value of the output is mainly related to the type of transmitted information and its usefulness for the consumers (service value) rather than to the amount of transmitted information. As an example, some customers may give more value to a 10 minutes mobile call than to an hour of broadcast television. Indeed, it’s difficult to assess directly this value.</w:t>
            </w:r>
          </w:p>
          <w:p w:rsidR="00DD5C16" w:rsidRPr="00911EB5" w:rsidRDefault="00DD5C16" w:rsidP="004B47AC">
            <w:pPr>
              <w:jc w:val="both"/>
              <w:rPr>
                <w:rFonts w:ascii="Arial" w:hAnsi="Arial" w:cs="Arial"/>
              </w:rPr>
            </w:pPr>
            <w:r w:rsidRPr="00911EB5">
              <w:rPr>
                <w:rFonts w:ascii="Arial" w:hAnsi="Arial" w:cs="Arial"/>
                <w:sz w:val="22"/>
                <w:szCs w:val="22"/>
              </w:rPr>
              <w:t>Practically speaking, a viable and proper approach to calculate economic efficiency is based on the evaluation of the Consumer Surplus (CS) and Producer Surplus (PS):</w:t>
            </w:r>
          </w:p>
          <w:p w:rsidR="00DD5C16" w:rsidRPr="00911EB5" w:rsidRDefault="00DD5C16" w:rsidP="004B47AC">
            <w:pPr>
              <w:jc w:val="both"/>
              <w:rPr>
                <w:rFonts w:ascii="Arial" w:hAnsi="Arial" w:cs="Arial"/>
              </w:rPr>
            </w:pPr>
          </w:p>
          <w:p w:rsidR="00DD5C16" w:rsidRPr="00911EB5" w:rsidRDefault="00DD5C16" w:rsidP="004B47AC">
            <w:pPr>
              <w:jc w:val="center"/>
              <w:rPr>
                <w:rFonts w:ascii="Arial" w:hAnsi="Arial" w:cs="Arial"/>
              </w:rPr>
            </w:pPr>
            <w:r w:rsidRPr="00911EB5">
              <w:rPr>
                <w:rFonts w:ascii="Arial" w:hAnsi="Arial" w:cs="Arial"/>
                <w:position w:val="-12"/>
                <w:sz w:val="22"/>
                <w:szCs w:val="22"/>
              </w:rPr>
              <w:object w:dxaOrig="1340" w:dyaOrig="360">
                <v:shape id="_x0000_i1027" type="#_x0000_t75" style="width:66pt;height:17.25pt" o:ole="">
                  <v:imagedata r:id="rId8" o:title=""/>
                </v:shape>
                <o:OLEObject Type="Embed" ProgID="Equation.3" ShapeID="_x0000_i1027" DrawAspect="Content" ObjectID="_1383395569" r:id="rId9"/>
              </w:object>
            </w:r>
          </w:p>
          <w:p w:rsidR="00DD5C16" w:rsidRPr="00911EB5" w:rsidRDefault="00DD5C16" w:rsidP="004B47AC">
            <w:pPr>
              <w:jc w:val="both"/>
              <w:rPr>
                <w:rFonts w:ascii="Arial" w:hAnsi="Arial" w:cs="Arial"/>
              </w:rPr>
            </w:pPr>
          </w:p>
          <w:p w:rsidR="00DD5C16" w:rsidRPr="00911EB5" w:rsidRDefault="00DD5C16" w:rsidP="004B47AC">
            <w:pPr>
              <w:jc w:val="both"/>
              <w:rPr>
                <w:rFonts w:ascii="Arial" w:hAnsi="Arial" w:cs="Arial"/>
              </w:rPr>
            </w:pPr>
            <w:r w:rsidRPr="00911EB5">
              <w:rPr>
                <w:rFonts w:ascii="Arial" w:hAnsi="Arial" w:cs="Arial"/>
                <w:sz w:val="22"/>
                <w:szCs w:val="22"/>
              </w:rPr>
              <w:t>The Consumer Surplus and Producer Surplus concepts are outlined below.</w:t>
            </w:r>
          </w:p>
          <w:p w:rsidR="00DD5C16" w:rsidRPr="00095A13" w:rsidRDefault="00DD5C16" w:rsidP="004B47AC">
            <w:pPr>
              <w:pStyle w:val="Heading3"/>
              <w:numPr>
                <w:ilvl w:val="2"/>
                <w:numId w:val="0"/>
              </w:numPr>
              <w:tabs>
                <w:tab w:val="num" w:pos="720"/>
              </w:tabs>
              <w:spacing w:before="120" w:after="120"/>
              <w:ind w:left="720" w:hanging="720"/>
              <w:jc w:val="both"/>
              <w:rPr>
                <w:rFonts w:ascii="Arial" w:hAnsi="Arial" w:cs="Arial"/>
                <w:i/>
                <w:color w:val="auto"/>
              </w:rPr>
            </w:pPr>
            <w:bookmarkStart w:id="0" w:name="_Toc296960473"/>
            <w:r w:rsidRPr="00095A13">
              <w:rPr>
                <w:rFonts w:ascii="Arial" w:hAnsi="Arial" w:cs="Arial"/>
                <w:i/>
                <w:color w:val="auto"/>
                <w:sz w:val="22"/>
                <w:szCs w:val="22"/>
              </w:rPr>
              <w:t>Consumer surplus</w:t>
            </w:r>
            <w:bookmarkEnd w:id="0"/>
          </w:p>
          <w:p w:rsidR="00DD5C16" w:rsidRPr="00911EB5" w:rsidRDefault="00DD5C16" w:rsidP="004B47AC">
            <w:pPr>
              <w:jc w:val="both"/>
              <w:rPr>
                <w:rFonts w:ascii="Arial" w:hAnsi="Arial" w:cs="Arial"/>
                <w:i/>
              </w:rPr>
            </w:pPr>
            <w:r w:rsidRPr="00911EB5">
              <w:rPr>
                <w:rFonts w:ascii="Arial" w:hAnsi="Arial" w:cs="Arial"/>
                <w:sz w:val="22"/>
                <w:szCs w:val="22"/>
              </w:rPr>
              <w:t>Consumer surplus can be defined as the excess utility (or surplus) above the price actually paid.</w:t>
            </w:r>
          </w:p>
          <w:p w:rsidR="00DD5C16" w:rsidRPr="00911EB5" w:rsidRDefault="00DD5C16" w:rsidP="004B47AC">
            <w:pPr>
              <w:jc w:val="both"/>
              <w:rPr>
                <w:rFonts w:ascii="Arial" w:hAnsi="Arial" w:cs="Arial"/>
              </w:rPr>
            </w:pPr>
            <w:r w:rsidRPr="00911EB5">
              <w:rPr>
                <w:rFonts w:ascii="Arial" w:hAnsi="Arial" w:cs="Arial"/>
                <w:sz w:val="22"/>
                <w:szCs w:val="22"/>
              </w:rPr>
              <w:t xml:space="preserve">The diagram in </w:t>
            </w:r>
            <w:fldSimple w:instr=" REF _Ref296682424 \r \h  \* MERGEFORMAT ">
              <w:r w:rsidRPr="00395FB0">
                <w:rPr>
                  <w:rFonts w:ascii="Arial" w:hAnsi="Arial" w:cs="Arial"/>
                  <w:sz w:val="22"/>
                  <w:szCs w:val="22"/>
                </w:rPr>
                <w:t>Figure 1</w:t>
              </w:r>
            </w:fldSimple>
            <w:r w:rsidRPr="00911EB5">
              <w:rPr>
                <w:rFonts w:ascii="Arial" w:hAnsi="Arial" w:cs="Arial"/>
                <w:sz w:val="22"/>
                <w:szCs w:val="22"/>
              </w:rPr>
              <w:t xml:space="preserve"> below gives a simple illustration of consumer surplus. </w:t>
            </w:r>
          </w:p>
          <w:p w:rsidR="00DD5C16" w:rsidRPr="00911EB5" w:rsidRDefault="00DD5C16" w:rsidP="004B47AC">
            <w:pPr>
              <w:pStyle w:val="fig"/>
              <w:rPr>
                <w:rFonts w:ascii="Arial" w:hAnsi="Arial" w:cs="Arial"/>
                <w:szCs w:val="22"/>
              </w:rPr>
            </w:pPr>
            <w:r w:rsidRPr="00911EB5">
              <w:rPr>
                <w:rFonts w:ascii="Arial" w:hAnsi="Arial" w:cs="Arial"/>
                <w:sz w:val="22"/>
                <w:szCs w:val="22"/>
              </w:rPr>
              <w:object w:dxaOrig="4995" w:dyaOrig="3690">
                <v:shape id="_x0000_i1028" type="#_x0000_t75" style="width:169.5pt;height:125.25pt" o:ole="" fillcolor="window">
                  <v:imagedata r:id="rId10" o:title=""/>
                </v:shape>
                <o:OLEObject Type="Embed" ProgID="Word.Picture.8" ShapeID="_x0000_i1028" DrawAspect="Content" ObjectID="_1383395570" r:id="rId11"/>
              </w:object>
            </w:r>
          </w:p>
          <w:p w:rsidR="00DD5C16" w:rsidRPr="00911EB5" w:rsidRDefault="00DD5C16" w:rsidP="004B47AC">
            <w:pPr>
              <w:pStyle w:val="did"/>
              <w:rPr>
                <w:rFonts w:ascii="Arial" w:hAnsi="Arial" w:cs="Arial"/>
                <w:sz w:val="22"/>
                <w:szCs w:val="22"/>
              </w:rPr>
            </w:pPr>
            <w:bookmarkStart w:id="1" w:name="_Ref296682424"/>
            <w:r w:rsidRPr="00911EB5">
              <w:rPr>
                <w:rFonts w:ascii="Arial" w:hAnsi="Arial" w:cs="Arial"/>
                <w:sz w:val="22"/>
                <w:szCs w:val="22"/>
              </w:rPr>
              <w:t>Consumer surplus</w:t>
            </w:r>
            <w:bookmarkEnd w:id="1"/>
          </w:p>
          <w:p w:rsidR="00DD5C16" w:rsidRPr="00911EB5" w:rsidRDefault="00DD5C16" w:rsidP="004B47AC">
            <w:pPr>
              <w:jc w:val="both"/>
              <w:rPr>
                <w:rFonts w:ascii="Arial" w:hAnsi="Arial" w:cs="Arial"/>
              </w:rPr>
            </w:pPr>
            <w:r w:rsidRPr="00911EB5">
              <w:rPr>
                <w:rFonts w:ascii="Arial" w:hAnsi="Arial" w:cs="Arial"/>
                <w:sz w:val="22"/>
                <w:szCs w:val="22"/>
              </w:rPr>
              <w:t xml:space="preserve">As the price of the good increases, the consumer’s surplus will decrease – as we come closer to </w:t>
            </w:r>
            <w:r>
              <w:rPr>
                <w:rFonts w:ascii="Arial" w:hAnsi="Arial" w:cs="Arial"/>
                <w:sz w:val="22"/>
                <w:szCs w:val="22"/>
              </w:rPr>
              <w:t>the willingness-to-</w:t>
            </w:r>
            <w:r w:rsidRPr="00911EB5">
              <w:rPr>
                <w:rFonts w:ascii="Arial" w:hAnsi="Arial" w:cs="Arial"/>
                <w:sz w:val="22"/>
                <w:szCs w:val="22"/>
              </w:rPr>
              <w:t xml:space="preserve">pay price. Furthermore, the more inelastic the demand curve is, the greater the consumer surplus. </w:t>
            </w:r>
          </w:p>
          <w:p w:rsidR="00DD5C16" w:rsidRPr="00911EB5" w:rsidRDefault="00DD5C16" w:rsidP="004B47AC">
            <w:pPr>
              <w:jc w:val="both"/>
              <w:rPr>
                <w:rFonts w:ascii="Arial" w:hAnsi="Arial" w:cs="Arial"/>
              </w:rPr>
            </w:pPr>
            <w:r w:rsidRPr="00911EB5">
              <w:rPr>
                <w:rFonts w:ascii="Arial" w:hAnsi="Arial" w:cs="Arial"/>
                <w:sz w:val="22"/>
                <w:szCs w:val="22"/>
              </w:rPr>
              <w:t xml:space="preserve">One difficulty with the standard definition of consumer surplus is that, as the price varies, the real income of the consumer changes. Thus, to calculate a more accurate indication of the benefit of the surplus, an adjustment needs to be made in order to offset the effect of the difference in real income at different price levels (the compensated demand curve). However, when the income effect is not large, consumer surplus, defined as the </w:t>
            </w:r>
            <w:r>
              <w:rPr>
                <w:rFonts w:ascii="Arial" w:hAnsi="Arial" w:cs="Arial"/>
                <w:sz w:val="22"/>
                <w:szCs w:val="22"/>
              </w:rPr>
              <w:t xml:space="preserve">colored </w:t>
            </w:r>
            <w:r w:rsidRPr="00911EB5">
              <w:rPr>
                <w:rFonts w:ascii="Arial" w:hAnsi="Arial" w:cs="Arial"/>
                <w:sz w:val="22"/>
                <w:szCs w:val="22"/>
              </w:rPr>
              <w:t xml:space="preserve">area below the market demand curve, is usually considered a reasonably good way of measuring welfare. </w:t>
            </w:r>
          </w:p>
          <w:p w:rsidR="00DD5C16" w:rsidRPr="00095A13" w:rsidRDefault="00DD5C16" w:rsidP="004B47AC">
            <w:pPr>
              <w:pStyle w:val="Heading3"/>
              <w:numPr>
                <w:ilvl w:val="2"/>
                <w:numId w:val="0"/>
              </w:numPr>
              <w:tabs>
                <w:tab w:val="num" w:pos="720"/>
              </w:tabs>
              <w:spacing w:before="120" w:after="120"/>
              <w:ind w:left="720" w:hanging="720"/>
              <w:jc w:val="both"/>
              <w:rPr>
                <w:rFonts w:ascii="Arial" w:hAnsi="Arial" w:cs="Arial"/>
                <w:i/>
                <w:color w:val="auto"/>
              </w:rPr>
            </w:pPr>
            <w:bookmarkStart w:id="2" w:name="_Toc296960474"/>
            <w:r w:rsidRPr="00095A13">
              <w:rPr>
                <w:rFonts w:ascii="Arial" w:hAnsi="Arial" w:cs="Arial"/>
                <w:i/>
                <w:color w:val="auto"/>
                <w:sz w:val="22"/>
                <w:szCs w:val="22"/>
              </w:rPr>
              <w:t>Producer surplus</w:t>
            </w:r>
            <w:bookmarkEnd w:id="2"/>
          </w:p>
          <w:p w:rsidR="00DD5C16" w:rsidRPr="00911EB5" w:rsidRDefault="00DD5C16" w:rsidP="004B47AC">
            <w:pPr>
              <w:jc w:val="both"/>
              <w:rPr>
                <w:rFonts w:ascii="Arial" w:hAnsi="Arial" w:cs="Arial"/>
              </w:rPr>
            </w:pPr>
            <w:r w:rsidRPr="00BD02BA">
              <w:rPr>
                <w:rFonts w:ascii="Arial" w:hAnsi="Arial" w:cs="Arial"/>
                <w:sz w:val="22"/>
                <w:szCs w:val="22"/>
              </w:rPr>
              <w:t>Producer surplus is related to the notion of consumer surplus. It can be defined as the revenue received by a supplier of any particular good or service over the minimum amount he would be willing to accept to maintain the same level of supply.</w:t>
            </w:r>
            <w:r w:rsidRPr="00911EB5">
              <w:rPr>
                <w:rFonts w:ascii="Arial" w:hAnsi="Arial" w:cs="Arial"/>
                <w:sz w:val="22"/>
                <w:szCs w:val="22"/>
              </w:rPr>
              <w:t xml:space="preserve"> In other words, prod</w:t>
            </w:r>
            <w:r>
              <w:rPr>
                <w:rFonts w:ascii="Arial" w:hAnsi="Arial" w:cs="Arial"/>
                <w:sz w:val="22"/>
                <w:szCs w:val="22"/>
              </w:rPr>
              <w:t>ucer surplus measures the rents accumulated by p</w:t>
            </w:r>
            <w:r w:rsidRPr="00911EB5">
              <w:rPr>
                <w:rFonts w:ascii="Arial" w:hAnsi="Arial" w:cs="Arial"/>
                <w:sz w:val="22"/>
                <w:szCs w:val="22"/>
              </w:rPr>
              <w:t>roducer and that can be defined as the difference between turnover an</w:t>
            </w:r>
            <w:r>
              <w:rPr>
                <w:rFonts w:ascii="Arial" w:hAnsi="Arial" w:cs="Arial"/>
                <w:sz w:val="22"/>
                <w:szCs w:val="22"/>
              </w:rPr>
              <w:t xml:space="preserve">d avoidable economic costs. </w:t>
            </w:r>
            <w:fldSimple w:instr=" REF _Ref296682567 \r \h  \* MERGEFORMAT ">
              <w:r w:rsidRPr="00395FB0">
                <w:rPr>
                  <w:rFonts w:ascii="Arial" w:hAnsi="Arial" w:cs="Arial"/>
                  <w:sz w:val="22"/>
                  <w:szCs w:val="22"/>
                </w:rPr>
                <w:t>Figure 2</w:t>
              </w:r>
            </w:fldSimple>
            <w:r w:rsidRPr="00911EB5">
              <w:rPr>
                <w:rFonts w:ascii="Arial" w:hAnsi="Arial" w:cs="Arial"/>
                <w:sz w:val="22"/>
                <w:szCs w:val="22"/>
              </w:rPr>
              <w:t xml:space="preserve"> below illustrates this concept.</w:t>
            </w:r>
          </w:p>
          <w:p w:rsidR="00DD5C16" w:rsidRPr="00911EB5" w:rsidRDefault="00DD5C16" w:rsidP="004B47AC">
            <w:pPr>
              <w:pStyle w:val="fig"/>
              <w:rPr>
                <w:rFonts w:ascii="Arial" w:hAnsi="Arial" w:cs="Arial"/>
                <w:szCs w:val="22"/>
              </w:rPr>
            </w:pPr>
            <w:r w:rsidRPr="00911EB5">
              <w:rPr>
                <w:rFonts w:ascii="Arial" w:hAnsi="Arial" w:cs="Arial"/>
                <w:sz w:val="22"/>
                <w:szCs w:val="22"/>
              </w:rPr>
              <w:object w:dxaOrig="5071" w:dyaOrig="4407">
                <v:shape id="_x0000_i1029" type="#_x0000_t75" style="width:180pt;height:160.5pt" o:ole="" fillcolor="window">
                  <v:imagedata r:id="rId12" o:title=""/>
                </v:shape>
                <o:OLEObject Type="Embed" ProgID="Word.Picture.8" ShapeID="_x0000_i1029" DrawAspect="Content" ObjectID="_1383395571" r:id="rId13"/>
              </w:object>
            </w:r>
          </w:p>
          <w:p w:rsidR="00DD5C16" w:rsidRPr="00911EB5" w:rsidRDefault="00DD5C16" w:rsidP="004B47AC">
            <w:pPr>
              <w:pStyle w:val="did"/>
              <w:rPr>
                <w:rFonts w:ascii="Arial" w:hAnsi="Arial" w:cs="Arial"/>
                <w:sz w:val="22"/>
                <w:szCs w:val="22"/>
              </w:rPr>
            </w:pPr>
            <w:bookmarkStart w:id="3" w:name="_Ref296682567"/>
            <w:r w:rsidRPr="00911EB5">
              <w:rPr>
                <w:rFonts w:ascii="Arial" w:hAnsi="Arial" w:cs="Arial"/>
                <w:sz w:val="22"/>
                <w:szCs w:val="22"/>
              </w:rPr>
              <w:t>Producer surplus</w:t>
            </w:r>
            <w:bookmarkEnd w:id="3"/>
          </w:p>
          <w:p w:rsidR="00DD5C16" w:rsidRPr="00911EB5" w:rsidRDefault="00DD5C16" w:rsidP="004B47AC">
            <w:pPr>
              <w:jc w:val="both"/>
              <w:rPr>
                <w:rFonts w:ascii="Arial" w:hAnsi="Arial" w:cs="Arial"/>
              </w:rPr>
            </w:pPr>
            <w:r w:rsidRPr="00911EB5">
              <w:rPr>
                <w:rFonts w:ascii="Arial" w:hAnsi="Arial" w:cs="Arial"/>
                <w:sz w:val="22"/>
                <w:szCs w:val="22"/>
              </w:rPr>
              <w:t>Obviously, as the supply curve varies, the level of producer surplus will vary. Thus, when supply is more elastic, one would expect producer surplus to be lower than if supply were relatively inelastic.</w:t>
            </w:r>
          </w:p>
          <w:p w:rsidR="00DD5C16" w:rsidRPr="00911EB5" w:rsidRDefault="00DD5C16" w:rsidP="004B47AC">
            <w:pPr>
              <w:jc w:val="both"/>
              <w:rPr>
                <w:rFonts w:ascii="Arial" w:hAnsi="Arial" w:cs="Arial"/>
              </w:rPr>
            </w:pPr>
            <w:r w:rsidRPr="00911EB5">
              <w:rPr>
                <w:rFonts w:ascii="Arial" w:hAnsi="Arial" w:cs="Arial"/>
                <w:sz w:val="22"/>
                <w:szCs w:val="22"/>
              </w:rPr>
              <w:t>It is important to understand that, in reality, producer surplus, unlike consumer surplus, can be negative. Although a negative producer surplus cannot continue indefinitely, producers may be prepared to accommodate losses at the beginning of a product cycle in order to establish the market.</w:t>
            </w:r>
          </w:p>
          <w:p w:rsidR="00DD5C16" w:rsidRPr="00911EB5" w:rsidRDefault="00DD5C16" w:rsidP="004B47AC">
            <w:pPr>
              <w:jc w:val="both"/>
              <w:rPr>
                <w:rFonts w:ascii="Arial" w:hAnsi="Arial" w:cs="Arial"/>
              </w:rPr>
            </w:pPr>
            <w:r>
              <w:rPr>
                <w:rFonts w:ascii="Arial" w:hAnsi="Arial" w:cs="Arial"/>
                <w:sz w:val="22"/>
                <w:szCs w:val="22"/>
              </w:rPr>
              <w:t xml:space="preserve">It is also important to notice </w:t>
            </w:r>
            <w:r w:rsidRPr="00911EB5">
              <w:rPr>
                <w:rFonts w:ascii="Arial" w:hAnsi="Arial" w:cs="Arial"/>
                <w:sz w:val="22"/>
                <w:szCs w:val="22"/>
              </w:rPr>
              <w:t>that reported accounting profits and costs are not equivalent to economic profits and costs. The latter take into account inflation and the real cost of capital. Thus, even a start-up company reporting profits in its early years may not be making a true economic profit because its capital costs are not fully accounted for in book values.</w:t>
            </w:r>
          </w:p>
          <w:p w:rsidR="00DD5C16" w:rsidRDefault="00DD5C16" w:rsidP="004B47AC">
            <w:pPr>
              <w:jc w:val="both"/>
              <w:rPr>
                <w:rFonts w:ascii="Arial" w:hAnsi="Arial" w:cs="Arial"/>
              </w:rPr>
            </w:pPr>
            <w:r w:rsidRPr="00911EB5">
              <w:rPr>
                <w:rFonts w:ascii="Arial" w:hAnsi="Arial" w:cs="Arial"/>
                <w:sz w:val="22"/>
                <w:szCs w:val="22"/>
              </w:rPr>
              <w:t>Although not shown, one can easily see that at the point of market equilibrium</w:t>
            </w:r>
            <w:r>
              <w:rPr>
                <w:rFonts w:ascii="Arial" w:hAnsi="Arial" w:cs="Arial"/>
                <w:sz w:val="22"/>
                <w:szCs w:val="22"/>
              </w:rPr>
              <w:t xml:space="preserve"> (i.e. the point where supply equals demand and the two curves intersect)</w:t>
            </w:r>
            <w:r w:rsidRPr="00911EB5">
              <w:rPr>
                <w:rFonts w:ascii="Arial" w:hAnsi="Arial" w:cs="Arial"/>
                <w:sz w:val="22"/>
                <w:szCs w:val="22"/>
              </w:rPr>
              <w:t xml:space="preserve">, both consumer surplus and producer surplus can coexist. </w:t>
            </w:r>
          </w:p>
          <w:p w:rsidR="00DD5C16" w:rsidRPr="00911EB5" w:rsidRDefault="00DD5C16" w:rsidP="004B47AC">
            <w:pPr>
              <w:jc w:val="both"/>
              <w:rPr>
                <w:rFonts w:ascii="Arial" w:hAnsi="Arial" w:cs="Arial"/>
              </w:rPr>
            </w:pPr>
            <w:r w:rsidRPr="00911EB5">
              <w:rPr>
                <w:rFonts w:ascii="Arial" w:hAnsi="Arial" w:cs="Arial"/>
                <w:sz w:val="22"/>
                <w:szCs w:val="22"/>
              </w:rPr>
              <w:t>The sum of these is the economic benefit from the market.</w:t>
            </w:r>
          </w:p>
          <w:p w:rsidR="00DD5C16" w:rsidRPr="00095A13" w:rsidRDefault="00DD5C16" w:rsidP="00037AC3">
            <w:pPr>
              <w:pStyle w:val="Heading3"/>
              <w:numPr>
                <w:ilvl w:val="2"/>
                <w:numId w:val="0"/>
              </w:numPr>
              <w:tabs>
                <w:tab w:val="num" w:pos="720"/>
              </w:tabs>
              <w:spacing w:before="120" w:after="120"/>
              <w:ind w:left="720" w:hanging="720"/>
              <w:jc w:val="both"/>
              <w:rPr>
                <w:rFonts w:ascii="Arial" w:hAnsi="Arial" w:cs="Arial"/>
                <w:i/>
                <w:color w:val="auto"/>
              </w:rPr>
            </w:pPr>
            <w:bookmarkStart w:id="4" w:name="_Toc296960475"/>
            <w:r w:rsidRPr="00095A13">
              <w:rPr>
                <w:rFonts w:ascii="Arial" w:hAnsi="Arial" w:cs="Arial"/>
                <w:i/>
                <w:color w:val="auto"/>
                <w:sz w:val="22"/>
                <w:szCs w:val="22"/>
              </w:rPr>
              <w:t>Methodology for estimating economic surplus</w:t>
            </w:r>
            <w:bookmarkEnd w:id="4"/>
          </w:p>
          <w:p w:rsidR="00DD5C16" w:rsidRPr="00911EB5" w:rsidRDefault="00DD5C16" w:rsidP="001126EF">
            <w:pPr>
              <w:spacing w:before="240"/>
              <w:jc w:val="both"/>
              <w:rPr>
                <w:rFonts w:ascii="Arial" w:hAnsi="Arial" w:cs="Arial"/>
              </w:rPr>
            </w:pPr>
            <w:r w:rsidRPr="00911EB5">
              <w:rPr>
                <w:rFonts w:ascii="Arial" w:hAnsi="Arial" w:cs="Arial"/>
                <w:sz w:val="22"/>
                <w:szCs w:val="22"/>
              </w:rPr>
              <w:t>This paragraph</w:t>
            </w:r>
            <w:r>
              <w:rPr>
                <w:rFonts w:ascii="Arial" w:hAnsi="Arial" w:cs="Arial"/>
                <w:sz w:val="22"/>
                <w:szCs w:val="22"/>
              </w:rPr>
              <w:t xml:space="preserve"> gives a hint for</w:t>
            </w:r>
            <w:r w:rsidRPr="00911EB5">
              <w:rPr>
                <w:rFonts w:ascii="Arial" w:hAnsi="Arial" w:cs="Arial"/>
                <w:sz w:val="22"/>
                <w:szCs w:val="22"/>
              </w:rPr>
              <w:t xml:space="preserve"> the method that can be used to calculate producer and consumer surplus, with reference to candid</w:t>
            </w:r>
            <w:r>
              <w:rPr>
                <w:rFonts w:ascii="Arial" w:hAnsi="Arial" w:cs="Arial"/>
                <w:sz w:val="22"/>
                <w:szCs w:val="22"/>
              </w:rPr>
              <w:t>ate applications for the L band</w:t>
            </w:r>
            <w:r w:rsidRPr="00911EB5">
              <w:rPr>
                <w:rFonts w:ascii="Arial" w:hAnsi="Arial" w:cs="Arial"/>
                <w:sz w:val="22"/>
                <w:szCs w:val="22"/>
              </w:rPr>
              <w:t xml:space="preserve">. </w:t>
            </w:r>
          </w:p>
          <w:p w:rsidR="00DD5C16" w:rsidRPr="00911EB5" w:rsidRDefault="00DD5C16" w:rsidP="004B47AC">
            <w:pPr>
              <w:jc w:val="both"/>
              <w:rPr>
                <w:rFonts w:ascii="Arial" w:hAnsi="Arial" w:cs="Arial"/>
              </w:rPr>
            </w:pPr>
            <w:r w:rsidRPr="00911EB5">
              <w:rPr>
                <w:rFonts w:ascii="Arial" w:hAnsi="Arial" w:cs="Arial"/>
                <w:sz w:val="22"/>
                <w:szCs w:val="22"/>
              </w:rPr>
              <w:t>At first, it is necessary to consider the current usage of the L band (1.4 GHz). Then, it would be possible to assess the current economic value of the band, through the calculation of the consumer (if any) and producer surplus of the existing services on L band.</w:t>
            </w:r>
          </w:p>
          <w:p w:rsidR="00DD5C16" w:rsidRPr="001126EF" w:rsidRDefault="00DD5C16" w:rsidP="001126EF">
            <w:pPr>
              <w:spacing w:before="240"/>
              <w:jc w:val="both"/>
              <w:rPr>
                <w:rFonts w:ascii="Arial" w:hAnsi="Arial" w:cs="Arial"/>
                <w:u w:val="single"/>
              </w:rPr>
            </w:pPr>
            <w:r w:rsidRPr="001126EF">
              <w:rPr>
                <w:rFonts w:ascii="Arial" w:hAnsi="Arial" w:cs="Arial"/>
                <w:sz w:val="22"/>
                <w:szCs w:val="22"/>
                <w:u w:val="single"/>
              </w:rPr>
              <w:t>Producer surplus</w:t>
            </w:r>
          </w:p>
          <w:p w:rsidR="00DD5C16" w:rsidRPr="001126EF" w:rsidRDefault="00DD5C16" w:rsidP="001126EF">
            <w:pPr>
              <w:spacing w:before="240"/>
              <w:jc w:val="both"/>
              <w:rPr>
                <w:rFonts w:ascii="Arial" w:hAnsi="Arial" w:cs="Arial"/>
              </w:rPr>
            </w:pPr>
            <w:r w:rsidRPr="001126EF">
              <w:rPr>
                <w:rFonts w:ascii="Arial" w:hAnsi="Arial" w:cs="Arial"/>
                <w:sz w:val="22"/>
                <w:szCs w:val="22"/>
              </w:rPr>
              <w:t>In practical terms, producer surplus is derived by calculating the difference between revenues and economic costs. The latter reflect the fact that company resources</w:t>
            </w:r>
            <w:r>
              <w:rPr>
                <w:rFonts w:ascii="Arial" w:hAnsi="Arial" w:cs="Arial"/>
                <w:sz w:val="22"/>
                <w:szCs w:val="22"/>
              </w:rPr>
              <w:t>,</w:t>
            </w:r>
            <w:r w:rsidRPr="001126EF">
              <w:rPr>
                <w:rFonts w:ascii="Arial" w:hAnsi="Arial" w:cs="Arial"/>
                <w:sz w:val="22"/>
                <w:szCs w:val="22"/>
              </w:rPr>
              <w:t xml:space="preserve"> which have been engaged in producing radio services, can be used to produce value in a number of alternative, competing ways. The economic costs are therefore defined as the value of these resources (inputs) in their next best alternative use.</w:t>
            </w:r>
          </w:p>
          <w:p w:rsidR="00DD5C16" w:rsidRDefault="00DD5C16" w:rsidP="00037AC3">
            <w:pPr>
              <w:spacing w:after="240"/>
              <w:jc w:val="center"/>
              <w:rPr>
                <w:rFonts w:ascii="Arial" w:hAnsi="Arial" w:cs="Arial"/>
                <w:i/>
              </w:rPr>
            </w:pPr>
            <w:r w:rsidRPr="00911EB5">
              <w:rPr>
                <w:rFonts w:ascii="Arial" w:hAnsi="Arial" w:cs="Arial"/>
                <w:i/>
                <w:sz w:val="22"/>
                <w:szCs w:val="22"/>
              </w:rPr>
              <w:t>Producer surplus = Turnover – Economic Costs</w:t>
            </w:r>
          </w:p>
          <w:p w:rsidR="00DD5C16" w:rsidRDefault="00DD5C16" w:rsidP="00037AC3">
            <w:pPr>
              <w:keepNext/>
              <w:keepLines/>
              <w:spacing w:after="240"/>
              <w:jc w:val="both"/>
              <w:rPr>
                <w:rFonts w:ascii="Arial" w:hAnsi="Arial" w:cs="Arial"/>
              </w:rPr>
            </w:pPr>
            <w:r>
              <w:rPr>
                <w:rFonts w:ascii="Arial" w:hAnsi="Arial" w:cs="Arial"/>
                <w:sz w:val="22"/>
                <w:szCs w:val="22"/>
              </w:rPr>
              <w:t>Where</w:t>
            </w:r>
            <w:r w:rsidRPr="00911EB5">
              <w:rPr>
                <w:rFonts w:ascii="Arial" w:hAnsi="Arial" w:cs="Arial"/>
                <w:sz w:val="22"/>
                <w:szCs w:val="22"/>
              </w:rPr>
              <w:t>:</w:t>
            </w:r>
          </w:p>
          <w:p w:rsidR="00DD5C16" w:rsidRPr="00911EB5" w:rsidRDefault="00DD5C16" w:rsidP="00037AC3">
            <w:pPr>
              <w:keepNext/>
              <w:keepLines/>
              <w:spacing w:after="240"/>
              <w:jc w:val="center"/>
              <w:rPr>
                <w:rFonts w:ascii="Arial" w:hAnsi="Arial" w:cs="Arial"/>
                <w:i/>
              </w:rPr>
            </w:pPr>
            <w:r w:rsidRPr="00911EB5">
              <w:rPr>
                <w:rFonts w:ascii="Arial" w:hAnsi="Arial" w:cs="Arial"/>
                <w:i/>
                <w:sz w:val="22"/>
                <w:szCs w:val="22"/>
              </w:rPr>
              <w:t>Economic costs = costs of (labour + non labour inputs + capital goods + stocks)</w:t>
            </w:r>
          </w:p>
          <w:p w:rsidR="00DD5C16" w:rsidRPr="00911EB5" w:rsidRDefault="00DD5C16" w:rsidP="00037AC3">
            <w:pPr>
              <w:keepNext/>
              <w:keepLines/>
              <w:spacing w:after="240"/>
              <w:jc w:val="both"/>
              <w:rPr>
                <w:rFonts w:ascii="Arial" w:hAnsi="Arial" w:cs="Arial"/>
              </w:rPr>
            </w:pPr>
            <w:r>
              <w:rPr>
                <w:rFonts w:ascii="Arial" w:hAnsi="Arial" w:cs="Arial"/>
                <w:sz w:val="22"/>
                <w:szCs w:val="22"/>
              </w:rPr>
              <w:t>T</w:t>
            </w:r>
            <w:r w:rsidRPr="00911EB5">
              <w:rPr>
                <w:rFonts w:ascii="Arial" w:hAnsi="Arial" w:cs="Arial"/>
                <w:sz w:val="22"/>
                <w:szCs w:val="22"/>
              </w:rPr>
              <w:t>urnover can be considered equivalent to company revenue in accounts, economic costs a</w:t>
            </w:r>
            <w:r>
              <w:rPr>
                <w:rFonts w:ascii="Arial" w:hAnsi="Arial" w:cs="Arial"/>
                <w:sz w:val="22"/>
                <w:szCs w:val="22"/>
              </w:rPr>
              <w:t xml:space="preserve">re not straightforward. We can </w:t>
            </w:r>
            <w:r w:rsidRPr="00911EB5">
              <w:rPr>
                <w:rFonts w:ascii="Arial" w:hAnsi="Arial" w:cs="Arial"/>
                <w:sz w:val="22"/>
                <w:szCs w:val="22"/>
              </w:rPr>
              <w:t>identif</w:t>
            </w:r>
            <w:r>
              <w:rPr>
                <w:rFonts w:ascii="Arial" w:hAnsi="Arial" w:cs="Arial"/>
                <w:sz w:val="22"/>
                <w:szCs w:val="22"/>
              </w:rPr>
              <w:t>y</w:t>
            </w:r>
            <w:r w:rsidRPr="00911EB5">
              <w:rPr>
                <w:rFonts w:ascii="Arial" w:hAnsi="Arial" w:cs="Arial"/>
                <w:sz w:val="22"/>
                <w:szCs w:val="22"/>
              </w:rPr>
              <w:t xml:space="preserve"> four categories of cost:</w:t>
            </w:r>
          </w:p>
          <w:p w:rsidR="00DD5C16" w:rsidRPr="00911EB5" w:rsidRDefault="00DD5C16" w:rsidP="004B47AC">
            <w:pPr>
              <w:jc w:val="both"/>
              <w:rPr>
                <w:rFonts w:ascii="Arial" w:hAnsi="Arial" w:cs="Arial"/>
              </w:rPr>
            </w:pPr>
            <w:r w:rsidRPr="00911EB5">
              <w:rPr>
                <w:rFonts w:ascii="Arial" w:hAnsi="Arial" w:cs="Arial"/>
                <w:sz w:val="22"/>
                <w:szCs w:val="22"/>
              </w:rPr>
              <w:t>(a) Labor;</w:t>
            </w:r>
          </w:p>
          <w:p w:rsidR="00DD5C16" w:rsidRPr="00911EB5" w:rsidRDefault="00DD5C16" w:rsidP="004B47AC">
            <w:pPr>
              <w:jc w:val="both"/>
              <w:rPr>
                <w:rFonts w:ascii="Arial" w:hAnsi="Arial" w:cs="Arial"/>
              </w:rPr>
            </w:pPr>
            <w:r w:rsidRPr="00911EB5">
              <w:rPr>
                <w:rFonts w:ascii="Arial" w:hAnsi="Arial" w:cs="Arial"/>
                <w:sz w:val="22"/>
                <w:szCs w:val="22"/>
              </w:rPr>
              <w:t>(b) Other non-labor inputs of goods and services, e.g. materials or broadcasting content;</w:t>
            </w:r>
          </w:p>
          <w:p w:rsidR="00DD5C16" w:rsidRPr="00911EB5" w:rsidRDefault="00DD5C16" w:rsidP="004B47AC">
            <w:pPr>
              <w:jc w:val="both"/>
              <w:rPr>
                <w:rFonts w:ascii="Arial" w:hAnsi="Arial" w:cs="Arial"/>
              </w:rPr>
            </w:pPr>
            <w:r w:rsidRPr="00911EB5">
              <w:rPr>
                <w:rFonts w:ascii="Arial" w:hAnsi="Arial" w:cs="Arial"/>
                <w:sz w:val="22"/>
                <w:szCs w:val="22"/>
              </w:rPr>
              <w:t>(c) Capital goods such as buildings, vehicles and plant and machinery; spectrum use rights fall in this category;</w:t>
            </w:r>
          </w:p>
          <w:p w:rsidR="00DD5C16" w:rsidRDefault="00DD5C16" w:rsidP="004B47AC">
            <w:pPr>
              <w:jc w:val="both"/>
              <w:rPr>
                <w:rFonts w:ascii="Arial" w:hAnsi="Arial" w:cs="Arial"/>
              </w:rPr>
            </w:pPr>
            <w:r w:rsidRPr="00911EB5">
              <w:rPr>
                <w:rFonts w:ascii="Arial" w:hAnsi="Arial" w:cs="Arial"/>
                <w:sz w:val="22"/>
                <w:szCs w:val="22"/>
              </w:rPr>
              <w:t>(d) Stocks.</w:t>
            </w:r>
          </w:p>
          <w:p w:rsidR="00DD5C16" w:rsidRPr="001126EF" w:rsidRDefault="00DD5C16" w:rsidP="001126EF">
            <w:pPr>
              <w:spacing w:before="240" w:after="240"/>
              <w:jc w:val="both"/>
              <w:rPr>
                <w:rFonts w:ascii="Arial" w:hAnsi="Arial" w:cs="Arial"/>
                <w:u w:val="single"/>
              </w:rPr>
            </w:pPr>
            <w:bookmarkStart w:id="5" w:name="_Toc296960477"/>
            <w:r w:rsidRPr="001126EF">
              <w:rPr>
                <w:rFonts w:ascii="Arial" w:hAnsi="Arial" w:cs="Arial"/>
                <w:sz w:val="22"/>
                <w:szCs w:val="22"/>
                <w:u w:val="single"/>
              </w:rPr>
              <w:t xml:space="preserve">Consumer surplus </w:t>
            </w:r>
            <w:bookmarkEnd w:id="5"/>
          </w:p>
          <w:p w:rsidR="00DD5C16" w:rsidRPr="00911EB5" w:rsidRDefault="00DD5C16" w:rsidP="001126EF">
            <w:pPr>
              <w:keepNext/>
              <w:keepLines/>
              <w:spacing w:after="240"/>
              <w:jc w:val="both"/>
              <w:rPr>
                <w:rFonts w:ascii="Arial" w:hAnsi="Arial" w:cs="Arial"/>
              </w:rPr>
            </w:pPr>
            <w:r w:rsidRPr="00911EB5">
              <w:rPr>
                <w:rFonts w:ascii="Arial" w:hAnsi="Arial" w:cs="Arial"/>
                <w:sz w:val="22"/>
                <w:szCs w:val="22"/>
              </w:rPr>
              <w:t>The methodology for consumer surplus in literature is often based on the following simple formula which refers to producers revenues:</w:t>
            </w:r>
          </w:p>
          <w:p w:rsidR="00DD5C16" w:rsidRPr="00911EB5" w:rsidRDefault="00DD5C16" w:rsidP="004B47AC">
            <w:pPr>
              <w:keepNext/>
              <w:keepLines/>
              <w:jc w:val="both"/>
              <w:rPr>
                <w:rFonts w:ascii="Arial" w:hAnsi="Arial" w:cs="Arial"/>
              </w:rPr>
            </w:pPr>
            <w:r w:rsidRPr="0017693F">
              <w:pict>
                <v:shape id="_x0000_i1030" type="#_x0000_t75" style="width:157.5pt;height:25.5pt">
                  <v:imagedata r:id="rId14" o:title="" chromakey="white"/>
                </v:shape>
              </w:pict>
            </w:r>
          </w:p>
          <w:p w:rsidR="00DD5C16" w:rsidRPr="00911EB5" w:rsidRDefault="00DD5C16" w:rsidP="004B47AC">
            <w:pPr>
              <w:jc w:val="both"/>
              <w:rPr>
                <w:rFonts w:ascii="Arial" w:hAnsi="Arial" w:cs="Arial"/>
              </w:rPr>
            </w:pPr>
          </w:p>
          <w:p w:rsidR="00DD5C16" w:rsidRPr="00911EB5" w:rsidRDefault="00DD5C16" w:rsidP="004B47AC">
            <w:pPr>
              <w:jc w:val="both"/>
              <w:rPr>
                <w:rFonts w:ascii="Arial" w:hAnsi="Arial" w:cs="Arial"/>
              </w:rPr>
            </w:pPr>
            <w:r w:rsidRPr="00911EB5">
              <w:rPr>
                <w:rFonts w:ascii="Arial" w:hAnsi="Arial" w:cs="Arial"/>
                <w:sz w:val="22"/>
                <w:szCs w:val="22"/>
              </w:rPr>
              <w:t xml:space="preserve">Where </w:t>
            </w:r>
            <w:r w:rsidRPr="00911EB5">
              <w:rPr>
                <w:rStyle w:val="Emphasis"/>
                <w:rFonts w:ascii="Arial" w:hAnsi="Arial" w:cs="Arial"/>
                <w:sz w:val="22"/>
                <w:szCs w:val="22"/>
              </w:rPr>
              <w:t xml:space="preserve">e </w:t>
            </w:r>
            <w:r w:rsidRPr="00911EB5">
              <w:rPr>
                <w:rFonts w:ascii="Arial" w:hAnsi="Arial" w:cs="Arial"/>
                <w:sz w:val="22"/>
                <w:szCs w:val="22"/>
              </w:rPr>
              <w:t xml:space="preserve">is the estimated price elasticity of the product. </w:t>
            </w:r>
          </w:p>
          <w:p w:rsidR="00DD5C16" w:rsidRPr="00911EB5" w:rsidRDefault="00DD5C16" w:rsidP="004B47AC">
            <w:pPr>
              <w:jc w:val="both"/>
              <w:rPr>
                <w:rFonts w:ascii="Arial" w:hAnsi="Arial" w:cs="Arial"/>
              </w:rPr>
            </w:pPr>
            <w:r w:rsidRPr="00911EB5">
              <w:rPr>
                <w:rFonts w:ascii="Arial" w:hAnsi="Arial" w:cs="Arial"/>
                <w:sz w:val="22"/>
                <w:szCs w:val="22"/>
              </w:rPr>
              <w:t>The assessment of elasticity requires complex econometric surveys, so it would be easier to use an average of the values found by previous studies on same or similar telecommunication services.</w:t>
            </w:r>
          </w:p>
          <w:p w:rsidR="00DD5C16" w:rsidRPr="00911EB5" w:rsidRDefault="00DD5C16" w:rsidP="004B47AC">
            <w:pPr>
              <w:jc w:val="both"/>
              <w:rPr>
                <w:rFonts w:ascii="Arial" w:hAnsi="Arial" w:cs="Arial"/>
              </w:rPr>
            </w:pPr>
          </w:p>
          <w:p w:rsidR="00DD5C16" w:rsidRPr="00037AC3" w:rsidRDefault="00DD5C16" w:rsidP="00037AC3">
            <w:pPr>
              <w:keepNext/>
              <w:keepLines/>
              <w:spacing w:after="240"/>
              <w:jc w:val="both"/>
              <w:rPr>
                <w:rFonts w:ascii="Arial" w:hAnsi="Arial" w:cs="Arial"/>
                <w:b/>
              </w:rPr>
            </w:pPr>
            <w:r w:rsidRPr="00037AC3">
              <w:rPr>
                <w:rFonts w:ascii="Arial" w:hAnsi="Arial" w:cs="Arial"/>
                <w:b/>
                <w:sz w:val="22"/>
                <w:szCs w:val="22"/>
              </w:rPr>
              <w:t>Social efficiency</w:t>
            </w:r>
          </w:p>
          <w:p w:rsidR="00DD5C16" w:rsidRPr="00911EB5" w:rsidRDefault="00DD5C16" w:rsidP="00037AC3">
            <w:pPr>
              <w:spacing w:after="240"/>
              <w:jc w:val="both"/>
              <w:rPr>
                <w:rFonts w:ascii="Arial" w:hAnsi="Arial" w:cs="Arial"/>
              </w:rPr>
            </w:pPr>
            <w:r w:rsidRPr="00911EB5">
              <w:rPr>
                <w:rFonts w:ascii="Arial" w:hAnsi="Arial" w:cs="Arial"/>
                <w:sz w:val="22"/>
                <w:szCs w:val="22"/>
              </w:rPr>
              <w:t xml:space="preserve">We also have to consider other indicators of efficiency which cannot be measured in a quantitative way, but </w:t>
            </w:r>
            <w:r>
              <w:rPr>
                <w:rFonts w:ascii="Arial" w:hAnsi="Arial" w:cs="Arial"/>
                <w:sz w:val="22"/>
                <w:szCs w:val="22"/>
              </w:rPr>
              <w:t xml:space="preserve">which are </w:t>
            </w:r>
            <w:r w:rsidRPr="00911EB5">
              <w:rPr>
                <w:rFonts w:ascii="Arial" w:hAnsi="Arial" w:cs="Arial"/>
                <w:sz w:val="22"/>
                <w:szCs w:val="22"/>
              </w:rPr>
              <w:t xml:space="preserve">equally important while deciding on frequencies allocation. </w:t>
            </w:r>
          </w:p>
          <w:p w:rsidR="00DD5C16" w:rsidRPr="00911EB5" w:rsidRDefault="00DD5C16" w:rsidP="004B47AC">
            <w:pPr>
              <w:jc w:val="both"/>
              <w:rPr>
                <w:rFonts w:ascii="Arial" w:hAnsi="Arial" w:cs="Arial"/>
              </w:rPr>
            </w:pPr>
            <w:r w:rsidRPr="00911EB5">
              <w:rPr>
                <w:rFonts w:ascii="Arial" w:hAnsi="Arial" w:cs="Arial"/>
                <w:sz w:val="22"/>
                <w:szCs w:val="22"/>
              </w:rPr>
              <w:t xml:space="preserve">This indicators are essentially qualitative, and can measure weather and to which extent the different scenarios are capable of meeting social requirements. EU aims, among which rural areas inclusion, aging well, broadband speeds and penetration, public service objectives, </w:t>
            </w:r>
            <w:r>
              <w:rPr>
                <w:rFonts w:ascii="Arial" w:hAnsi="Arial" w:cs="Arial"/>
                <w:sz w:val="22"/>
                <w:szCs w:val="22"/>
              </w:rPr>
              <w:t>respect for the environment, should</w:t>
            </w:r>
            <w:bookmarkStart w:id="6" w:name="_GoBack"/>
            <w:bookmarkEnd w:id="6"/>
            <w:r w:rsidRPr="00911EB5">
              <w:rPr>
                <w:rFonts w:ascii="Arial" w:hAnsi="Arial" w:cs="Arial"/>
                <w:sz w:val="22"/>
                <w:szCs w:val="22"/>
              </w:rPr>
              <w:t xml:space="preserve"> be taken into account.</w:t>
            </w:r>
          </w:p>
          <w:p w:rsidR="00DD5C16" w:rsidRPr="00911EB5" w:rsidRDefault="00DD5C16" w:rsidP="004B47AC">
            <w:pPr>
              <w:jc w:val="both"/>
              <w:rPr>
                <w:rFonts w:ascii="Arial" w:hAnsi="Arial" w:cs="Arial"/>
              </w:rPr>
            </w:pPr>
            <w:r w:rsidRPr="00911EB5">
              <w:rPr>
                <w:rFonts w:ascii="Arial" w:hAnsi="Arial" w:cs="Arial"/>
                <w:sz w:val="22"/>
                <w:szCs w:val="22"/>
              </w:rPr>
              <w:t>Once a set of social and political objectives is identified, we can associate a dichotomous variable to each of those objectives and define social efficiency as a weighted sum of this variables:</w:t>
            </w:r>
          </w:p>
          <w:p w:rsidR="00DD5C16" w:rsidRPr="00911EB5" w:rsidRDefault="00DD5C16" w:rsidP="004B47AC">
            <w:pPr>
              <w:jc w:val="both"/>
              <w:rPr>
                <w:rFonts w:ascii="Arial" w:hAnsi="Arial" w:cs="Arial"/>
              </w:rPr>
            </w:pPr>
          </w:p>
          <w:p w:rsidR="00DD5C16" w:rsidRPr="00911EB5" w:rsidRDefault="00DD5C16" w:rsidP="004B47AC">
            <w:pPr>
              <w:jc w:val="center"/>
              <w:rPr>
                <w:rFonts w:ascii="Arial" w:hAnsi="Arial" w:cs="Arial"/>
              </w:rPr>
            </w:pPr>
            <w:r w:rsidRPr="00911EB5">
              <w:rPr>
                <w:position w:val="-28"/>
                <w:sz w:val="22"/>
                <w:szCs w:val="22"/>
              </w:rPr>
              <w:object w:dxaOrig="1180" w:dyaOrig="540">
                <v:shape id="_x0000_i1031" type="#_x0000_t75" style="width:57pt;height:27.75pt" o:ole="">
                  <v:imagedata r:id="rId15" o:title=""/>
                </v:shape>
                <o:OLEObject Type="Embed" ProgID="Equation.3" ShapeID="_x0000_i1031" DrawAspect="Content" ObjectID="_1383395572" r:id="rId16"/>
              </w:object>
            </w:r>
          </w:p>
          <w:p w:rsidR="00DD5C16" w:rsidRPr="00037AC3" w:rsidRDefault="00DD5C16" w:rsidP="00037AC3">
            <w:pPr>
              <w:keepNext/>
              <w:keepLines/>
              <w:spacing w:after="240"/>
              <w:jc w:val="both"/>
              <w:rPr>
                <w:rFonts w:ascii="Arial" w:hAnsi="Arial" w:cs="Arial"/>
                <w:b/>
              </w:rPr>
            </w:pPr>
            <w:r w:rsidRPr="00037AC3">
              <w:rPr>
                <w:rFonts w:ascii="Arial" w:hAnsi="Arial" w:cs="Arial"/>
                <w:b/>
                <w:sz w:val="22"/>
                <w:szCs w:val="22"/>
              </w:rPr>
              <w:t xml:space="preserve">Comparing different </w:t>
            </w:r>
            <w:r>
              <w:rPr>
                <w:rFonts w:ascii="Arial" w:hAnsi="Arial" w:cs="Arial"/>
                <w:b/>
                <w:sz w:val="22"/>
                <w:szCs w:val="22"/>
              </w:rPr>
              <w:t>applications</w:t>
            </w:r>
          </w:p>
          <w:p w:rsidR="00DD5C16" w:rsidRPr="00911EB5" w:rsidRDefault="00DD5C16" w:rsidP="004B47AC">
            <w:pPr>
              <w:jc w:val="both"/>
              <w:rPr>
                <w:rFonts w:ascii="Arial" w:hAnsi="Arial" w:cs="Arial"/>
              </w:rPr>
            </w:pPr>
            <w:r w:rsidRPr="00911EB5">
              <w:rPr>
                <w:rFonts w:ascii="Arial" w:hAnsi="Arial" w:cs="Arial"/>
                <w:sz w:val="22"/>
                <w:szCs w:val="22"/>
              </w:rPr>
              <w:t xml:space="preserve">Social and economic benefits assessment must be reiterated for all the candidate applications for the L band, evaluating the outputs for each utilization scenario that must be considered. </w:t>
            </w:r>
          </w:p>
          <w:p w:rsidR="00DD5C16" w:rsidRPr="00911EB5" w:rsidRDefault="00DD5C16" w:rsidP="004B47AC">
            <w:pPr>
              <w:jc w:val="both"/>
              <w:rPr>
                <w:rFonts w:ascii="Arial" w:hAnsi="Arial" w:cs="Arial"/>
              </w:rPr>
            </w:pPr>
            <w:r w:rsidRPr="00911EB5">
              <w:rPr>
                <w:rFonts w:ascii="Arial" w:hAnsi="Arial" w:cs="Arial"/>
                <w:sz w:val="22"/>
                <w:szCs w:val="22"/>
              </w:rPr>
              <w:t>Of course, while revenues and costs are certain for existing products and services, those arousing from new services must be estimated, once one has taken some additional assumptions, mostly</w:t>
            </w:r>
            <w:r>
              <w:rPr>
                <w:rFonts w:ascii="Arial" w:hAnsi="Arial" w:cs="Arial"/>
                <w:sz w:val="22"/>
                <w:szCs w:val="22"/>
              </w:rPr>
              <w:t>,</w:t>
            </w:r>
            <w:r w:rsidRPr="00911EB5">
              <w:rPr>
                <w:rFonts w:ascii="Arial" w:hAnsi="Arial" w:cs="Arial"/>
                <w:sz w:val="22"/>
                <w:szCs w:val="22"/>
              </w:rPr>
              <w:t xml:space="preserve"> but not exclusively</w:t>
            </w:r>
            <w:r>
              <w:rPr>
                <w:rFonts w:ascii="Arial" w:hAnsi="Arial" w:cs="Arial"/>
                <w:sz w:val="22"/>
                <w:szCs w:val="22"/>
              </w:rPr>
              <w:t>,</w:t>
            </w:r>
            <w:r w:rsidRPr="00911EB5">
              <w:rPr>
                <w:rFonts w:ascii="Arial" w:hAnsi="Arial" w:cs="Arial"/>
                <w:sz w:val="22"/>
                <w:szCs w:val="22"/>
              </w:rPr>
              <w:t xml:space="preserve"> on the expected demand for these services.</w:t>
            </w:r>
          </w:p>
          <w:p w:rsidR="00DD5C16" w:rsidRPr="00911EB5" w:rsidRDefault="00DD5C16" w:rsidP="004B47AC">
            <w:pPr>
              <w:jc w:val="both"/>
              <w:rPr>
                <w:rFonts w:ascii="Arial" w:hAnsi="Arial" w:cs="Arial"/>
              </w:rPr>
            </w:pPr>
            <w:r w:rsidRPr="00911EB5">
              <w:rPr>
                <w:rFonts w:ascii="Arial" w:hAnsi="Arial" w:cs="Arial"/>
                <w:sz w:val="22"/>
                <w:szCs w:val="22"/>
              </w:rPr>
              <w:t>It is also worth noting that the definition of the utilization scenario, needed for the evaluation of social and economic benefits, must take into account several issues, among which also aspects related to the other criteria identified in Section 2 of the draft ECC Report (e.g. compatibility</w:t>
            </w:r>
            <w:r>
              <w:rPr>
                <w:rFonts w:ascii="Arial" w:hAnsi="Arial" w:cs="Arial"/>
                <w:sz w:val="22"/>
                <w:szCs w:val="22"/>
              </w:rPr>
              <w:t xml:space="preserve"> </w:t>
            </w:r>
            <w:r w:rsidRPr="00911EB5">
              <w:rPr>
                <w:rFonts w:ascii="Arial" w:hAnsi="Arial" w:cs="Arial"/>
                <w:sz w:val="22"/>
                <w:szCs w:val="22"/>
              </w:rPr>
              <w:t>with the current regulatory framework,</w:t>
            </w:r>
            <w:r>
              <w:rPr>
                <w:rFonts w:ascii="Arial" w:hAnsi="Arial" w:cs="Arial"/>
                <w:sz w:val="22"/>
                <w:szCs w:val="22"/>
              </w:rPr>
              <w:t xml:space="preserve"> </w:t>
            </w:r>
            <w:r w:rsidRPr="00911EB5">
              <w:rPr>
                <w:rFonts w:ascii="Arial" w:hAnsi="Arial" w:cs="Arial"/>
                <w:sz w:val="22"/>
                <w:szCs w:val="22"/>
              </w:rPr>
              <w:t>timeframe for availability of equipment on a large scale and for application deployment).</w:t>
            </w:r>
          </w:p>
          <w:p w:rsidR="00DD5C16" w:rsidRPr="00911EB5" w:rsidRDefault="00DD5C16" w:rsidP="00E50E85">
            <w:pPr>
              <w:jc w:val="both"/>
              <w:rPr>
                <w:rFonts w:ascii="Arial" w:hAnsi="Arial" w:cs="Arial"/>
                <w:b/>
              </w:rPr>
            </w:pPr>
          </w:p>
        </w:tc>
      </w:tr>
    </w:tbl>
    <w:p w:rsidR="00DD5C16" w:rsidRDefault="00DD5C16"/>
    <w:sectPr w:rsidR="00DD5C16" w:rsidSect="0020142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D0D27"/>
    <w:multiLevelType w:val="singleLevel"/>
    <w:tmpl w:val="C2DC1BD8"/>
    <w:lvl w:ilvl="0">
      <w:start w:val="1"/>
      <w:numFmt w:val="decimal"/>
      <w:pStyle w:val="did"/>
      <w:lvlText w:val="Figure %1."/>
      <w:lvlJc w:val="left"/>
      <w:pPr>
        <w:tabs>
          <w:tab w:val="num" w:pos="1440"/>
        </w:tabs>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1B98"/>
    <w:rsid w:val="00002A9E"/>
    <w:rsid w:val="00037AC3"/>
    <w:rsid w:val="00095A13"/>
    <w:rsid w:val="00111B98"/>
    <w:rsid w:val="001126EF"/>
    <w:rsid w:val="0013594B"/>
    <w:rsid w:val="00143F4E"/>
    <w:rsid w:val="0017693F"/>
    <w:rsid w:val="001C50CD"/>
    <w:rsid w:val="00201420"/>
    <w:rsid w:val="0021643C"/>
    <w:rsid w:val="002B78E3"/>
    <w:rsid w:val="002C1B8E"/>
    <w:rsid w:val="002E792B"/>
    <w:rsid w:val="002E798D"/>
    <w:rsid w:val="002F4A21"/>
    <w:rsid w:val="00313C53"/>
    <w:rsid w:val="00371644"/>
    <w:rsid w:val="00395FB0"/>
    <w:rsid w:val="00433E9D"/>
    <w:rsid w:val="00443085"/>
    <w:rsid w:val="00454EC9"/>
    <w:rsid w:val="00460FD3"/>
    <w:rsid w:val="004B47AC"/>
    <w:rsid w:val="0051409D"/>
    <w:rsid w:val="00563DDD"/>
    <w:rsid w:val="006304BB"/>
    <w:rsid w:val="0064700D"/>
    <w:rsid w:val="006C57B7"/>
    <w:rsid w:val="006F1907"/>
    <w:rsid w:val="00873B6B"/>
    <w:rsid w:val="008864EA"/>
    <w:rsid w:val="008D51EF"/>
    <w:rsid w:val="00911EB5"/>
    <w:rsid w:val="00912699"/>
    <w:rsid w:val="009F1A7D"/>
    <w:rsid w:val="009F5084"/>
    <w:rsid w:val="00A55554"/>
    <w:rsid w:val="00A63DA9"/>
    <w:rsid w:val="00AB3656"/>
    <w:rsid w:val="00AC1AF0"/>
    <w:rsid w:val="00B64182"/>
    <w:rsid w:val="00BB60AF"/>
    <w:rsid w:val="00BD02BA"/>
    <w:rsid w:val="00C0046D"/>
    <w:rsid w:val="00C05D7F"/>
    <w:rsid w:val="00C848CE"/>
    <w:rsid w:val="00D34698"/>
    <w:rsid w:val="00D50823"/>
    <w:rsid w:val="00D512C6"/>
    <w:rsid w:val="00DA1573"/>
    <w:rsid w:val="00DD5C16"/>
    <w:rsid w:val="00DF46A8"/>
    <w:rsid w:val="00E36B91"/>
    <w:rsid w:val="00E50E85"/>
    <w:rsid w:val="00E71229"/>
    <w:rsid w:val="00EE2C29"/>
    <w:rsid w:val="00F460A4"/>
    <w:rsid w:val="00FC544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B98"/>
    <w:rPr>
      <w:rFonts w:ascii="Times New Roman" w:eastAsia="Times New Roman" w:hAnsi="Times New Roman"/>
      <w:sz w:val="24"/>
      <w:szCs w:val="24"/>
      <w:lang w:val="en-US" w:eastAsia="en-US"/>
    </w:rPr>
  </w:style>
  <w:style w:type="paragraph" w:styleId="Heading3">
    <w:name w:val="heading 3"/>
    <w:basedOn w:val="Normal"/>
    <w:next w:val="Normal"/>
    <w:link w:val="Heading3Char"/>
    <w:uiPriority w:val="99"/>
    <w:qFormat/>
    <w:rsid w:val="00111B98"/>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111B98"/>
    <w:pPr>
      <w:keepNext/>
      <w:outlineLvl w:val="3"/>
    </w:pPr>
    <w:rPr>
      <w:rFonts w:ascii="Arial" w:hAnsi="Arial"/>
      <w:b/>
      <w:szCs w:val="20"/>
      <w:lang w:val="en-GB"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111B98"/>
    <w:rPr>
      <w:rFonts w:ascii="Cambria" w:hAnsi="Cambria" w:cs="Times New Roman"/>
      <w:b/>
      <w:bCs/>
      <w:color w:val="4F81BD"/>
      <w:sz w:val="24"/>
      <w:szCs w:val="24"/>
      <w:lang w:val="en-US"/>
    </w:rPr>
  </w:style>
  <w:style w:type="character" w:customStyle="1" w:styleId="Heading4Char">
    <w:name w:val="Heading 4 Char"/>
    <w:basedOn w:val="DefaultParagraphFont"/>
    <w:link w:val="Heading4"/>
    <w:uiPriority w:val="99"/>
    <w:locked/>
    <w:rsid w:val="00111B98"/>
    <w:rPr>
      <w:rFonts w:ascii="Arial" w:hAnsi="Arial" w:cs="Times New Roman"/>
      <w:b/>
      <w:sz w:val="20"/>
      <w:szCs w:val="20"/>
      <w:lang w:val="en-GB" w:eastAsia="de-DE"/>
    </w:rPr>
  </w:style>
  <w:style w:type="paragraph" w:styleId="BalloonText">
    <w:name w:val="Balloon Text"/>
    <w:basedOn w:val="Normal"/>
    <w:link w:val="BalloonTextChar"/>
    <w:uiPriority w:val="99"/>
    <w:semiHidden/>
    <w:rsid w:val="00111B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11B98"/>
    <w:rPr>
      <w:rFonts w:ascii="Tahoma" w:hAnsi="Tahoma" w:cs="Tahoma"/>
      <w:sz w:val="16"/>
      <w:szCs w:val="16"/>
      <w:lang w:val="en-US"/>
    </w:rPr>
  </w:style>
  <w:style w:type="paragraph" w:customStyle="1" w:styleId="did">
    <w:name w:val="did"/>
    <w:basedOn w:val="Normal"/>
    <w:next w:val="Normal"/>
    <w:uiPriority w:val="99"/>
    <w:rsid w:val="00111B98"/>
    <w:pPr>
      <w:keepLines/>
      <w:numPr>
        <w:numId w:val="1"/>
      </w:numPr>
      <w:spacing w:before="120" w:after="120"/>
      <w:jc w:val="center"/>
    </w:pPr>
    <w:rPr>
      <w:sz w:val="20"/>
      <w:szCs w:val="20"/>
      <w:lang w:val="en-GB" w:eastAsia="ja-JP"/>
    </w:rPr>
  </w:style>
  <w:style w:type="paragraph" w:customStyle="1" w:styleId="fig">
    <w:name w:val="fig"/>
    <w:basedOn w:val="Normal"/>
    <w:next w:val="did"/>
    <w:uiPriority w:val="99"/>
    <w:rsid w:val="00111B98"/>
    <w:pPr>
      <w:keepNext/>
      <w:keepLines/>
      <w:spacing w:before="120" w:after="120" w:line="360" w:lineRule="auto"/>
      <w:jc w:val="center"/>
    </w:pPr>
    <w:rPr>
      <w:szCs w:val="20"/>
      <w:lang w:val="en-GB" w:eastAsia="ja-JP"/>
    </w:rPr>
  </w:style>
  <w:style w:type="character" w:styleId="Emphasis">
    <w:name w:val="Emphasis"/>
    <w:basedOn w:val="DefaultParagraphFont"/>
    <w:uiPriority w:val="99"/>
    <w:qFormat/>
    <w:rsid w:val="00111B98"/>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wmf"/><Relationship Id="rId15" Type="http://schemas.openxmlformats.org/officeDocument/2006/relationships/image" Target="media/image7.wmf"/><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1322</Words>
  <Characters>7273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Doriana Guiducci</dc:creator>
  <cp:keywords/>
  <dc:description/>
  <cp:lastModifiedBy>Benoist Deschamps</cp:lastModifiedBy>
  <cp:revision>2</cp:revision>
  <cp:lastPrinted>2011-11-15T14:10:00Z</cp:lastPrinted>
  <dcterms:created xsi:type="dcterms:W3CDTF">2011-11-21T14:46:00Z</dcterms:created>
  <dcterms:modified xsi:type="dcterms:W3CDTF">2011-11-21T14:46:00Z</dcterms:modified>
</cp:coreProperties>
</file>