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4547" w:rsidRPr="003A4A80" w:rsidRDefault="00864547" w:rsidP="001350EB">
      <w:pPr>
        <w:rPr>
          <w:lang w:val="en-GB"/>
        </w:rPr>
      </w:pPr>
    </w:p>
    <w:tbl>
      <w:tblPr>
        <w:tblW w:w="10152" w:type="dxa"/>
        <w:tblInd w:w="-34" w:type="dxa"/>
        <w:tblLayout w:type="fixed"/>
        <w:tblLook w:val="0000"/>
      </w:tblPr>
      <w:tblGrid>
        <w:gridCol w:w="34"/>
        <w:gridCol w:w="8"/>
        <w:gridCol w:w="3500"/>
        <w:gridCol w:w="300"/>
        <w:gridCol w:w="1262"/>
        <w:gridCol w:w="438"/>
        <w:gridCol w:w="360"/>
        <w:gridCol w:w="493"/>
        <w:gridCol w:w="1347"/>
        <w:gridCol w:w="1472"/>
        <w:gridCol w:w="428"/>
        <w:gridCol w:w="510"/>
      </w:tblGrid>
      <w:tr w:rsidR="00864547" w:rsidRPr="00D33BCE" w:rsidTr="001350EB">
        <w:trPr>
          <w:gridBefore w:val="1"/>
          <w:gridAfter w:val="1"/>
          <w:wBefore w:w="34" w:type="dxa"/>
          <w:wAfter w:w="510" w:type="dxa"/>
        </w:trPr>
        <w:tc>
          <w:tcPr>
            <w:tcW w:w="5070" w:type="dxa"/>
            <w:gridSpan w:val="4"/>
          </w:tcPr>
          <w:p w:rsidR="00864547" w:rsidRPr="00D33BCE" w:rsidRDefault="00864547" w:rsidP="00EE2D78">
            <w:pPr>
              <w:jc w:val="both"/>
              <w:rPr>
                <w:rFonts w:cs="Arial"/>
                <w:b/>
                <w:lang w:val="en-GB"/>
              </w:rPr>
            </w:pPr>
            <w:r w:rsidRPr="009A62C4">
              <w:rPr>
                <w:b/>
                <w:caps/>
                <w:noProof/>
                <w:lang w:val="fr-FR" w:eastAsia="fr-F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1" o:spid="_x0000_i1025" type="#_x0000_t75" style="width:126.75pt;height:73.5pt;visibility:visible">
                  <v:imagedata r:id="rId7" o:title=""/>
                </v:shape>
              </w:pict>
            </w:r>
          </w:p>
        </w:tc>
        <w:tc>
          <w:tcPr>
            <w:tcW w:w="2638" w:type="dxa"/>
            <w:gridSpan w:val="4"/>
          </w:tcPr>
          <w:p w:rsidR="00864547" w:rsidRPr="00D33BCE" w:rsidRDefault="00864547" w:rsidP="00EE2D78">
            <w:pPr>
              <w:jc w:val="both"/>
              <w:rPr>
                <w:rFonts w:cs="Arial"/>
                <w:b/>
                <w:lang w:val="en-GB"/>
              </w:rPr>
            </w:pPr>
          </w:p>
          <w:p w:rsidR="00864547" w:rsidRPr="00D33BCE" w:rsidRDefault="00864547" w:rsidP="00EE2D78">
            <w:pPr>
              <w:jc w:val="both"/>
              <w:rPr>
                <w:rFonts w:cs="Arial"/>
                <w:b/>
                <w:lang w:val="en-GB"/>
              </w:rPr>
            </w:pPr>
          </w:p>
          <w:p w:rsidR="00864547" w:rsidRPr="00D33BCE" w:rsidRDefault="00864547" w:rsidP="00EE2D78">
            <w:pPr>
              <w:jc w:val="both"/>
              <w:rPr>
                <w:rFonts w:cs="Arial"/>
                <w:b/>
                <w:lang w:val="en-GB"/>
              </w:rPr>
            </w:pPr>
          </w:p>
          <w:p w:rsidR="00864547" w:rsidRPr="00D33BCE" w:rsidRDefault="00864547" w:rsidP="00EE2D78">
            <w:pPr>
              <w:jc w:val="both"/>
              <w:rPr>
                <w:rFonts w:cs="Arial"/>
                <w:b/>
                <w:lang w:val="en-GB"/>
              </w:rPr>
            </w:pPr>
          </w:p>
        </w:tc>
        <w:tc>
          <w:tcPr>
            <w:tcW w:w="1900" w:type="dxa"/>
            <w:gridSpan w:val="2"/>
          </w:tcPr>
          <w:p w:rsidR="00864547" w:rsidRPr="00D33BCE" w:rsidRDefault="00864547" w:rsidP="00EE2D78">
            <w:pPr>
              <w:jc w:val="right"/>
              <w:rPr>
                <w:rFonts w:cs="Arial"/>
                <w:b/>
                <w:lang w:val="en-GB"/>
              </w:rPr>
            </w:pPr>
            <w:r w:rsidRPr="00D33BCE">
              <w:rPr>
                <w:rFonts w:cs="Arial"/>
                <w:b/>
                <w:lang w:val="en-GB"/>
              </w:rPr>
              <w:t>FM50(11</w:t>
            </w:r>
            <w:r>
              <w:rPr>
                <w:rFonts w:cs="Arial"/>
                <w:b/>
                <w:lang w:val="en-GB"/>
              </w:rPr>
              <w:t>)064</w:t>
            </w:r>
          </w:p>
        </w:tc>
      </w:tr>
      <w:tr w:rsidR="00864547" w:rsidRPr="00172F7F" w:rsidTr="001350EB">
        <w:trPr>
          <w:gridBefore w:val="1"/>
          <w:gridAfter w:val="1"/>
          <w:wBefore w:w="34" w:type="dxa"/>
          <w:wAfter w:w="510" w:type="dxa"/>
        </w:trPr>
        <w:tc>
          <w:tcPr>
            <w:tcW w:w="9608" w:type="dxa"/>
            <w:gridSpan w:val="10"/>
          </w:tcPr>
          <w:p w:rsidR="00864547" w:rsidRPr="00172F7F" w:rsidRDefault="00864547" w:rsidP="00EE2D78">
            <w:pPr>
              <w:rPr>
                <w:rFonts w:cs="Arial"/>
                <w:b/>
                <w:bCs/>
                <w:lang w:val="en-GB"/>
              </w:rPr>
            </w:pPr>
          </w:p>
          <w:p w:rsidR="00864547" w:rsidRPr="00172F7F" w:rsidRDefault="00864547" w:rsidP="00EE2D78">
            <w:pPr>
              <w:rPr>
                <w:rFonts w:cs="Arial"/>
                <w:b/>
                <w:bCs/>
                <w:lang w:val="en-GB"/>
              </w:rPr>
            </w:pPr>
            <w:r w:rsidRPr="00172F7F">
              <w:rPr>
                <w:rFonts w:cs="Arial"/>
                <w:b/>
                <w:bCs/>
                <w:lang w:val="en-GB"/>
              </w:rPr>
              <w:t>3rd Meeting of FM PT 50</w:t>
            </w:r>
          </w:p>
        </w:tc>
      </w:tr>
      <w:tr w:rsidR="00864547" w:rsidRPr="00D33BCE" w:rsidTr="001350EB">
        <w:trPr>
          <w:gridBefore w:val="1"/>
          <w:gridAfter w:val="1"/>
          <w:wBefore w:w="34" w:type="dxa"/>
          <w:wAfter w:w="510" w:type="dxa"/>
          <w:trHeight w:val="360"/>
        </w:trPr>
        <w:tc>
          <w:tcPr>
            <w:tcW w:w="9608" w:type="dxa"/>
            <w:gridSpan w:val="10"/>
          </w:tcPr>
          <w:p w:rsidR="00864547" w:rsidRPr="00CF613B" w:rsidRDefault="00864547" w:rsidP="00EE2D78">
            <w:pPr>
              <w:jc w:val="both"/>
              <w:rPr>
                <w:rFonts w:cs="Arial"/>
                <w:b/>
                <w:lang w:val="en-GB"/>
              </w:rPr>
            </w:pPr>
            <w:r w:rsidRPr="00157E28">
              <w:rPr>
                <w:rFonts w:cs="Arial"/>
                <w:b/>
                <w:bCs/>
                <w:lang w:val="fi-FI"/>
              </w:rPr>
              <w:t>30th November – 2nd December 2011, Helsinki, Finland</w:t>
            </w:r>
          </w:p>
        </w:tc>
      </w:tr>
      <w:tr w:rsidR="00864547" w:rsidRPr="00172F7F" w:rsidTr="001350EB">
        <w:trPr>
          <w:gridBefore w:val="1"/>
          <w:gridAfter w:val="1"/>
          <w:wBefore w:w="34" w:type="dxa"/>
          <w:wAfter w:w="510" w:type="dxa"/>
          <w:cantSplit/>
          <w:trHeight w:val="1191"/>
        </w:trPr>
        <w:tc>
          <w:tcPr>
            <w:tcW w:w="9608" w:type="dxa"/>
            <w:gridSpan w:val="10"/>
          </w:tcPr>
          <w:p w:rsidR="00864547" w:rsidRPr="00CF613B" w:rsidRDefault="00864547" w:rsidP="00EE2D78">
            <w:pPr>
              <w:tabs>
                <w:tab w:val="left" w:pos="1582"/>
              </w:tabs>
              <w:jc w:val="both"/>
              <w:outlineLvl w:val="0"/>
              <w:rPr>
                <w:rFonts w:cs="Arial"/>
                <w:b/>
                <w:lang w:val="en-GB"/>
              </w:rPr>
            </w:pPr>
            <w:r w:rsidRPr="00CF613B">
              <w:rPr>
                <w:rFonts w:cs="Arial"/>
                <w:b/>
                <w:lang w:val="en-GB"/>
              </w:rPr>
              <w:t>Date issued:</w:t>
            </w:r>
            <w:r>
              <w:rPr>
                <w:rFonts w:cs="Arial"/>
                <w:b/>
                <w:lang w:val="en-GB"/>
              </w:rPr>
              <w:t xml:space="preserve"> 23 November 2011</w:t>
            </w:r>
          </w:p>
          <w:p w:rsidR="00864547" w:rsidRPr="00CF613B" w:rsidRDefault="00864547" w:rsidP="00EE2D78">
            <w:pPr>
              <w:tabs>
                <w:tab w:val="left" w:pos="1582"/>
              </w:tabs>
              <w:spacing w:before="120"/>
              <w:jc w:val="both"/>
              <w:outlineLvl w:val="0"/>
              <w:rPr>
                <w:rFonts w:cs="Arial"/>
                <w:b/>
                <w:lang w:val="en-GB"/>
              </w:rPr>
            </w:pPr>
            <w:r>
              <w:rPr>
                <w:rFonts w:cs="Arial"/>
                <w:b/>
                <w:lang w:val="en-GB"/>
              </w:rPr>
              <w:t xml:space="preserve">Source: </w:t>
            </w:r>
            <w:smartTag w:uri="urn:schemas-microsoft-com:office:smarttags" w:element="place">
              <w:smartTag w:uri="urn:schemas-microsoft-com:office:smarttags" w:element="country-region">
                <w:r>
                  <w:rPr>
                    <w:rFonts w:cs="Arial"/>
                    <w:b/>
                    <w:lang w:val="en-GB"/>
                  </w:rPr>
                  <w:t>Sweden</w:t>
                </w:r>
              </w:smartTag>
            </w:smartTag>
          </w:p>
          <w:p w:rsidR="00864547" w:rsidRPr="00CF613B" w:rsidRDefault="00864547" w:rsidP="00EE2D78">
            <w:pPr>
              <w:tabs>
                <w:tab w:val="left" w:pos="1571"/>
              </w:tabs>
              <w:spacing w:before="120" w:after="120"/>
              <w:jc w:val="both"/>
              <w:outlineLvl w:val="0"/>
              <w:rPr>
                <w:rFonts w:cs="Arial"/>
                <w:b/>
                <w:lang w:val="en-GB"/>
              </w:rPr>
            </w:pPr>
            <w:r>
              <w:rPr>
                <w:rFonts w:cs="Arial"/>
                <w:b/>
                <w:lang w:val="en-GB"/>
              </w:rPr>
              <w:t>Subject: Broadband PPDR in the 1452-1492 MHz band</w:t>
            </w:r>
          </w:p>
        </w:tc>
      </w:tr>
      <w:tr w:rsidR="00864547" w:rsidRPr="00D33BCE" w:rsidTr="001350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Before w:val="2"/>
          <w:gridAfter w:val="5"/>
          <w:wBefore w:w="42" w:type="dxa"/>
          <w:wAfter w:w="4250" w:type="dxa"/>
        </w:trPr>
        <w:tc>
          <w:tcPr>
            <w:tcW w:w="3500" w:type="dxa"/>
            <w:tcBorders>
              <w:top w:val="nil"/>
              <w:left w:val="nil"/>
              <w:bottom w:val="nil"/>
            </w:tcBorders>
          </w:tcPr>
          <w:p w:rsidR="00864547" w:rsidRPr="00D33BCE" w:rsidRDefault="00864547" w:rsidP="00EE2D78">
            <w:pPr>
              <w:tabs>
                <w:tab w:val="left" w:pos="2930"/>
              </w:tabs>
              <w:jc w:val="both"/>
              <w:rPr>
                <w:rFonts w:cs="Arial"/>
                <w:b/>
                <w:sz w:val="20"/>
                <w:lang w:val="en-GB"/>
              </w:rPr>
            </w:pPr>
            <w:r>
              <w:rPr>
                <w:rFonts w:cs="Arial"/>
                <w:b/>
                <w:lang w:val="en-GB"/>
              </w:rPr>
              <w:t>Password protected:</w:t>
            </w:r>
            <w:r>
              <w:rPr>
                <w:rFonts w:cs="Arial"/>
                <w:b/>
                <w:lang w:val="en-GB"/>
              </w:rPr>
              <w:tab/>
              <w:t>Y</w:t>
            </w:r>
            <w:r w:rsidRPr="00D33BCE">
              <w:rPr>
                <w:rFonts w:cs="Arial"/>
                <w:b/>
                <w:lang w:val="en-GB"/>
              </w:rPr>
              <w:t>es</w:t>
            </w:r>
          </w:p>
        </w:tc>
        <w:tc>
          <w:tcPr>
            <w:tcW w:w="300" w:type="dxa"/>
          </w:tcPr>
          <w:p w:rsidR="00864547" w:rsidRPr="00D33BCE" w:rsidRDefault="00864547" w:rsidP="00EE2D78">
            <w:pPr>
              <w:jc w:val="both"/>
              <w:rPr>
                <w:rFonts w:cs="Arial"/>
                <w:b/>
                <w:lang w:val="en-GB"/>
              </w:rPr>
            </w:pPr>
          </w:p>
        </w:tc>
        <w:tc>
          <w:tcPr>
            <w:tcW w:w="1700" w:type="dxa"/>
            <w:gridSpan w:val="2"/>
            <w:tcBorders>
              <w:top w:val="nil"/>
              <w:bottom w:val="nil"/>
            </w:tcBorders>
          </w:tcPr>
          <w:p w:rsidR="00864547" w:rsidRPr="00D33BCE" w:rsidRDefault="00864547" w:rsidP="00EE2D78">
            <w:pPr>
              <w:tabs>
                <w:tab w:val="left" w:pos="1130"/>
              </w:tabs>
              <w:jc w:val="both"/>
              <w:rPr>
                <w:rFonts w:cs="Arial"/>
                <w:b/>
                <w:lang w:val="en-GB"/>
              </w:rPr>
            </w:pPr>
            <w:r w:rsidRPr="00D33BCE">
              <w:rPr>
                <w:rFonts w:cs="Arial"/>
                <w:b/>
                <w:lang w:val="en-GB"/>
              </w:rPr>
              <w:tab/>
              <w:t>No</w:t>
            </w:r>
          </w:p>
        </w:tc>
        <w:tc>
          <w:tcPr>
            <w:tcW w:w="360" w:type="dxa"/>
          </w:tcPr>
          <w:p w:rsidR="00864547" w:rsidRPr="00D33BCE" w:rsidRDefault="00864547" w:rsidP="00EE2D78">
            <w:pPr>
              <w:jc w:val="both"/>
              <w:rPr>
                <w:rFonts w:cs="Arial"/>
                <w:b/>
                <w:lang w:val="en-GB"/>
              </w:rPr>
            </w:pPr>
            <w:r>
              <w:rPr>
                <w:rFonts w:cs="Arial"/>
                <w:b/>
                <w:lang w:val="en-GB"/>
              </w:rPr>
              <w:t>X</w:t>
            </w:r>
          </w:p>
        </w:tc>
      </w:tr>
      <w:tr w:rsidR="00864547" w:rsidRPr="00346C62" w:rsidTr="001350EB">
        <w:tblPrEx>
          <w:tblCellMar>
            <w:left w:w="70" w:type="dxa"/>
            <w:right w:w="70" w:type="dxa"/>
          </w:tblCellMar>
        </w:tblPrEx>
        <w:trPr>
          <w:cantSplit/>
          <w:trHeight w:val="326"/>
        </w:trPr>
        <w:tc>
          <w:tcPr>
            <w:tcW w:w="6395" w:type="dxa"/>
            <w:gridSpan w:val="8"/>
            <w:tcBorders>
              <w:top w:val="nil"/>
              <w:left w:val="nil"/>
              <w:bottom w:val="nil"/>
              <w:right w:val="nil"/>
            </w:tcBorders>
          </w:tcPr>
          <w:p w:rsidR="00864547" w:rsidRPr="0098621D" w:rsidRDefault="00864547" w:rsidP="00EE2D78">
            <w:pPr>
              <w:pStyle w:val="Header11"/>
              <w:rPr>
                <w:rFonts w:cs="Arial"/>
                <w:color w:val="000000"/>
                <w:lang w:val="en-GB"/>
              </w:rPr>
            </w:pPr>
          </w:p>
        </w:tc>
        <w:tc>
          <w:tcPr>
            <w:tcW w:w="3757" w:type="dxa"/>
            <w:gridSpan w:val="4"/>
            <w:tcBorders>
              <w:top w:val="nil"/>
              <w:left w:val="nil"/>
              <w:bottom w:val="nil"/>
              <w:right w:val="nil"/>
            </w:tcBorders>
          </w:tcPr>
          <w:p w:rsidR="00864547" w:rsidRPr="00346C62" w:rsidRDefault="00864547" w:rsidP="00EE2D78">
            <w:pPr>
              <w:pStyle w:val="Header11"/>
              <w:tabs>
                <w:tab w:val="clear" w:pos="4536"/>
                <w:tab w:val="right" w:pos="3357"/>
              </w:tabs>
            </w:pPr>
          </w:p>
        </w:tc>
      </w:tr>
      <w:tr w:rsidR="00864547" w:rsidTr="001350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After w:val="2"/>
          <w:wAfter w:w="938" w:type="dxa"/>
          <w:cantSplit/>
          <w:trHeight w:val="391"/>
        </w:trPr>
        <w:tc>
          <w:tcPr>
            <w:tcW w:w="9214" w:type="dxa"/>
            <w:gridSpan w:val="10"/>
            <w:tcBorders>
              <w:bottom w:val="nil"/>
            </w:tcBorders>
          </w:tcPr>
          <w:p w:rsidR="00864547" w:rsidRDefault="00864547" w:rsidP="001C284A">
            <w:pPr>
              <w:pStyle w:val="Header1"/>
              <w:rPr>
                <w:lang w:val="en-US"/>
              </w:rPr>
            </w:pPr>
          </w:p>
          <w:p w:rsidR="00864547" w:rsidRDefault="00864547" w:rsidP="001C284A">
            <w:pPr>
              <w:pStyle w:val="Header1"/>
              <w:rPr>
                <w:lang w:val="en-US"/>
              </w:rPr>
            </w:pPr>
            <w:r>
              <w:rPr>
                <w:lang w:val="en-US"/>
              </w:rPr>
              <w:t xml:space="preserve">Summary </w:t>
            </w:r>
          </w:p>
        </w:tc>
      </w:tr>
      <w:tr w:rsidR="00864547" w:rsidRPr="00172F7F" w:rsidTr="007012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After w:val="2"/>
          <w:wAfter w:w="938" w:type="dxa"/>
          <w:cantSplit/>
          <w:trHeight w:val="3989"/>
        </w:trPr>
        <w:tc>
          <w:tcPr>
            <w:tcW w:w="9214" w:type="dxa"/>
            <w:gridSpan w:val="10"/>
            <w:tcBorders>
              <w:top w:val="nil"/>
            </w:tcBorders>
          </w:tcPr>
          <w:p w:rsidR="00864547" w:rsidRDefault="00864547" w:rsidP="00257C10">
            <w:pPr>
              <w:rPr>
                <w:lang w:val="en-GB"/>
              </w:rPr>
            </w:pPr>
            <w:r>
              <w:rPr>
                <w:lang w:val="en-GB"/>
              </w:rPr>
              <w:t xml:space="preserve">This document describes some of the Swedish views mostly regarding harmonised broadband PPDR use in </w:t>
            </w:r>
            <w:smartTag w:uri="urn:schemas-microsoft-com:office:smarttags" w:element="place">
              <w:r>
                <w:rPr>
                  <w:lang w:val="en-GB"/>
                </w:rPr>
                <w:t>Europe</w:t>
              </w:r>
            </w:smartTag>
            <w:r>
              <w:rPr>
                <w:lang w:val="en-GB"/>
              </w:rPr>
              <w:t xml:space="preserve"> in general, which are also valid concerning future use in the 1452-1492 MHz band. </w:t>
            </w:r>
          </w:p>
          <w:p w:rsidR="00864547" w:rsidRPr="00934371" w:rsidRDefault="00864547" w:rsidP="00934371">
            <w:pPr>
              <w:pStyle w:val="ListParagraph"/>
              <w:numPr>
                <w:ilvl w:val="0"/>
                <w:numId w:val="11"/>
              </w:numPr>
              <w:rPr>
                <w:lang w:val="en-GB"/>
              </w:rPr>
            </w:pPr>
            <w:r w:rsidRPr="00934371">
              <w:rPr>
                <w:lang w:val="en-GB"/>
              </w:rPr>
              <w:t>Broadband PPDR requ</w:t>
            </w:r>
            <w:r>
              <w:rPr>
                <w:lang w:val="en-GB"/>
              </w:rPr>
              <w:t>irements above 1 GHz are understood</w:t>
            </w:r>
            <w:r w:rsidRPr="00934371">
              <w:rPr>
                <w:lang w:val="en-GB"/>
              </w:rPr>
              <w:t xml:space="preserve"> to be for temporary use only.</w:t>
            </w:r>
          </w:p>
          <w:p w:rsidR="00864547" w:rsidRDefault="00864547" w:rsidP="00934371">
            <w:pPr>
              <w:pStyle w:val="ListParagraph"/>
              <w:numPr>
                <w:ilvl w:val="0"/>
                <w:numId w:val="3"/>
              </w:numPr>
              <w:rPr>
                <w:lang w:val="en-GB"/>
              </w:rPr>
            </w:pPr>
            <w:r>
              <w:rPr>
                <w:lang w:val="en-GB"/>
              </w:rPr>
              <w:t>B</w:t>
            </w:r>
            <w:r w:rsidRPr="00257C10">
              <w:rPr>
                <w:lang w:val="en-GB"/>
              </w:rPr>
              <w:t xml:space="preserve">roadband PPDR </w:t>
            </w:r>
            <w:r>
              <w:rPr>
                <w:lang w:val="en-GB"/>
              </w:rPr>
              <w:t xml:space="preserve">requirements </w:t>
            </w:r>
            <w:r w:rsidRPr="00257C10">
              <w:rPr>
                <w:lang w:val="en-GB"/>
              </w:rPr>
              <w:t xml:space="preserve">should be based on </w:t>
            </w:r>
            <w:r>
              <w:rPr>
                <w:lang w:val="en-GB"/>
              </w:rPr>
              <w:t>available standardised commercial technology.</w:t>
            </w:r>
            <w:r w:rsidRPr="00F66574">
              <w:rPr>
                <w:lang w:val="en-GB"/>
              </w:rPr>
              <w:t xml:space="preserve"> </w:t>
            </w:r>
          </w:p>
          <w:p w:rsidR="00864547" w:rsidRPr="00934371" w:rsidRDefault="00864547" w:rsidP="00934371">
            <w:pPr>
              <w:pStyle w:val="ListParagraph"/>
              <w:numPr>
                <w:ilvl w:val="0"/>
                <w:numId w:val="3"/>
              </w:numPr>
              <w:rPr>
                <w:lang w:val="en-GB"/>
              </w:rPr>
            </w:pPr>
            <w:r w:rsidRPr="00F66574">
              <w:rPr>
                <w:lang w:val="en-GB"/>
              </w:rPr>
              <w:t>When</w:t>
            </w:r>
            <w:r>
              <w:rPr>
                <w:lang w:val="en-GB"/>
              </w:rPr>
              <w:t xml:space="preserve"> based on </w:t>
            </w:r>
            <w:r w:rsidRPr="00F66574">
              <w:rPr>
                <w:lang w:val="en-GB"/>
              </w:rPr>
              <w:t>commercial broadband technical standard</w:t>
            </w:r>
            <w:r>
              <w:rPr>
                <w:lang w:val="en-GB"/>
              </w:rPr>
              <w:t>s</w:t>
            </w:r>
            <w:r w:rsidRPr="00F66574">
              <w:rPr>
                <w:lang w:val="en-GB"/>
              </w:rPr>
              <w:t xml:space="preserve">, </w:t>
            </w:r>
            <w:r>
              <w:rPr>
                <w:lang w:val="en-GB"/>
              </w:rPr>
              <w:t>an exclusive spectrum for broadband PPDR may not be necessary.</w:t>
            </w:r>
          </w:p>
          <w:p w:rsidR="00864547" w:rsidRDefault="00864547" w:rsidP="00FE762D">
            <w:pPr>
              <w:pStyle w:val="ListParagraph"/>
              <w:numPr>
                <w:ilvl w:val="0"/>
                <w:numId w:val="3"/>
              </w:numPr>
              <w:rPr>
                <w:lang w:val="en-GB"/>
              </w:rPr>
            </w:pPr>
            <w:r w:rsidRPr="00F66574">
              <w:rPr>
                <w:lang w:val="en-GB"/>
              </w:rPr>
              <w:t>The decision to invest in dedicated networks</w:t>
            </w:r>
            <w:r>
              <w:rPr>
                <w:lang w:val="en-GB"/>
              </w:rPr>
              <w:t xml:space="preserve"> or to use commercial networks with some kind of dedicated capacity for broadband PPDR should be left to each administration.</w:t>
            </w:r>
          </w:p>
          <w:p w:rsidR="00864547" w:rsidRPr="00F66574" w:rsidRDefault="00864547" w:rsidP="00FE762D">
            <w:pPr>
              <w:pStyle w:val="ListParagraph"/>
              <w:numPr>
                <w:ilvl w:val="0"/>
                <w:numId w:val="3"/>
              </w:numPr>
              <w:rPr>
                <w:lang w:val="en-GB"/>
              </w:rPr>
            </w:pPr>
            <w:r>
              <w:rPr>
                <w:lang w:val="en-GB"/>
              </w:rPr>
              <w:t>S</w:t>
            </w:r>
            <w:r w:rsidRPr="00F66574">
              <w:rPr>
                <w:lang w:val="en-GB"/>
              </w:rPr>
              <w:t xml:space="preserve">pectrum </w:t>
            </w:r>
            <w:r>
              <w:rPr>
                <w:lang w:val="en-GB"/>
              </w:rPr>
              <w:t>to provide the needs of</w:t>
            </w:r>
            <w:r w:rsidRPr="00F66574">
              <w:rPr>
                <w:lang w:val="en-GB"/>
              </w:rPr>
              <w:t xml:space="preserve"> </w:t>
            </w:r>
            <w:r>
              <w:rPr>
                <w:lang w:val="en-GB"/>
              </w:rPr>
              <w:t>b</w:t>
            </w:r>
            <w:r w:rsidRPr="00F66574">
              <w:rPr>
                <w:lang w:val="en-GB"/>
              </w:rPr>
              <w:t xml:space="preserve">roadband PPDR </w:t>
            </w:r>
            <w:r>
              <w:rPr>
                <w:lang w:val="en-GB"/>
              </w:rPr>
              <w:t>applications</w:t>
            </w:r>
            <w:r w:rsidRPr="00F66574">
              <w:rPr>
                <w:lang w:val="en-GB"/>
              </w:rPr>
              <w:t xml:space="preserve"> (dedicated or </w:t>
            </w:r>
            <w:r>
              <w:rPr>
                <w:lang w:val="en-GB"/>
              </w:rPr>
              <w:t xml:space="preserve">preferably through </w:t>
            </w:r>
            <w:r w:rsidRPr="00F66574">
              <w:rPr>
                <w:lang w:val="en-GB"/>
              </w:rPr>
              <w:t xml:space="preserve">commercial networks) </w:t>
            </w:r>
            <w:r>
              <w:rPr>
                <w:lang w:val="en-GB"/>
              </w:rPr>
              <w:t xml:space="preserve">should be sought </w:t>
            </w:r>
            <w:r w:rsidRPr="00F66574">
              <w:rPr>
                <w:lang w:val="en-GB"/>
              </w:rPr>
              <w:t>in</w:t>
            </w:r>
            <w:r>
              <w:rPr>
                <w:lang w:val="en-GB"/>
              </w:rPr>
              <w:t xml:space="preserve"> existing or</w:t>
            </w:r>
            <w:r w:rsidRPr="00F66574">
              <w:rPr>
                <w:lang w:val="en-GB"/>
              </w:rPr>
              <w:t xml:space="preserve"> future </w:t>
            </w:r>
            <w:r>
              <w:rPr>
                <w:lang w:val="en-GB"/>
              </w:rPr>
              <w:t xml:space="preserve">frequency </w:t>
            </w:r>
            <w:r w:rsidRPr="00F66574">
              <w:rPr>
                <w:lang w:val="en-GB"/>
              </w:rPr>
              <w:t>bands</w:t>
            </w:r>
            <w:r>
              <w:rPr>
                <w:lang w:val="en-GB"/>
              </w:rPr>
              <w:t xml:space="preserve"> harmonised </w:t>
            </w:r>
            <w:r w:rsidRPr="00F66574">
              <w:rPr>
                <w:lang w:val="en-GB"/>
              </w:rPr>
              <w:t xml:space="preserve">for </w:t>
            </w:r>
            <w:r>
              <w:rPr>
                <w:lang w:val="en-GB"/>
              </w:rPr>
              <w:t>mobile broadband.</w:t>
            </w:r>
          </w:p>
          <w:p w:rsidR="00864547" w:rsidRPr="00C47BD9" w:rsidRDefault="00864547" w:rsidP="00B8583F">
            <w:pPr>
              <w:rPr>
                <w:lang w:val="en-GB"/>
              </w:rPr>
            </w:pPr>
          </w:p>
        </w:tc>
      </w:tr>
      <w:tr w:rsidR="00864547" w:rsidTr="001350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After w:val="2"/>
          <w:wAfter w:w="938" w:type="dxa"/>
          <w:cantSplit/>
          <w:trHeight w:val="388"/>
        </w:trPr>
        <w:tc>
          <w:tcPr>
            <w:tcW w:w="9214" w:type="dxa"/>
            <w:gridSpan w:val="10"/>
            <w:tcBorders>
              <w:bottom w:val="nil"/>
            </w:tcBorders>
          </w:tcPr>
          <w:p w:rsidR="00864547" w:rsidRDefault="00864547" w:rsidP="001C284A">
            <w:pPr>
              <w:pStyle w:val="Header1"/>
              <w:rPr>
                <w:lang w:val="en-US"/>
              </w:rPr>
            </w:pPr>
          </w:p>
          <w:p w:rsidR="00864547" w:rsidRDefault="00864547" w:rsidP="001C284A">
            <w:pPr>
              <w:pStyle w:val="Header1"/>
              <w:rPr>
                <w:lang w:val="en-US"/>
              </w:rPr>
            </w:pPr>
            <w:r>
              <w:rPr>
                <w:lang w:val="en-US"/>
              </w:rPr>
              <w:t xml:space="preserve">Proposals </w:t>
            </w:r>
          </w:p>
        </w:tc>
      </w:tr>
      <w:tr w:rsidR="00864547" w:rsidRPr="00172F7F" w:rsidTr="007012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After w:val="2"/>
          <w:wAfter w:w="938" w:type="dxa"/>
          <w:cantSplit/>
          <w:trHeight w:val="2168"/>
        </w:trPr>
        <w:tc>
          <w:tcPr>
            <w:tcW w:w="9214" w:type="dxa"/>
            <w:gridSpan w:val="10"/>
            <w:tcBorders>
              <w:top w:val="nil"/>
            </w:tcBorders>
          </w:tcPr>
          <w:p w:rsidR="00864547" w:rsidRDefault="00864547" w:rsidP="002C7917">
            <w:pPr>
              <w:rPr>
                <w:lang w:val="en-GB"/>
              </w:rPr>
            </w:pPr>
            <w:r w:rsidRPr="00701254">
              <w:rPr>
                <w:lang w:val="en-GB"/>
              </w:rPr>
              <w:t>That FM PT 50 considers this document and where appropriate incorporates text, most likely, in sections 3 and/or 4 of the report.</w:t>
            </w:r>
          </w:p>
          <w:p w:rsidR="00864547" w:rsidRDefault="00864547" w:rsidP="002C7917">
            <w:pPr>
              <w:rPr>
                <w:lang w:val="en-GB"/>
              </w:rPr>
            </w:pPr>
          </w:p>
          <w:p w:rsidR="00864547" w:rsidRPr="002C7917" w:rsidRDefault="00864547" w:rsidP="002C7917">
            <w:pPr>
              <w:rPr>
                <w:lang w:val="en-GB"/>
              </w:rPr>
            </w:pPr>
            <w:r>
              <w:rPr>
                <w:lang w:val="en-GB"/>
              </w:rPr>
              <w:t>That broadband PPDR should not be further considered in FM PT 50 after its third meeting considering that:</w:t>
            </w:r>
          </w:p>
          <w:p w:rsidR="00864547" w:rsidRDefault="00864547" w:rsidP="00694E5D">
            <w:pPr>
              <w:pStyle w:val="ListParagraph"/>
              <w:numPr>
                <w:ilvl w:val="0"/>
                <w:numId w:val="19"/>
              </w:numPr>
              <w:rPr>
                <w:lang w:val="en-GB"/>
              </w:rPr>
            </w:pPr>
            <w:r>
              <w:rPr>
                <w:lang w:val="en-GB"/>
              </w:rPr>
              <w:t xml:space="preserve">The requirements of a designated frequency bands for permanent usage should be focused on bands below 1 GHz. </w:t>
            </w:r>
          </w:p>
          <w:p w:rsidR="00864547" w:rsidRDefault="00864547" w:rsidP="00694E5D">
            <w:pPr>
              <w:pStyle w:val="ListParagraph"/>
              <w:numPr>
                <w:ilvl w:val="0"/>
                <w:numId w:val="19"/>
              </w:numPr>
              <w:rPr>
                <w:lang w:val="en-GB"/>
              </w:rPr>
            </w:pPr>
            <w:r>
              <w:rPr>
                <w:lang w:val="en-GB"/>
              </w:rPr>
              <w:t xml:space="preserve">For temporary applications, e.g. high capacity video links requiring large bandwidths, frequency bands above 1452-1492 MHz are better suited. </w:t>
            </w:r>
          </w:p>
          <w:p w:rsidR="00864547" w:rsidRPr="00694E5D" w:rsidRDefault="00864547" w:rsidP="0095481D">
            <w:pPr>
              <w:pStyle w:val="ListParagraph"/>
              <w:rPr>
                <w:lang w:val="en-GB"/>
              </w:rPr>
            </w:pPr>
          </w:p>
        </w:tc>
      </w:tr>
      <w:tr w:rsidR="00864547" w:rsidRPr="00172F7F" w:rsidTr="001350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After w:val="2"/>
          <w:wAfter w:w="938" w:type="dxa"/>
          <w:cantSplit/>
          <w:trHeight w:val="378"/>
        </w:trPr>
        <w:tc>
          <w:tcPr>
            <w:tcW w:w="9214" w:type="dxa"/>
            <w:gridSpan w:val="10"/>
            <w:tcBorders>
              <w:bottom w:val="nil"/>
            </w:tcBorders>
          </w:tcPr>
          <w:p w:rsidR="00864547" w:rsidRDefault="00864547" w:rsidP="001C284A">
            <w:pPr>
              <w:pStyle w:val="Header1"/>
              <w:rPr>
                <w:lang w:val="en-GB"/>
              </w:rPr>
            </w:pPr>
          </w:p>
          <w:p w:rsidR="00864547" w:rsidRDefault="00864547" w:rsidP="0095481D">
            <w:pPr>
              <w:pStyle w:val="Header1"/>
              <w:rPr>
                <w:lang w:val="en-GB"/>
              </w:rPr>
            </w:pPr>
            <w:r w:rsidRPr="00701254">
              <w:rPr>
                <w:lang w:val="en-GB"/>
              </w:rPr>
              <w:t xml:space="preserve">Background: </w:t>
            </w:r>
            <w:r>
              <w:rPr>
                <w:lang w:val="en-GB"/>
              </w:rPr>
              <w:br/>
            </w:r>
            <w:r w:rsidRPr="0095481D">
              <w:rPr>
                <w:b w:val="0"/>
                <w:szCs w:val="22"/>
                <w:lang w:val="en-GB"/>
              </w:rPr>
              <w:t>Studies have been made in various fora defining broadband PPDR bandwidth requirements, and the needs for a harmonized frequency band for dedicated broadband PPDR networks. The user requirements come mainly from the blue light forces, and the arguments for dedicated networks mainly from the PPDR manufacturing industry.</w:t>
            </w:r>
            <w:r>
              <w:rPr>
                <w:lang w:val="en-GB"/>
              </w:rPr>
              <w:t xml:space="preserve"> </w:t>
            </w:r>
          </w:p>
          <w:p w:rsidR="00864547" w:rsidRPr="00776269" w:rsidRDefault="00864547" w:rsidP="0095481D">
            <w:pPr>
              <w:pStyle w:val="Header1"/>
              <w:rPr>
                <w:lang w:val="en-US"/>
              </w:rPr>
            </w:pPr>
            <w:bookmarkStart w:id="0" w:name="_GoBack"/>
            <w:bookmarkEnd w:id="0"/>
          </w:p>
        </w:tc>
      </w:tr>
      <w:tr w:rsidR="00864547" w:rsidRPr="00172F7F" w:rsidTr="003630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After w:val="2"/>
          <w:wAfter w:w="938" w:type="dxa"/>
          <w:cantSplit/>
          <w:trHeight w:val="100"/>
        </w:trPr>
        <w:tc>
          <w:tcPr>
            <w:tcW w:w="9214" w:type="dxa"/>
            <w:gridSpan w:val="10"/>
            <w:tcBorders>
              <w:top w:val="nil"/>
            </w:tcBorders>
          </w:tcPr>
          <w:p w:rsidR="00864547" w:rsidRPr="00392F40" w:rsidRDefault="00864547" w:rsidP="00F66574">
            <w:pPr>
              <w:rPr>
                <w:bCs/>
                <w:sz w:val="4"/>
                <w:szCs w:val="4"/>
                <w:lang w:val="en-GB"/>
              </w:rPr>
            </w:pPr>
          </w:p>
        </w:tc>
      </w:tr>
    </w:tbl>
    <w:p w:rsidR="00864547" w:rsidRPr="003A4A80" w:rsidRDefault="00864547" w:rsidP="009C17AD">
      <w:pPr>
        <w:pStyle w:val="Heading1"/>
        <w:numPr>
          <w:ilvl w:val="0"/>
          <w:numId w:val="17"/>
        </w:numPr>
        <w:rPr>
          <w:sz w:val="24"/>
          <w:szCs w:val="24"/>
          <w:lang w:val="en-GB"/>
        </w:rPr>
      </w:pPr>
      <w:r w:rsidRPr="003A4A80">
        <w:rPr>
          <w:sz w:val="24"/>
          <w:szCs w:val="24"/>
          <w:lang w:val="en-GB"/>
        </w:rPr>
        <w:t>Introduction</w:t>
      </w:r>
    </w:p>
    <w:p w:rsidR="00864547" w:rsidRDefault="00864547">
      <w:pPr>
        <w:rPr>
          <w:lang w:val="en-GB"/>
        </w:rPr>
      </w:pPr>
      <w:r>
        <w:rPr>
          <w:lang w:val="en-GB"/>
        </w:rPr>
        <w:t>Various studies and surveys have been made in an attempt to define the PPDR organisations future need of broadband applications. It is not an easy task to predict which applications will be demanded and available many years ahead, and therefore it is difficult to quantify these requirements. However, it is clear to that many users, especially within the blue light forces, see a demand for a number of broadband applications in their future daily work, as well as in emergency crises situations. When translated to frequency bandwidth requirements, a minimum amount spectrum of 2 x 10 MHz is believed to be necessary to cover the identified needs for permanent use</w:t>
      </w:r>
    </w:p>
    <w:p w:rsidR="00864547" w:rsidRPr="003A4A80" w:rsidRDefault="00864547">
      <w:pPr>
        <w:rPr>
          <w:lang w:val="en-GB"/>
        </w:rPr>
      </w:pPr>
      <w:r>
        <w:rPr>
          <w:lang w:val="en-GB"/>
        </w:rPr>
        <w:t xml:space="preserve">One predominant conclusion from studies made in various fora is that broadband PPDR applications require dedicated PPDR networks operating in a frequency bands exclusive and harmonised for PPDR. However, </w:t>
      </w:r>
      <w:smartTag w:uri="urn:schemas-microsoft-com:office:smarttags" w:element="place">
        <w:smartTag w:uri="urn:schemas-microsoft-com:office:smarttags" w:element="country-region">
          <w:r>
            <w:rPr>
              <w:lang w:val="en-GB"/>
            </w:rPr>
            <w:t>Sweden</w:t>
          </w:r>
        </w:smartTag>
      </w:smartTag>
      <w:r>
        <w:rPr>
          <w:lang w:val="en-GB"/>
        </w:rPr>
        <w:t xml:space="preserve"> believes that too little effort has been made to investigate the actual limitations of the existing commercial technical standards such as HSPA and LTE more thoroughly, and to overcome the identified possible problems using commercial networks for broadband PPDR. </w:t>
      </w:r>
    </w:p>
    <w:p w:rsidR="00864547" w:rsidRDefault="00864547" w:rsidP="008913D4">
      <w:pPr>
        <w:rPr>
          <w:rFonts w:ascii="Verdana" w:hAnsi="Verdana"/>
          <w:sz w:val="20"/>
          <w:szCs w:val="20"/>
          <w:lang w:val="en-US"/>
        </w:rPr>
      </w:pPr>
    </w:p>
    <w:p w:rsidR="00864547" w:rsidRDefault="00864547" w:rsidP="009C17AD">
      <w:pPr>
        <w:pStyle w:val="Heading1"/>
        <w:numPr>
          <w:ilvl w:val="0"/>
          <w:numId w:val="17"/>
        </w:numPr>
        <w:rPr>
          <w:sz w:val="24"/>
          <w:szCs w:val="24"/>
          <w:lang w:val="en-GB"/>
        </w:rPr>
      </w:pPr>
      <w:r>
        <w:rPr>
          <w:sz w:val="24"/>
          <w:szCs w:val="24"/>
          <w:lang w:val="en-GB"/>
        </w:rPr>
        <w:t>Spectrum requirements for broadband PPDR</w:t>
      </w:r>
    </w:p>
    <w:p w:rsidR="00864547" w:rsidRPr="00BD4CF8" w:rsidRDefault="00864547" w:rsidP="00906982">
      <w:pPr>
        <w:rPr>
          <w:lang w:val="en-GB"/>
        </w:rPr>
      </w:pPr>
      <w:r w:rsidRPr="00BD4CF8">
        <w:rPr>
          <w:lang w:val="en-GB"/>
        </w:rPr>
        <w:t>Two needs have been put forward by the PPDR community, permanent usage (i.e. future national broadband PPDR networks) and temporary “ad hoc” usage. Even if a dedicated PPDR spectrum would be considered necessary, the 1452-1492 MHz band is not believed to be a suitable candidate for this specific application. For permanent usage the requirements of a designated frequency band should be focused on bands below 1 GHz. The possibility to find funding for these national PPDR networks is very critical already at lower frequency bands, and the 1452-1492 MHz band will due to its propagation characteristics require too many base stations.</w:t>
      </w:r>
    </w:p>
    <w:p w:rsidR="00864547" w:rsidRPr="00BD4CF8" w:rsidRDefault="00864547" w:rsidP="00254559">
      <w:pPr>
        <w:rPr>
          <w:lang w:val="en-GB"/>
        </w:rPr>
      </w:pPr>
    </w:p>
    <w:p w:rsidR="00864547" w:rsidRPr="00BD4CF8" w:rsidRDefault="00864547" w:rsidP="008C769E">
      <w:pPr>
        <w:rPr>
          <w:lang w:val="en-GB"/>
        </w:rPr>
      </w:pPr>
      <w:r w:rsidRPr="00BD4CF8">
        <w:rPr>
          <w:lang w:val="en-GB"/>
        </w:rPr>
        <w:t xml:space="preserve">It is unclear how large the spectrum requirement for temporary ad hoc usage is within the European PPDR community. Some conclusions that have been made are that an additional spectrum requirement of 60 MHz for the deployment of technologies for the ad hoc communication at the operation site independent from any infrastructure networks. This 60 MHz are preferably to be found immediately above the frequency band 5,15-5,25 GHz. If the requirements were to be adjusted to fit the available 40 MHz, the identified needs could probably be met in the 1452-1492 MHz band, but </w:t>
      </w:r>
      <w:smartTag w:uri="urn:schemas-microsoft-com:office:smarttags" w:element="place">
        <w:smartTag w:uri="urn:schemas-microsoft-com:office:smarttags" w:element="country-region">
          <w:r w:rsidRPr="00BD4CF8">
            <w:rPr>
              <w:lang w:val="en-GB"/>
            </w:rPr>
            <w:t>Sweden</w:t>
          </w:r>
        </w:smartTag>
      </w:smartTag>
      <w:r w:rsidRPr="00BD4CF8">
        <w:rPr>
          <w:lang w:val="en-GB"/>
        </w:rPr>
        <w:t xml:space="preserve"> believes that temporary PPDR applications, like for example high capacity video links requiring large bandwidths, are better suited in frequencies above this band. </w:t>
      </w:r>
    </w:p>
    <w:p w:rsidR="00864547" w:rsidRPr="008913D4" w:rsidRDefault="00864547" w:rsidP="008913D4">
      <w:pPr>
        <w:rPr>
          <w:lang w:val="en-GB"/>
        </w:rPr>
      </w:pPr>
    </w:p>
    <w:p w:rsidR="00864547" w:rsidRPr="00250DCE" w:rsidRDefault="00864547" w:rsidP="00250DCE">
      <w:pPr>
        <w:pStyle w:val="Heading1"/>
        <w:numPr>
          <w:ilvl w:val="0"/>
          <w:numId w:val="17"/>
        </w:numPr>
        <w:rPr>
          <w:sz w:val="24"/>
          <w:szCs w:val="24"/>
          <w:lang w:val="en-GB"/>
        </w:rPr>
      </w:pPr>
      <w:r>
        <w:rPr>
          <w:sz w:val="24"/>
          <w:szCs w:val="24"/>
          <w:lang w:val="en-GB"/>
        </w:rPr>
        <w:t>Commercially technical standards vs. a specific PPDR technical standard</w:t>
      </w:r>
    </w:p>
    <w:p w:rsidR="00864547" w:rsidRDefault="00864547" w:rsidP="006E1B9A">
      <w:pPr>
        <w:rPr>
          <w:lang w:val="en-GB"/>
        </w:rPr>
      </w:pPr>
      <w:smartTag w:uri="urn:schemas-microsoft-com:office:smarttags" w:element="country-region">
        <w:r>
          <w:rPr>
            <w:lang w:val="en-GB"/>
          </w:rPr>
          <w:t>Sweden</w:t>
        </w:r>
      </w:smartTag>
      <w:r>
        <w:rPr>
          <w:lang w:val="en-GB"/>
        </w:rPr>
        <w:t xml:space="preserve"> believes that a prerequisite for a successful implementation of broadband PPDR applications within </w:t>
      </w:r>
      <w:smartTag w:uri="urn:schemas-microsoft-com:office:smarttags" w:element="place">
        <w:r>
          <w:rPr>
            <w:lang w:val="en-GB"/>
          </w:rPr>
          <w:t>Europe</w:t>
        </w:r>
      </w:smartTag>
      <w:r>
        <w:rPr>
          <w:lang w:val="en-GB"/>
        </w:rPr>
        <w:t xml:space="preserve"> is that it is based on commercially available technical standards. This conclusion is based on the following arguments:</w:t>
      </w:r>
    </w:p>
    <w:p w:rsidR="00864547" w:rsidRDefault="00864547" w:rsidP="006E1B9A">
      <w:pPr>
        <w:rPr>
          <w:lang w:val="en-GB"/>
        </w:rPr>
      </w:pPr>
    </w:p>
    <w:p w:rsidR="00864547" w:rsidRPr="00BD4CF8" w:rsidRDefault="00864547" w:rsidP="00BD4CF8">
      <w:pPr>
        <w:pStyle w:val="ListParagraph"/>
        <w:numPr>
          <w:ilvl w:val="0"/>
          <w:numId w:val="16"/>
        </w:numPr>
        <w:rPr>
          <w:lang w:val="en-GB"/>
        </w:rPr>
      </w:pPr>
      <w:r w:rsidRPr="00BD4CF8">
        <w:rPr>
          <w:lang w:val="en-GB"/>
        </w:rPr>
        <w:t>A PPDR specific standard would reflect a relatively low volume market (compared to the commercial mobile broadband market), which would result in higher costs for infrastructure, as well as for the end user devices. One relevant comparison would be to look at the cost of a TETRA base station, and compare it to a GSM base station. The price of a TETRA base station is at least double the price of a comparable GSM base station. If a comparison is made between GSM and TETRA terminals, the difference in price is even bigger.</w:t>
      </w:r>
      <w:r w:rsidRPr="00BD4CF8">
        <w:rPr>
          <w:lang w:val="en-GB"/>
        </w:rPr>
        <w:br/>
      </w:r>
    </w:p>
    <w:p w:rsidR="00864547" w:rsidRPr="00BD4CF8" w:rsidRDefault="00864547" w:rsidP="00BD4CF8">
      <w:pPr>
        <w:pStyle w:val="ListParagraph"/>
        <w:numPr>
          <w:ilvl w:val="0"/>
          <w:numId w:val="16"/>
        </w:numPr>
        <w:rPr>
          <w:lang w:val="en-GB"/>
        </w:rPr>
      </w:pPr>
      <w:r w:rsidRPr="00BD4CF8">
        <w:rPr>
          <w:lang w:val="en-GB"/>
        </w:rPr>
        <w:t>An introduction of a new and dedicated PPDR technical standard would limit the interoperability between countries using this equipment built on this standard and those countries that will make the choice to use commercial technical standards, such as HSPA and LTE, for broadband PPDR.</w:t>
      </w:r>
      <w:r w:rsidRPr="00BD4CF8">
        <w:rPr>
          <w:lang w:val="en-GB"/>
        </w:rPr>
        <w:br/>
      </w:r>
    </w:p>
    <w:p w:rsidR="00864547" w:rsidRPr="00BD4CF8" w:rsidRDefault="00864547" w:rsidP="00BD4CF8">
      <w:pPr>
        <w:pStyle w:val="ListParagraph"/>
        <w:numPr>
          <w:ilvl w:val="0"/>
          <w:numId w:val="16"/>
        </w:numPr>
        <w:rPr>
          <w:lang w:val="en-GB"/>
        </w:rPr>
      </w:pPr>
      <w:r w:rsidRPr="00BD4CF8">
        <w:rPr>
          <w:lang w:val="en-GB"/>
        </w:rPr>
        <w:t xml:space="preserve">The introduction of a new and dedicated broadband PPDR technical standard, the associated equipment manufacturing, and the development of user applications supporting this standard may delay the introduction of a broadband system for PPDR in </w:t>
      </w:r>
      <w:smartTag w:uri="urn:schemas-microsoft-com:office:smarttags" w:element="place">
        <w:r w:rsidRPr="00BD4CF8">
          <w:rPr>
            <w:lang w:val="en-GB"/>
          </w:rPr>
          <w:t>Europe</w:t>
        </w:r>
      </w:smartTag>
      <w:r w:rsidRPr="00BD4CF8">
        <w:rPr>
          <w:lang w:val="en-GB"/>
        </w:rPr>
        <w:t>.</w:t>
      </w:r>
      <w:r w:rsidRPr="00BD4CF8">
        <w:rPr>
          <w:lang w:val="en-GB"/>
        </w:rPr>
        <w:br/>
        <w:t xml:space="preserve"> </w:t>
      </w:r>
    </w:p>
    <w:p w:rsidR="00864547" w:rsidRPr="00BD4CF8" w:rsidRDefault="00864547" w:rsidP="00BD4CF8">
      <w:pPr>
        <w:pStyle w:val="ListParagraph"/>
        <w:numPr>
          <w:ilvl w:val="0"/>
          <w:numId w:val="16"/>
        </w:numPr>
        <w:rPr>
          <w:lang w:val="en-GB"/>
        </w:rPr>
      </w:pPr>
      <w:r w:rsidRPr="00BD4CF8">
        <w:rPr>
          <w:lang w:val="en-GB"/>
        </w:rPr>
        <w:t>It may be more difficult for a dedicated broadband PPDR technical standard to keep up with the technology developments of the high volume commercial mobile broadband market.</w:t>
      </w:r>
      <w:r w:rsidRPr="00BD4CF8">
        <w:rPr>
          <w:lang w:val="en-GB"/>
        </w:rPr>
        <w:br/>
      </w:r>
    </w:p>
    <w:p w:rsidR="00864547" w:rsidRPr="00BD4CF8" w:rsidRDefault="00864547" w:rsidP="00BD4CF8">
      <w:pPr>
        <w:pStyle w:val="ListParagraph"/>
        <w:numPr>
          <w:ilvl w:val="0"/>
          <w:numId w:val="16"/>
        </w:numPr>
        <w:rPr>
          <w:lang w:val="en-GB"/>
        </w:rPr>
      </w:pPr>
      <w:r w:rsidRPr="00BD4CF8">
        <w:rPr>
          <w:lang w:val="en-GB"/>
        </w:rPr>
        <w:t>It may be easier to harmonise new spectrum for mobile broadband, where broadband PPDR can be included, than to find the necessary support for dedicated spectrum to be used exclusively for broadband PPDR.</w:t>
      </w:r>
    </w:p>
    <w:p w:rsidR="00864547" w:rsidRDefault="00864547" w:rsidP="00A54E7C">
      <w:pPr>
        <w:rPr>
          <w:lang w:val="en-GB"/>
        </w:rPr>
      </w:pPr>
    </w:p>
    <w:p w:rsidR="00864547" w:rsidRDefault="00864547" w:rsidP="00A54E7C">
      <w:pPr>
        <w:rPr>
          <w:lang w:val="en-GB"/>
        </w:rPr>
      </w:pPr>
      <w:r>
        <w:rPr>
          <w:lang w:val="en-GB"/>
        </w:rPr>
        <w:t xml:space="preserve">Further, </w:t>
      </w:r>
      <w:smartTag w:uri="urn:schemas-microsoft-com:office:smarttags" w:element="place">
        <w:smartTag w:uri="urn:schemas-microsoft-com:office:smarttags" w:element="country-region">
          <w:r>
            <w:rPr>
              <w:lang w:val="en-GB"/>
            </w:rPr>
            <w:t>Sweden</w:t>
          </w:r>
        </w:smartTag>
      </w:smartTag>
      <w:r>
        <w:rPr>
          <w:lang w:val="en-GB"/>
        </w:rPr>
        <w:t xml:space="preserve"> believes that more work is needed mapping the PPDR user requirements on the existing commercial technical standards relevant for broadband applications. The argumentation in favour of a new dedicated broadband PPDR technical standard is not clear and the following relevant points related to the technical standards have to be considered and reviewed: </w:t>
      </w:r>
    </w:p>
    <w:p w:rsidR="00864547" w:rsidRDefault="00864547" w:rsidP="00A54E7C">
      <w:pPr>
        <w:rPr>
          <w:lang w:val="en-GB"/>
        </w:rPr>
      </w:pPr>
    </w:p>
    <w:p w:rsidR="00864547" w:rsidRDefault="00864547" w:rsidP="00BD4CF8">
      <w:pPr>
        <w:pStyle w:val="ListParagraph"/>
        <w:numPr>
          <w:ilvl w:val="0"/>
          <w:numId w:val="16"/>
        </w:numPr>
        <w:rPr>
          <w:lang w:val="en-GB"/>
        </w:rPr>
      </w:pPr>
      <w:r w:rsidRPr="00BD4CF8">
        <w:rPr>
          <w:b/>
          <w:lang w:val="en-GB"/>
        </w:rPr>
        <w:t>Broadcast/Multicast</w:t>
      </w:r>
      <w:r>
        <w:rPr>
          <w:b/>
          <w:lang w:val="en-GB"/>
        </w:rPr>
        <w:t xml:space="preserve"> - </w:t>
      </w:r>
      <w:r w:rsidRPr="00BD4CF8">
        <w:rPr>
          <w:lang w:val="en-GB"/>
        </w:rPr>
        <w:t xml:space="preserve">One requirement identified by PPDR users is the possibility to broadcast data (documents, pictures, video etc.) to several users. However, this functionality is supported for example by the LTE-standard (e-MBMS), even though not implemented in the commercial network’s first release. </w:t>
      </w:r>
    </w:p>
    <w:p w:rsidR="00864547" w:rsidRDefault="00864547" w:rsidP="00BD4CF8">
      <w:pPr>
        <w:pStyle w:val="ListParagraph"/>
        <w:numPr>
          <w:ilvl w:val="0"/>
          <w:numId w:val="16"/>
        </w:numPr>
        <w:rPr>
          <w:lang w:val="en-GB"/>
        </w:rPr>
      </w:pPr>
      <w:r w:rsidRPr="00BD4CF8">
        <w:rPr>
          <w:b/>
          <w:lang w:val="en-GB"/>
        </w:rPr>
        <w:t>Direct mode (DMO)</w:t>
      </w:r>
      <w:r w:rsidRPr="00BD4CF8">
        <w:rPr>
          <w:lang w:val="en-GB"/>
        </w:rPr>
        <w:t xml:space="preserve"> </w:t>
      </w:r>
      <w:r>
        <w:rPr>
          <w:lang w:val="en-GB"/>
        </w:rPr>
        <w:t xml:space="preserve">- </w:t>
      </w:r>
      <w:r w:rsidRPr="00BD4CF8">
        <w:rPr>
          <w:lang w:val="en-GB"/>
        </w:rPr>
        <w:t>The PPDR community has put forward the requirement for DMO in broadband data. It can be noted that there are on-going discussions to implement DMO in the LTE standard, and the status of this work needs to be examined.</w:t>
      </w:r>
    </w:p>
    <w:p w:rsidR="00864547" w:rsidRDefault="00864547" w:rsidP="00BD4CF8">
      <w:pPr>
        <w:pStyle w:val="ListParagraph"/>
        <w:numPr>
          <w:ilvl w:val="0"/>
          <w:numId w:val="16"/>
        </w:numPr>
        <w:rPr>
          <w:lang w:val="en-GB"/>
        </w:rPr>
      </w:pPr>
      <w:r w:rsidRPr="00BD4CF8">
        <w:rPr>
          <w:b/>
          <w:lang w:val="en-GB"/>
        </w:rPr>
        <w:t>Fallback</w:t>
      </w:r>
      <w:r w:rsidRPr="00BD4CF8">
        <w:rPr>
          <w:lang w:val="en-GB"/>
        </w:rPr>
        <w:t xml:space="preserve"> enables communication within the coverage of one single base station if the infrastructure transmission is lost. It can be noted that the fallback functionality is deactivated in many of today’s TETRA PPDR networks and it would be necessary have a better description of the needs behind the demand for this functionality. </w:t>
      </w:r>
    </w:p>
    <w:p w:rsidR="00864547" w:rsidRPr="00BD4CF8" w:rsidRDefault="00864547" w:rsidP="00BD4CF8">
      <w:pPr>
        <w:pStyle w:val="ListParagraph"/>
        <w:numPr>
          <w:ilvl w:val="0"/>
          <w:numId w:val="16"/>
        </w:numPr>
        <w:rPr>
          <w:lang w:val="en-GB"/>
        </w:rPr>
      </w:pPr>
      <w:r w:rsidRPr="00BD4CF8">
        <w:rPr>
          <w:b/>
          <w:lang w:val="en-GB"/>
        </w:rPr>
        <w:t>Security as</w:t>
      </w:r>
      <w:r>
        <w:rPr>
          <w:b/>
          <w:lang w:val="en-GB"/>
        </w:rPr>
        <w:t>pects</w:t>
      </w:r>
      <w:r w:rsidRPr="00BD4CF8">
        <w:rPr>
          <w:lang w:val="en-GB"/>
        </w:rPr>
        <w:t xml:space="preserve"> are important in every network, not the least in</w:t>
      </w:r>
      <w:r>
        <w:rPr>
          <w:lang w:val="en-GB"/>
        </w:rPr>
        <w:t xml:space="preserve"> networks carrying PPDR applications</w:t>
      </w:r>
      <w:r w:rsidRPr="00BD4CF8">
        <w:rPr>
          <w:lang w:val="en-GB"/>
        </w:rPr>
        <w:t>. The argument that a new technical standard will result in increased security needs to be further clarified and why this cannot be made as an improvement in a commercial technical standard. The existing possibility to use end-to-end encryption should be taken into consideration.</w:t>
      </w:r>
      <w:r w:rsidRPr="00BD4CF8">
        <w:rPr>
          <w:lang w:val="en-GB"/>
        </w:rPr>
        <w:br/>
      </w:r>
    </w:p>
    <w:p w:rsidR="00864547" w:rsidRPr="000F6F56" w:rsidRDefault="00864547" w:rsidP="006E1B9A">
      <w:pPr>
        <w:rPr>
          <w:lang w:val="en-GB"/>
        </w:rPr>
      </w:pPr>
      <w:r>
        <w:rPr>
          <w:bCs/>
          <w:lang w:val="en-GB"/>
        </w:rPr>
        <w:t xml:space="preserve">Each argument used in favour of a </w:t>
      </w:r>
      <w:r w:rsidRPr="00FA5C6B">
        <w:rPr>
          <w:bCs/>
          <w:lang w:val="en-GB"/>
        </w:rPr>
        <w:t>specific</w:t>
      </w:r>
      <w:r>
        <w:rPr>
          <w:bCs/>
          <w:lang w:val="en-GB"/>
        </w:rPr>
        <w:t xml:space="preserve"> PPDR technical </w:t>
      </w:r>
      <w:r w:rsidRPr="00FA5C6B">
        <w:rPr>
          <w:bCs/>
          <w:lang w:val="en-GB"/>
        </w:rPr>
        <w:t>standard</w:t>
      </w:r>
      <w:r>
        <w:rPr>
          <w:bCs/>
          <w:lang w:val="en-GB"/>
        </w:rPr>
        <w:t xml:space="preserve"> </w:t>
      </w:r>
      <w:r w:rsidRPr="00FA5C6B">
        <w:rPr>
          <w:bCs/>
          <w:lang w:val="en-GB"/>
        </w:rPr>
        <w:t>need</w:t>
      </w:r>
      <w:r>
        <w:rPr>
          <w:bCs/>
          <w:lang w:val="en-GB"/>
        </w:rPr>
        <w:t>s</w:t>
      </w:r>
      <w:r w:rsidRPr="00FA5C6B">
        <w:rPr>
          <w:bCs/>
          <w:lang w:val="en-GB"/>
        </w:rPr>
        <w:t xml:space="preserve"> to be </w:t>
      </w:r>
      <w:r>
        <w:rPr>
          <w:bCs/>
          <w:lang w:val="en-GB"/>
        </w:rPr>
        <w:t xml:space="preserve">thoroughly analysed and evaluated against the arguments in favour of commercial standards in FM PT 49. </w:t>
      </w:r>
      <w:smartTag w:uri="urn:schemas-microsoft-com:office:smarttags" w:element="country-region">
        <w:r>
          <w:rPr>
            <w:bCs/>
            <w:lang w:val="en-GB"/>
          </w:rPr>
          <w:t>Sweden</w:t>
        </w:r>
      </w:smartTag>
      <w:r>
        <w:rPr>
          <w:bCs/>
          <w:lang w:val="en-GB"/>
        </w:rPr>
        <w:t xml:space="preserve">’s initial view from such an analysis is that a successful and harmonised introduction of broadband PPDR applications in Europe is best to be realized with available commercial technical standards such as HSPA and LTE and further development of these commercial technical standards.  </w:t>
      </w:r>
    </w:p>
    <w:p w:rsidR="00864547" w:rsidRPr="00CE5B51" w:rsidRDefault="00864547" w:rsidP="00CE5B51">
      <w:pPr>
        <w:rPr>
          <w:lang w:val="en-GB"/>
        </w:rPr>
      </w:pPr>
    </w:p>
    <w:p w:rsidR="00864547" w:rsidRPr="00250DCE" w:rsidRDefault="00864547" w:rsidP="003F0509">
      <w:pPr>
        <w:pStyle w:val="Heading1"/>
        <w:numPr>
          <w:ilvl w:val="0"/>
          <w:numId w:val="17"/>
        </w:numPr>
        <w:rPr>
          <w:sz w:val="24"/>
          <w:szCs w:val="24"/>
          <w:lang w:val="en-GB"/>
        </w:rPr>
      </w:pPr>
      <w:r w:rsidRPr="00E45512">
        <w:rPr>
          <w:sz w:val="24"/>
          <w:szCs w:val="24"/>
          <w:lang w:val="en-GB"/>
        </w:rPr>
        <w:t xml:space="preserve">No need for dedicated harmonised frequency bands for broadband PPDR </w:t>
      </w:r>
    </w:p>
    <w:p w:rsidR="00864547" w:rsidRDefault="00864547" w:rsidP="003F0509">
      <w:pPr>
        <w:rPr>
          <w:lang w:val="en-GB"/>
        </w:rPr>
      </w:pPr>
      <w:r>
        <w:rPr>
          <w:lang w:val="en-GB"/>
        </w:rPr>
        <w:t>The Swedish conclusion is that if the broadband PPDR applications are based on commercial technical standards, there is a limited need for a new harmonised frequency band exclusively used for broadband PPDR. This is regardless of whether the applications are based on dedicated PPDR networks or commercial networks. This conclusion is based on the following arguments:</w:t>
      </w:r>
    </w:p>
    <w:p w:rsidR="00864547" w:rsidRDefault="00864547" w:rsidP="003F0509">
      <w:pPr>
        <w:rPr>
          <w:lang w:val="en-GB"/>
        </w:rPr>
      </w:pPr>
    </w:p>
    <w:p w:rsidR="00864547" w:rsidRPr="00D84FE9" w:rsidRDefault="00864547" w:rsidP="00D84FE9">
      <w:pPr>
        <w:pStyle w:val="ListParagraph"/>
        <w:numPr>
          <w:ilvl w:val="0"/>
          <w:numId w:val="16"/>
        </w:numPr>
        <w:rPr>
          <w:lang w:val="en-GB"/>
        </w:rPr>
      </w:pPr>
      <w:r w:rsidRPr="00C600B2">
        <w:rPr>
          <w:b/>
          <w:lang w:val="en-GB"/>
        </w:rPr>
        <w:t>Roaming</w:t>
      </w:r>
      <w:r w:rsidRPr="00D84FE9">
        <w:rPr>
          <w:b/>
          <w:lang w:val="en-GB"/>
        </w:rPr>
        <w:t xml:space="preserve"> </w:t>
      </w:r>
      <w:r>
        <w:rPr>
          <w:b/>
          <w:lang w:val="en-GB"/>
        </w:rPr>
        <w:t xml:space="preserve">- </w:t>
      </w:r>
      <w:r w:rsidRPr="00D84FE9">
        <w:rPr>
          <w:lang w:val="en-GB"/>
        </w:rPr>
        <w:t>Like the users of commercial networks can roam between different countries and operators using different frequency bands, PPDR users could do the same if a commercial standard is used.</w:t>
      </w:r>
    </w:p>
    <w:p w:rsidR="00864547" w:rsidRPr="00D84FE9" w:rsidRDefault="00864547" w:rsidP="00D84FE9">
      <w:pPr>
        <w:pStyle w:val="ListParagraph"/>
        <w:numPr>
          <w:ilvl w:val="0"/>
          <w:numId w:val="16"/>
        </w:numPr>
        <w:rPr>
          <w:lang w:val="en-GB"/>
        </w:rPr>
      </w:pPr>
      <w:r w:rsidRPr="00D84FE9">
        <w:rPr>
          <w:lang w:val="en-GB"/>
        </w:rPr>
        <w:t xml:space="preserve">For some </w:t>
      </w:r>
      <w:r w:rsidRPr="00D84FE9">
        <w:rPr>
          <w:b/>
          <w:lang w:val="en-GB"/>
        </w:rPr>
        <w:t>end user equipment</w:t>
      </w:r>
      <w:r w:rsidRPr="00D84FE9">
        <w:rPr>
          <w:lang w:val="en-GB"/>
        </w:rPr>
        <w:t xml:space="preserve">, broadband PPDR applications will require special functionality that is not to be found in equipment available in the commercial market. This could for example be a dual mode TETRA/broadband terminal. However, the broadband RF specific parts in this equipment will most probably be based on commercial products, used in commercial devices, which typically support a number of available commercial frequency bands for mobile broadband networks. </w:t>
      </w:r>
    </w:p>
    <w:p w:rsidR="00864547" w:rsidRDefault="00864547" w:rsidP="00D84FE9">
      <w:pPr>
        <w:pStyle w:val="ListParagraph"/>
        <w:numPr>
          <w:ilvl w:val="0"/>
          <w:numId w:val="16"/>
        </w:numPr>
        <w:rPr>
          <w:lang w:val="en-GB"/>
        </w:rPr>
      </w:pPr>
      <w:r w:rsidRPr="00C600B2">
        <w:rPr>
          <w:b/>
          <w:lang w:val="en-GB"/>
        </w:rPr>
        <w:t>Infrastructure</w:t>
      </w:r>
      <w:r>
        <w:rPr>
          <w:b/>
          <w:lang w:val="en-GB"/>
        </w:rPr>
        <w:t xml:space="preserve"> - </w:t>
      </w:r>
      <w:r w:rsidRPr="00D84FE9">
        <w:rPr>
          <w:lang w:val="en-GB"/>
        </w:rPr>
        <w:t>When rolling out a broadband network the RF specific equipment, e.g. the base station transmitters, receivers, antennas etc. will be based on commercial equipment, which can be specified to work in any frequency band available for commercial mobile broadband networks.</w:t>
      </w:r>
      <w:r>
        <w:rPr>
          <w:lang w:val="en-GB"/>
        </w:rPr>
        <w:t xml:space="preserve"> </w:t>
      </w:r>
      <w:r w:rsidRPr="00CC0DF0">
        <w:rPr>
          <w:lang w:val="en-GB"/>
        </w:rPr>
        <w:t xml:space="preserve">  </w:t>
      </w:r>
      <w:r>
        <w:rPr>
          <w:lang w:val="en-GB"/>
        </w:rPr>
        <w:br/>
      </w:r>
    </w:p>
    <w:p w:rsidR="00864547" w:rsidRDefault="00864547" w:rsidP="003F0509">
      <w:pPr>
        <w:rPr>
          <w:lang w:val="en-GB"/>
        </w:rPr>
      </w:pPr>
      <w:r>
        <w:rPr>
          <w:lang w:val="en-GB"/>
        </w:rPr>
        <w:t>Based on the assumption that broadband PPDR applications should use commercial technical mobile broadband standards, the conclusion is that the PPDR bandwidth needs are mainly to be found in existing and future frequency bands made available for commercial mobile broadband.</w:t>
      </w:r>
    </w:p>
    <w:p w:rsidR="00864547" w:rsidRPr="003F0509" w:rsidRDefault="00864547" w:rsidP="003F0509">
      <w:pPr>
        <w:rPr>
          <w:lang w:val="en-GB"/>
        </w:rPr>
      </w:pPr>
    </w:p>
    <w:p w:rsidR="00864547" w:rsidRDefault="00864547" w:rsidP="009C17AD">
      <w:pPr>
        <w:pStyle w:val="Heading1"/>
        <w:numPr>
          <w:ilvl w:val="0"/>
          <w:numId w:val="17"/>
        </w:numPr>
        <w:rPr>
          <w:sz w:val="24"/>
          <w:szCs w:val="24"/>
          <w:lang w:val="en-GB"/>
        </w:rPr>
      </w:pPr>
      <w:r>
        <w:rPr>
          <w:sz w:val="24"/>
          <w:szCs w:val="24"/>
          <w:lang w:val="en-GB"/>
        </w:rPr>
        <w:t>Advantages and disadvantages using commercial vs. dedicated networks</w:t>
      </w:r>
    </w:p>
    <w:p w:rsidR="00864547" w:rsidRDefault="00864547" w:rsidP="00756B99">
      <w:pPr>
        <w:rPr>
          <w:lang w:val="en-GB"/>
        </w:rPr>
      </w:pPr>
      <w:r>
        <w:rPr>
          <w:lang w:val="en-GB"/>
        </w:rPr>
        <w:t xml:space="preserve">Some discussions concerning broadband PPDR have, in addition to defining the spectrum bandwidth needs, been focused on providing supporting arguments why mission critical applications would require dedicated PPDR networks. This viewpoint is represented mainly by the blue light forces and the PPDR manufacturing industry. </w:t>
      </w:r>
    </w:p>
    <w:p w:rsidR="00864547" w:rsidRDefault="00864547" w:rsidP="00756B99">
      <w:pPr>
        <w:rPr>
          <w:lang w:val="en-GB"/>
        </w:rPr>
      </w:pPr>
    </w:p>
    <w:p w:rsidR="00864547" w:rsidRPr="00ED777C" w:rsidRDefault="00864547" w:rsidP="00756B99">
      <w:pPr>
        <w:rPr>
          <w:lang w:val="en-GB"/>
        </w:rPr>
      </w:pPr>
      <w:r>
        <w:rPr>
          <w:lang w:val="en-GB"/>
        </w:rPr>
        <w:t>Sometimes, obvious advantages for commercial networks have been neglected, and identified possible problems may have been somewhat overstated or not analysed to the full extent. Furthermore, there have only been limited attempts to find alternative solutions to the identified possible problems. Apart from the financial point of view, there are a number of other possible advantages of using commercial networks for broadband PPDR that need to be further investigated, e.g.:</w:t>
      </w:r>
    </w:p>
    <w:p w:rsidR="00864547" w:rsidRDefault="00864547" w:rsidP="00756B99">
      <w:pPr>
        <w:rPr>
          <w:u w:val="single"/>
          <w:lang w:val="en-GB"/>
        </w:rPr>
      </w:pPr>
    </w:p>
    <w:p w:rsidR="00864547" w:rsidRPr="00B50251" w:rsidRDefault="00864547" w:rsidP="00B50251">
      <w:pPr>
        <w:pStyle w:val="ListParagraph"/>
        <w:numPr>
          <w:ilvl w:val="0"/>
          <w:numId w:val="16"/>
        </w:numPr>
        <w:rPr>
          <w:b/>
          <w:lang w:val="en-GB"/>
        </w:rPr>
      </w:pPr>
      <w:r>
        <w:rPr>
          <w:b/>
          <w:lang w:val="en-GB"/>
        </w:rPr>
        <w:t xml:space="preserve">Network redundancy </w:t>
      </w:r>
      <w:r w:rsidRPr="00B50251">
        <w:rPr>
          <w:lang w:val="en-GB"/>
        </w:rPr>
        <w:t>could be realized in several ways, e.g. using national roaming subscriptions, SIM-cards registered in another country with roaming agreements, or some sort of multiple SIM-card solution.</w:t>
      </w:r>
      <w:r w:rsidRPr="00B50251">
        <w:rPr>
          <w:b/>
          <w:lang w:val="en-GB"/>
        </w:rPr>
        <w:t xml:space="preserve"> </w:t>
      </w:r>
    </w:p>
    <w:p w:rsidR="00864547" w:rsidRPr="00897AF1" w:rsidRDefault="00864547" w:rsidP="00B50251">
      <w:pPr>
        <w:pStyle w:val="ListParagraph"/>
        <w:numPr>
          <w:ilvl w:val="0"/>
          <w:numId w:val="16"/>
        </w:numPr>
        <w:rPr>
          <w:lang w:val="en-GB"/>
        </w:rPr>
      </w:pPr>
      <w:r w:rsidRPr="00B726F3">
        <w:rPr>
          <w:b/>
          <w:lang w:val="en-GB"/>
        </w:rPr>
        <w:t>Capacity</w:t>
      </w:r>
      <w:r>
        <w:rPr>
          <w:b/>
          <w:lang w:val="en-GB"/>
        </w:rPr>
        <w:t xml:space="preserve"> </w:t>
      </w:r>
      <w:r w:rsidRPr="00897AF1">
        <w:rPr>
          <w:lang w:val="en-GB"/>
        </w:rPr>
        <w:t>- Due to the access of larger spectrum bandwidths, a commercial network has the potential to provide higher capacity at extreme emergency situations. Priority functions and other measures could be included in commercial broadband networks to cater for the PPDR needs for ubiquitous communication resources.</w:t>
      </w:r>
    </w:p>
    <w:p w:rsidR="00864547" w:rsidRPr="00897AF1" w:rsidRDefault="00864547" w:rsidP="00897AF1">
      <w:pPr>
        <w:pStyle w:val="ListParagraph"/>
        <w:numPr>
          <w:ilvl w:val="0"/>
          <w:numId w:val="16"/>
        </w:numPr>
        <w:rPr>
          <w:lang w:val="en-GB"/>
        </w:rPr>
      </w:pPr>
      <w:r w:rsidRPr="00B726F3">
        <w:rPr>
          <w:b/>
          <w:lang w:val="en-GB"/>
        </w:rPr>
        <w:t xml:space="preserve">Up to date </w:t>
      </w:r>
      <w:r w:rsidRPr="00897AF1">
        <w:rPr>
          <w:lang w:val="en-GB"/>
        </w:rPr>
        <w:t>technology - Sweden believes that the commercial operators may be more likely than public owned networks to have the financial ability to upgrade the network with the latest technology. This would also apply for end user devices and applications. In addition, based on the requirements for backward compatibility, handsets from previous versions of commercial standards can still operate on the networks of today.</w:t>
      </w:r>
    </w:p>
    <w:p w:rsidR="00864547" w:rsidRPr="00897AF1" w:rsidRDefault="00864547" w:rsidP="00080814">
      <w:pPr>
        <w:pStyle w:val="ListParagraph"/>
        <w:numPr>
          <w:ilvl w:val="0"/>
          <w:numId w:val="16"/>
        </w:numPr>
        <w:rPr>
          <w:sz w:val="24"/>
          <w:szCs w:val="24"/>
          <w:lang w:val="en-GB"/>
        </w:rPr>
      </w:pPr>
      <w:r w:rsidRPr="00897AF1">
        <w:rPr>
          <w:b/>
          <w:lang w:val="en-GB"/>
        </w:rPr>
        <w:t>Alternative investments in commercial infrastructure</w:t>
      </w:r>
      <w:r w:rsidRPr="00897AF1">
        <w:rPr>
          <w:lang w:val="en-GB"/>
        </w:rPr>
        <w:t xml:space="preserve"> - The commercial networks are considered to be an important part of a society’s infrastructure, and lots of effort is made to improve the commercial networks security, robustness, and ability to resist for example power shortages or transmission losses. If parts of the cost associated with realizing a dedicated PPDR broadband network could be used to increase the robustness and security of the commercial networks, this would also lead to several social-economic advantages. </w:t>
      </w:r>
    </w:p>
    <w:p w:rsidR="00864547" w:rsidRPr="00250DCE" w:rsidRDefault="00864547" w:rsidP="002B04CC">
      <w:pPr>
        <w:pStyle w:val="Heading1"/>
        <w:numPr>
          <w:ilvl w:val="0"/>
          <w:numId w:val="17"/>
        </w:numPr>
        <w:rPr>
          <w:sz w:val="24"/>
          <w:szCs w:val="24"/>
          <w:lang w:val="en-GB"/>
        </w:rPr>
      </w:pPr>
      <w:r>
        <w:rPr>
          <w:sz w:val="24"/>
          <w:szCs w:val="24"/>
          <w:lang w:val="en-GB"/>
        </w:rPr>
        <w:t>Different</w:t>
      </w:r>
      <w:r w:rsidRPr="00080814">
        <w:rPr>
          <w:sz w:val="24"/>
          <w:szCs w:val="24"/>
          <w:lang w:val="en-GB"/>
        </w:rPr>
        <w:t xml:space="preserve"> prerequisites </w:t>
      </w:r>
      <w:r>
        <w:rPr>
          <w:sz w:val="24"/>
          <w:szCs w:val="24"/>
          <w:lang w:val="en-GB"/>
        </w:rPr>
        <w:t xml:space="preserve">for broadband PPDR in the European </w:t>
      </w:r>
      <w:r w:rsidRPr="00080814">
        <w:rPr>
          <w:sz w:val="24"/>
          <w:szCs w:val="24"/>
          <w:lang w:val="en-GB"/>
        </w:rPr>
        <w:t>countries</w:t>
      </w:r>
    </w:p>
    <w:p w:rsidR="00864547" w:rsidRDefault="00864547" w:rsidP="002B04CC">
      <w:pPr>
        <w:rPr>
          <w:lang w:val="en-GB"/>
        </w:rPr>
      </w:pPr>
      <w:r>
        <w:rPr>
          <w:lang w:val="en-GB"/>
        </w:rPr>
        <w:t>Even if a study representing the circumstances in one specific European county would motivate the investment of a dedicated PPDR broadband network from socio</w:t>
      </w:r>
      <w:r w:rsidRPr="00112513">
        <w:rPr>
          <w:lang w:val="en-GB"/>
        </w:rPr>
        <w:t>-economic</w:t>
      </w:r>
      <w:r>
        <w:rPr>
          <w:lang w:val="en-GB"/>
        </w:rPr>
        <w:t xml:space="preserve"> assessments. This may prove to be a very difficult task to perform in an objective and balanced way. Sweden is concerned that a similar study in other countries may give different results. Reasons for this could be:</w:t>
      </w:r>
      <w:r>
        <w:rPr>
          <w:lang w:val="en-GB"/>
        </w:rPr>
        <w:br/>
      </w:r>
    </w:p>
    <w:p w:rsidR="00864547" w:rsidRDefault="00864547" w:rsidP="006C2066">
      <w:pPr>
        <w:pStyle w:val="ListParagraph"/>
        <w:numPr>
          <w:ilvl w:val="0"/>
          <w:numId w:val="16"/>
        </w:numPr>
        <w:rPr>
          <w:b/>
          <w:lang w:val="en-GB"/>
        </w:rPr>
      </w:pPr>
      <w:r w:rsidRPr="006C2066">
        <w:rPr>
          <w:b/>
          <w:lang w:val="en-GB"/>
        </w:rPr>
        <w:t xml:space="preserve">Geography </w:t>
      </w:r>
      <w:r w:rsidRPr="006C2066">
        <w:rPr>
          <w:lang w:val="en-GB"/>
        </w:rPr>
        <w:t>- There would be significant differences in cost of providing coverage and capacity in different counties with regard to size, topography, urbanization and demography.</w:t>
      </w:r>
    </w:p>
    <w:p w:rsidR="00864547" w:rsidRPr="006C2066" w:rsidRDefault="00864547" w:rsidP="006C2066">
      <w:pPr>
        <w:pStyle w:val="ListParagraph"/>
        <w:numPr>
          <w:ilvl w:val="0"/>
          <w:numId w:val="16"/>
        </w:numPr>
        <w:rPr>
          <w:b/>
          <w:lang w:val="en-GB"/>
        </w:rPr>
      </w:pPr>
      <w:r w:rsidRPr="006C2066">
        <w:rPr>
          <w:b/>
          <w:lang w:val="en-GB"/>
        </w:rPr>
        <w:t xml:space="preserve">Commercial alternatives </w:t>
      </w:r>
      <w:r w:rsidRPr="006C2066">
        <w:rPr>
          <w:lang w:val="en-GB"/>
        </w:rPr>
        <w:t>- The commercial networks may differ in many ways, for example with regards to coverage, capacity and robustness. Commercial networks may already receive governmental funding to improve these areas which would a</w:t>
      </w:r>
      <w:r>
        <w:rPr>
          <w:lang w:val="en-GB"/>
        </w:rPr>
        <w:t>lso be beneficial to PPDR users.</w:t>
      </w:r>
    </w:p>
    <w:p w:rsidR="00864547" w:rsidRDefault="00864547" w:rsidP="006C2066">
      <w:pPr>
        <w:pStyle w:val="ListParagraph"/>
        <w:numPr>
          <w:ilvl w:val="0"/>
          <w:numId w:val="16"/>
        </w:numPr>
        <w:rPr>
          <w:b/>
          <w:lang w:val="en-GB"/>
        </w:rPr>
      </w:pPr>
      <w:r w:rsidRPr="006C2066">
        <w:rPr>
          <w:lang w:val="en-GB"/>
        </w:rPr>
        <w:t xml:space="preserve">Different </w:t>
      </w:r>
      <w:r w:rsidRPr="006C2066">
        <w:rPr>
          <w:b/>
          <w:lang w:val="en-GB"/>
        </w:rPr>
        <w:t xml:space="preserve">definitions of the PPDR user groups </w:t>
      </w:r>
      <w:r w:rsidRPr="006C2066">
        <w:rPr>
          <w:lang w:val="en-GB"/>
        </w:rPr>
        <w:t>would give a different economical base for investments in dedicated PPDR networks. The definitions of PPDR user groups in each country depend, among other things, on national laws and regulations including the competition aspects.</w:t>
      </w:r>
    </w:p>
    <w:p w:rsidR="00864547" w:rsidRPr="006C2066" w:rsidRDefault="00864547" w:rsidP="006C2066">
      <w:pPr>
        <w:pStyle w:val="ListParagraph"/>
        <w:numPr>
          <w:ilvl w:val="0"/>
          <w:numId w:val="16"/>
        </w:numPr>
        <w:rPr>
          <w:lang w:val="en-GB"/>
        </w:rPr>
      </w:pPr>
      <w:r w:rsidRPr="006C2066">
        <w:rPr>
          <w:b/>
          <w:lang w:val="en-GB"/>
        </w:rPr>
        <w:t>Funding and prioritisation</w:t>
      </w:r>
      <w:r>
        <w:rPr>
          <w:b/>
          <w:lang w:val="en-GB"/>
        </w:rPr>
        <w:t xml:space="preserve"> </w:t>
      </w:r>
      <w:r w:rsidRPr="006C2066">
        <w:rPr>
          <w:lang w:val="en-GB"/>
        </w:rPr>
        <w:t>- In the end, it is up to each country’s government to make the financial decision regarding the funding of a possible dedicated PPDR network.</w:t>
      </w:r>
    </w:p>
    <w:p w:rsidR="00864547" w:rsidRDefault="00864547" w:rsidP="00170387">
      <w:pPr>
        <w:rPr>
          <w:lang w:val="en-GB"/>
        </w:rPr>
      </w:pPr>
    </w:p>
    <w:p w:rsidR="00864547" w:rsidRPr="00170387" w:rsidRDefault="00864547" w:rsidP="00170387">
      <w:pPr>
        <w:rPr>
          <w:lang w:val="en-GB"/>
        </w:rPr>
      </w:pPr>
      <w:r>
        <w:rPr>
          <w:lang w:val="en-GB"/>
        </w:rPr>
        <w:t xml:space="preserve">The Swedish conclusion from the above is that the considerations made with respect to possible harmonised approach for broadband PPDR technology and frequency bands should not be based on the assumption that all European countries would solely invest in dedicated broadband PPDR networks. </w:t>
      </w:r>
    </w:p>
    <w:p w:rsidR="00864547" w:rsidRDefault="00864547">
      <w:pPr>
        <w:rPr>
          <w:rFonts w:cs="Arial"/>
          <w:b/>
          <w:bCs/>
          <w:kern w:val="32"/>
          <w:sz w:val="24"/>
          <w:szCs w:val="24"/>
          <w:lang w:val="en-GB"/>
        </w:rPr>
      </w:pPr>
    </w:p>
    <w:p w:rsidR="00864547" w:rsidRPr="00250DCE" w:rsidRDefault="00864547" w:rsidP="002B04CC">
      <w:pPr>
        <w:pStyle w:val="Heading1"/>
        <w:numPr>
          <w:ilvl w:val="0"/>
          <w:numId w:val="17"/>
        </w:numPr>
        <w:rPr>
          <w:sz w:val="24"/>
          <w:szCs w:val="24"/>
          <w:lang w:val="en-GB"/>
        </w:rPr>
      </w:pPr>
      <w:r w:rsidRPr="00B355B7">
        <w:rPr>
          <w:sz w:val="24"/>
          <w:szCs w:val="24"/>
          <w:lang w:val="en-GB"/>
        </w:rPr>
        <w:t>Conclusion</w:t>
      </w:r>
      <w:r>
        <w:rPr>
          <w:sz w:val="24"/>
          <w:szCs w:val="24"/>
          <w:lang w:val="en-GB"/>
        </w:rPr>
        <w:t>s and proposals</w:t>
      </w:r>
    </w:p>
    <w:p w:rsidR="00864547" w:rsidRDefault="00864547" w:rsidP="00C41BBE">
      <w:pPr>
        <w:rPr>
          <w:bCs/>
          <w:lang w:val="en-GB"/>
        </w:rPr>
      </w:pPr>
      <w:r>
        <w:rPr>
          <w:bCs/>
          <w:lang w:val="en-GB"/>
        </w:rPr>
        <w:t xml:space="preserve">Sweden has a concern that the current attempt to harmonise broadband PPDR based on the assumption that every European country would invest in dedicated networks, using a dedicated PPDR technical standard, may delay or jeopardise the possibilities of a successful introduction of broadband PPDR applications in Europe. </w:t>
      </w:r>
    </w:p>
    <w:p w:rsidR="00864547" w:rsidRDefault="00864547" w:rsidP="00C41BBE">
      <w:pPr>
        <w:rPr>
          <w:bCs/>
          <w:lang w:val="en-GB"/>
        </w:rPr>
      </w:pPr>
    </w:p>
    <w:p w:rsidR="00864547" w:rsidRPr="00BD4CF8" w:rsidRDefault="00864547" w:rsidP="0051648F">
      <w:pPr>
        <w:rPr>
          <w:lang w:val="en-GB"/>
        </w:rPr>
      </w:pPr>
      <w:r>
        <w:rPr>
          <w:lang w:val="en-GB"/>
        </w:rPr>
        <w:t>It is clear to Sweden that e</w:t>
      </w:r>
      <w:r w:rsidRPr="00BD4CF8">
        <w:rPr>
          <w:lang w:val="en-GB"/>
        </w:rPr>
        <w:t xml:space="preserve">ven if a dedicated PPDR spectrum would be considered necessary, the 1452-1492 MHz band is not </w:t>
      </w:r>
      <w:r>
        <w:rPr>
          <w:lang w:val="en-GB"/>
        </w:rPr>
        <w:t xml:space="preserve">a </w:t>
      </w:r>
      <w:r w:rsidRPr="00BD4CF8">
        <w:rPr>
          <w:lang w:val="en-GB"/>
        </w:rPr>
        <w:t xml:space="preserve">suitable candidate </w:t>
      </w:r>
      <w:r>
        <w:rPr>
          <w:lang w:val="en-GB"/>
        </w:rPr>
        <w:t xml:space="preserve">band </w:t>
      </w:r>
      <w:r w:rsidRPr="00BD4CF8">
        <w:rPr>
          <w:lang w:val="en-GB"/>
        </w:rPr>
        <w:t>for this specific application. For permanent usage the requirements of a desi</w:t>
      </w:r>
      <w:r>
        <w:rPr>
          <w:lang w:val="en-GB"/>
        </w:rPr>
        <w:t>gnated frequency band should focus</w:t>
      </w:r>
      <w:r w:rsidRPr="00BD4CF8">
        <w:rPr>
          <w:lang w:val="en-GB"/>
        </w:rPr>
        <w:t xml:space="preserve"> on bands below 1 GHz. If the requirements </w:t>
      </w:r>
      <w:r>
        <w:rPr>
          <w:lang w:val="en-GB"/>
        </w:rPr>
        <w:t xml:space="preserve">for an ad hoc broadband PPDR application are considered </w:t>
      </w:r>
      <w:r w:rsidRPr="00BD4CF8">
        <w:rPr>
          <w:lang w:val="en-GB"/>
        </w:rPr>
        <w:t xml:space="preserve">Sweden believes that </w:t>
      </w:r>
      <w:r>
        <w:rPr>
          <w:lang w:val="en-GB"/>
        </w:rPr>
        <w:t xml:space="preserve">such </w:t>
      </w:r>
      <w:r w:rsidRPr="00BD4CF8">
        <w:rPr>
          <w:lang w:val="en-GB"/>
        </w:rPr>
        <w:t>temporary PPDR applications,</w:t>
      </w:r>
      <w:r>
        <w:rPr>
          <w:lang w:val="en-GB"/>
        </w:rPr>
        <w:t xml:space="preserve"> e.g.</w:t>
      </w:r>
      <w:r w:rsidRPr="00BD4CF8">
        <w:rPr>
          <w:lang w:val="en-GB"/>
        </w:rPr>
        <w:t xml:space="preserve"> high capacity video links requiring large bandwidths, are better suited in </w:t>
      </w:r>
      <w:r>
        <w:rPr>
          <w:lang w:val="en-GB"/>
        </w:rPr>
        <w:t>frequency bands</w:t>
      </w:r>
      <w:r w:rsidRPr="00BD4CF8">
        <w:rPr>
          <w:lang w:val="en-GB"/>
        </w:rPr>
        <w:t xml:space="preserve"> above the 1452-1492 MHz</w:t>
      </w:r>
      <w:r>
        <w:rPr>
          <w:lang w:val="en-GB"/>
        </w:rPr>
        <w:t>.</w:t>
      </w:r>
      <w:r w:rsidRPr="00BD4CF8">
        <w:rPr>
          <w:lang w:val="en-GB"/>
        </w:rPr>
        <w:t xml:space="preserve"> </w:t>
      </w:r>
    </w:p>
    <w:p w:rsidR="00864547" w:rsidRDefault="00864547" w:rsidP="00C41BBE">
      <w:pPr>
        <w:rPr>
          <w:bCs/>
          <w:lang w:val="en-GB"/>
        </w:rPr>
      </w:pPr>
    </w:p>
    <w:p w:rsidR="00864547" w:rsidRDefault="00864547" w:rsidP="00C41BBE">
      <w:pPr>
        <w:rPr>
          <w:lang w:val="en-GB"/>
        </w:rPr>
      </w:pPr>
      <w:r>
        <w:rPr>
          <w:lang w:val="en-GB"/>
        </w:rPr>
        <w:t xml:space="preserve">Sweden believes that the preferred way to achieve interoperability as well as an economically feasible realisation of broadband PPDR throughout Europe is a solution </w:t>
      </w:r>
      <w:r w:rsidRPr="007801D3">
        <w:rPr>
          <w:lang w:val="en-GB"/>
        </w:rPr>
        <w:t xml:space="preserve">where each country has </w:t>
      </w:r>
      <w:r>
        <w:rPr>
          <w:lang w:val="en-GB"/>
        </w:rPr>
        <w:t>a choice to realis</w:t>
      </w:r>
      <w:r w:rsidRPr="007801D3">
        <w:rPr>
          <w:lang w:val="en-GB"/>
        </w:rPr>
        <w:t xml:space="preserve">e </w:t>
      </w:r>
      <w:r>
        <w:rPr>
          <w:lang w:val="en-GB"/>
        </w:rPr>
        <w:t>this kind of application</w:t>
      </w:r>
      <w:r w:rsidRPr="007801D3">
        <w:rPr>
          <w:lang w:val="en-GB"/>
        </w:rPr>
        <w:t xml:space="preserve"> using </w:t>
      </w:r>
      <w:r>
        <w:rPr>
          <w:lang w:val="en-GB"/>
        </w:rPr>
        <w:t xml:space="preserve">either a </w:t>
      </w:r>
      <w:r w:rsidRPr="007801D3">
        <w:rPr>
          <w:lang w:val="en-GB"/>
        </w:rPr>
        <w:t xml:space="preserve">dedicated </w:t>
      </w:r>
      <w:r>
        <w:rPr>
          <w:lang w:val="en-GB"/>
        </w:rPr>
        <w:t xml:space="preserve">PPDR network </w:t>
      </w:r>
      <w:r w:rsidRPr="007801D3">
        <w:rPr>
          <w:lang w:val="en-GB"/>
        </w:rPr>
        <w:t xml:space="preserve">or </w:t>
      </w:r>
      <w:r>
        <w:rPr>
          <w:lang w:val="en-GB"/>
        </w:rPr>
        <w:t xml:space="preserve">integrated in a networks for </w:t>
      </w:r>
      <w:r w:rsidRPr="007801D3">
        <w:rPr>
          <w:lang w:val="en-GB"/>
        </w:rPr>
        <w:t>commercial</w:t>
      </w:r>
      <w:r>
        <w:rPr>
          <w:lang w:val="en-GB"/>
        </w:rPr>
        <w:t xml:space="preserve"> mobile broadband</w:t>
      </w:r>
      <w:r w:rsidRPr="007801D3">
        <w:rPr>
          <w:lang w:val="en-GB"/>
        </w:rPr>
        <w:t>.</w:t>
      </w:r>
      <w:r>
        <w:rPr>
          <w:lang w:val="en-GB"/>
        </w:rPr>
        <w:t xml:space="preserve"> </w:t>
      </w:r>
    </w:p>
    <w:p w:rsidR="00864547" w:rsidRDefault="00864547" w:rsidP="00C41BBE">
      <w:pPr>
        <w:rPr>
          <w:lang w:val="en-GB"/>
        </w:rPr>
      </w:pPr>
    </w:p>
    <w:p w:rsidR="00864547" w:rsidRPr="00C41BBE" w:rsidRDefault="00864547" w:rsidP="002B04CC">
      <w:pPr>
        <w:rPr>
          <w:lang w:val="en-GB"/>
        </w:rPr>
      </w:pPr>
      <w:r>
        <w:rPr>
          <w:lang w:val="en-GB"/>
        </w:rPr>
        <w:t xml:space="preserve">Sweden is of the opinion that this only can be achieved if the networks are based on commercial technical standards for mobile broadband, operating within frequency bands that are available for commercial operators. Notably, a country would be free to decide to identify dedicated spectrum for broadband PPDR within existing or future harmonised spectrum for mobile broadband, and a multi-band PPDR terminal device in that country could still be used in frequency bands used for commercial mobile broadband in other countries. </w:t>
      </w:r>
    </w:p>
    <w:sectPr w:rsidR="00864547" w:rsidRPr="00C41BBE" w:rsidSect="00437A5F">
      <w:pgSz w:w="11906" w:h="16838"/>
      <w:pgMar w:top="1417" w:right="1416" w:bottom="113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4547" w:rsidRDefault="00864547">
      <w:r>
        <w:separator/>
      </w:r>
    </w:p>
  </w:endnote>
  <w:endnote w:type="continuationSeparator" w:id="0">
    <w:p w:rsidR="00864547" w:rsidRDefault="0086454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altName w:val="Verdana"/>
    <w:panose1 w:val="020B0604030504040204"/>
    <w:charset w:val="00"/>
    <w:family w:val="swiss"/>
    <w:pitch w:val="variable"/>
    <w:sig w:usb0="E1002EFF" w:usb1="C000605B" w:usb2="00000029" w:usb3="00000000" w:csb0="000101FF" w:csb1="00000000"/>
  </w:font>
  <w:font w:name="Verdana">
    <w:altName w:val="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4547" w:rsidRDefault="00864547">
      <w:r>
        <w:separator/>
      </w:r>
    </w:p>
  </w:footnote>
  <w:footnote w:type="continuationSeparator" w:id="0">
    <w:p w:rsidR="00864547" w:rsidRDefault="0086454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61C19"/>
    <w:multiLevelType w:val="hybridMultilevel"/>
    <w:tmpl w:val="63842E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08D62CC4"/>
    <w:multiLevelType w:val="hybridMultilevel"/>
    <w:tmpl w:val="7A7C793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0D2D2DCD"/>
    <w:multiLevelType w:val="hybridMultilevel"/>
    <w:tmpl w:val="8822256A"/>
    <w:lvl w:ilvl="0" w:tplc="04070003">
      <w:start w:val="1"/>
      <w:numFmt w:val="bullet"/>
      <w:lvlText w:val="o"/>
      <w:lvlJc w:val="left"/>
      <w:pPr>
        <w:tabs>
          <w:tab w:val="num" w:pos="720"/>
        </w:tabs>
        <w:ind w:left="720" w:hanging="360"/>
      </w:pPr>
      <w:rPr>
        <w:rFonts w:ascii="Courier New" w:hAnsi="Courier New"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nsid w:val="12684070"/>
    <w:multiLevelType w:val="hybridMultilevel"/>
    <w:tmpl w:val="7738044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19EE7C01"/>
    <w:multiLevelType w:val="hybridMultilevel"/>
    <w:tmpl w:val="1716FA8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nsid w:val="21690425"/>
    <w:multiLevelType w:val="hybridMultilevel"/>
    <w:tmpl w:val="57DC27D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nsid w:val="2A0B2584"/>
    <w:multiLevelType w:val="hybridMultilevel"/>
    <w:tmpl w:val="E3DAAB72"/>
    <w:lvl w:ilvl="0" w:tplc="04070003">
      <w:start w:val="1"/>
      <w:numFmt w:val="bullet"/>
      <w:lvlText w:val="o"/>
      <w:lvlJc w:val="left"/>
      <w:pPr>
        <w:tabs>
          <w:tab w:val="num" w:pos="720"/>
        </w:tabs>
        <w:ind w:left="720" w:hanging="360"/>
      </w:pPr>
      <w:rPr>
        <w:rFonts w:ascii="Courier New" w:hAnsi="Courier New"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nsid w:val="46B67A3D"/>
    <w:multiLevelType w:val="hybridMultilevel"/>
    <w:tmpl w:val="C7C2E8C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nsid w:val="48035768"/>
    <w:multiLevelType w:val="hybridMultilevel"/>
    <w:tmpl w:val="EB16308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9">
    <w:nsid w:val="50EB125B"/>
    <w:multiLevelType w:val="hybridMultilevel"/>
    <w:tmpl w:val="AFCEE846"/>
    <w:lvl w:ilvl="0" w:tplc="041D0001">
      <w:start w:val="1"/>
      <w:numFmt w:val="bullet"/>
      <w:lvlText w:val=""/>
      <w:lvlJc w:val="left"/>
      <w:pPr>
        <w:ind w:left="766" w:hanging="360"/>
      </w:pPr>
      <w:rPr>
        <w:rFonts w:ascii="Symbol" w:hAnsi="Symbol" w:hint="default"/>
      </w:rPr>
    </w:lvl>
    <w:lvl w:ilvl="1" w:tplc="041D0003" w:tentative="1">
      <w:start w:val="1"/>
      <w:numFmt w:val="bullet"/>
      <w:lvlText w:val="o"/>
      <w:lvlJc w:val="left"/>
      <w:pPr>
        <w:ind w:left="1486" w:hanging="360"/>
      </w:pPr>
      <w:rPr>
        <w:rFonts w:ascii="Courier New" w:hAnsi="Courier New" w:hint="default"/>
      </w:rPr>
    </w:lvl>
    <w:lvl w:ilvl="2" w:tplc="041D0005" w:tentative="1">
      <w:start w:val="1"/>
      <w:numFmt w:val="bullet"/>
      <w:lvlText w:val=""/>
      <w:lvlJc w:val="left"/>
      <w:pPr>
        <w:ind w:left="2206" w:hanging="360"/>
      </w:pPr>
      <w:rPr>
        <w:rFonts w:ascii="Wingdings" w:hAnsi="Wingdings" w:hint="default"/>
      </w:rPr>
    </w:lvl>
    <w:lvl w:ilvl="3" w:tplc="041D0001" w:tentative="1">
      <w:start w:val="1"/>
      <w:numFmt w:val="bullet"/>
      <w:lvlText w:val=""/>
      <w:lvlJc w:val="left"/>
      <w:pPr>
        <w:ind w:left="2926" w:hanging="360"/>
      </w:pPr>
      <w:rPr>
        <w:rFonts w:ascii="Symbol" w:hAnsi="Symbol" w:hint="default"/>
      </w:rPr>
    </w:lvl>
    <w:lvl w:ilvl="4" w:tplc="041D0003" w:tentative="1">
      <w:start w:val="1"/>
      <w:numFmt w:val="bullet"/>
      <w:lvlText w:val="o"/>
      <w:lvlJc w:val="left"/>
      <w:pPr>
        <w:ind w:left="3646" w:hanging="360"/>
      </w:pPr>
      <w:rPr>
        <w:rFonts w:ascii="Courier New" w:hAnsi="Courier New" w:hint="default"/>
      </w:rPr>
    </w:lvl>
    <w:lvl w:ilvl="5" w:tplc="041D0005" w:tentative="1">
      <w:start w:val="1"/>
      <w:numFmt w:val="bullet"/>
      <w:lvlText w:val=""/>
      <w:lvlJc w:val="left"/>
      <w:pPr>
        <w:ind w:left="4366" w:hanging="360"/>
      </w:pPr>
      <w:rPr>
        <w:rFonts w:ascii="Wingdings" w:hAnsi="Wingdings" w:hint="default"/>
      </w:rPr>
    </w:lvl>
    <w:lvl w:ilvl="6" w:tplc="041D0001" w:tentative="1">
      <w:start w:val="1"/>
      <w:numFmt w:val="bullet"/>
      <w:lvlText w:val=""/>
      <w:lvlJc w:val="left"/>
      <w:pPr>
        <w:ind w:left="5086" w:hanging="360"/>
      </w:pPr>
      <w:rPr>
        <w:rFonts w:ascii="Symbol" w:hAnsi="Symbol" w:hint="default"/>
      </w:rPr>
    </w:lvl>
    <w:lvl w:ilvl="7" w:tplc="041D0003" w:tentative="1">
      <w:start w:val="1"/>
      <w:numFmt w:val="bullet"/>
      <w:lvlText w:val="o"/>
      <w:lvlJc w:val="left"/>
      <w:pPr>
        <w:ind w:left="5806" w:hanging="360"/>
      </w:pPr>
      <w:rPr>
        <w:rFonts w:ascii="Courier New" w:hAnsi="Courier New" w:hint="default"/>
      </w:rPr>
    </w:lvl>
    <w:lvl w:ilvl="8" w:tplc="041D0005" w:tentative="1">
      <w:start w:val="1"/>
      <w:numFmt w:val="bullet"/>
      <w:lvlText w:val=""/>
      <w:lvlJc w:val="left"/>
      <w:pPr>
        <w:ind w:left="6526" w:hanging="360"/>
      </w:pPr>
      <w:rPr>
        <w:rFonts w:ascii="Wingdings" w:hAnsi="Wingdings" w:hint="default"/>
      </w:rPr>
    </w:lvl>
  </w:abstractNum>
  <w:abstractNum w:abstractNumId="10">
    <w:nsid w:val="544F1A50"/>
    <w:multiLevelType w:val="hybridMultilevel"/>
    <w:tmpl w:val="35B030B6"/>
    <w:lvl w:ilvl="0" w:tplc="041D0001">
      <w:start w:val="1"/>
      <w:numFmt w:val="bullet"/>
      <w:lvlText w:val=""/>
      <w:lvlJc w:val="left"/>
      <w:pPr>
        <w:ind w:left="944" w:hanging="360"/>
      </w:pPr>
      <w:rPr>
        <w:rFonts w:ascii="Symbol" w:hAnsi="Symbol" w:hint="default"/>
      </w:rPr>
    </w:lvl>
    <w:lvl w:ilvl="1" w:tplc="041D0003" w:tentative="1">
      <w:start w:val="1"/>
      <w:numFmt w:val="bullet"/>
      <w:lvlText w:val="o"/>
      <w:lvlJc w:val="left"/>
      <w:pPr>
        <w:ind w:left="1664" w:hanging="360"/>
      </w:pPr>
      <w:rPr>
        <w:rFonts w:ascii="Courier New" w:hAnsi="Courier New" w:hint="default"/>
      </w:rPr>
    </w:lvl>
    <w:lvl w:ilvl="2" w:tplc="041D0005" w:tentative="1">
      <w:start w:val="1"/>
      <w:numFmt w:val="bullet"/>
      <w:lvlText w:val=""/>
      <w:lvlJc w:val="left"/>
      <w:pPr>
        <w:ind w:left="2384" w:hanging="360"/>
      </w:pPr>
      <w:rPr>
        <w:rFonts w:ascii="Wingdings" w:hAnsi="Wingdings" w:hint="default"/>
      </w:rPr>
    </w:lvl>
    <w:lvl w:ilvl="3" w:tplc="041D0001" w:tentative="1">
      <w:start w:val="1"/>
      <w:numFmt w:val="bullet"/>
      <w:lvlText w:val=""/>
      <w:lvlJc w:val="left"/>
      <w:pPr>
        <w:ind w:left="3104" w:hanging="360"/>
      </w:pPr>
      <w:rPr>
        <w:rFonts w:ascii="Symbol" w:hAnsi="Symbol" w:hint="default"/>
      </w:rPr>
    </w:lvl>
    <w:lvl w:ilvl="4" w:tplc="041D0003" w:tentative="1">
      <w:start w:val="1"/>
      <w:numFmt w:val="bullet"/>
      <w:lvlText w:val="o"/>
      <w:lvlJc w:val="left"/>
      <w:pPr>
        <w:ind w:left="3824" w:hanging="360"/>
      </w:pPr>
      <w:rPr>
        <w:rFonts w:ascii="Courier New" w:hAnsi="Courier New" w:hint="default"/>
      </w:rPr>
    </w:lvl>
    <w:lvl w:ilvl="5" w:tplc="041D0005" w:tentative="1">
      <w:start w:val="1"/>
      <w:numFmt w:val="bullet"/>
      <w:lvlText w:val=""/>
      <w:lvlJc w:val="left"/>
      <w:pPr>
        <w:ind w:left="4544" w:hanging="360"/>
      </w:pPr>
      <w:rPr>
        <w:rFonts w:ascii="Wingdings" w:hAnsi="Wingdings" w:hint="default"/>
      </w:rPr>
    </w:lvl>
    <w:lvl w:ilvl="6" w:tplc="041D0001" w:tentative="1">
      <w:start w:val="1"/>
      <w:numFmt w:val="bullet"/>
      <w:lvlText w:val=""/>
      <w:lvlJc w:val="left"/>
      <w:pPr>
        <w:ind w:left="5264" w:hanging="360"/>
      </w:pPr>
      <w:rPr>
        <w:rFonts w:ascii="Symbol" w:hAnsi="Symbol" w:hint="default"/>
      </w:rPr>
    </w:lvl>
    <w:lvl w:ilvl="7" w:tplc="041D0003" w:tentative="1">
      <w:start w:val="1"/>
      <w:numFmt w:val="bullet"/>
      <w:lvlText w:val="o"/>
      <w:lvlJc w:val="left"/>
      <w:pPr>
        <w:ind w:left="5984" w:hanging="360"/>
      </w:pPr>
      <w:rPr>
        <w:rFonts w:ascii="Courier New" w:hAnsi="Courier New" w:hint="default"/>
      </w:rPr>
    </w:lvl>
    <w:lvl w:ilvl="8" w:tplc="041D0005" w:tentative="1">
      <w:start w:val="1"/>
      <w:numFmt w:val="bullet"/>
      <w:lvlText w:val=""/>
      <w:lvlJc w:val="left"/>
      <w:pPr>
        <w:ind w:left="6704" w:hanging="360"/>
      </w:pPr>
      <w:rPr>
        <w:rFonts w:ascii="Wingdings" w:hAnsi="Wingdings" w:hint="default"/>
      </w:rPr>
    </w:lvl>
  </w:abstractNum>
  <w:abstractNum w:abstractNumId="11">
    <w:nsid w:val="60346D89"/>
    <w:multiLevelType w:val="hybridMultilevel"/>
    <w:tmpl w:val="C4103F8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nsid w:val="62C609CD"/>
    <w:multiLevelType w:val="hybridMultilevel"/>
    <w:tmpl w:val="D1A89F34"/>
    <w:lvl w:ilvl="0" w:tplc="041D000F">
      <w:start w:val="1"/>
      <w:numFmt w:val="decimal"/>
      <w:lvlText w:val="%1."/>
      <w:lvlJc w:val="left"/>
      <w:pPr>
        <w:ind w:left="360" w:hanging="360"/>
      </w:pPr>
      <w:rPr>
        <w:rFonts w:cs="Times New Roman" w:hint="default"/>
      </w:rPr>
    </w:lvl>
    <w:lvl w:ilvl="1" w:tplc="041D0019" w:tentative="1">
      <w:start w:val="1"/>
      <w:numFmt w:val="lowerLetter"/>
      <w:lvlText w:val="%2."/>
      <w:lvlJc w:val="left"/>
      <w:pPr>
        <w:ind w:left="1080" w:hanging="360"/>
      </w:pPr>
      <w:rPr>
        <w:rFonts w:cs="Times New Roman"/>
      </w:rPr>
    </w:lvl>
    <w:lvl w:ilvl="2" w:tplc="041D001B" w:tentative="1">
      <w:start w:val="1"/>
      <w:numFmt w:val="lowerRoman"/>
      <w:lvlText w:val="%3."/>
      <w:lvlJc w:val="right"/>
      <w:pPr>
        <w:ind w:left="1800" w:hanging="180"/>
      </w:pPr>
      <w:rPr>
        <w:rFonts w:cs="Times New Roman"/>
      </w:rPr>
    </w:lvl>
    <w:lvl w:ilvl="3" w:tplc="041D000F" w:tentative="1">
      <w:start w:val="1"/>
      <w:numFmt w:val="decimal"/>
      <w:lvlText w:val="%4."/>
      <w:lvlJc w:val="left"/>
      <w:pPr>
        <w:ind w:left="2520" w:hanging="360"/>
      </w:pPr>
      <w:rPr>
        <w:rFonts w:cs="Times New Roman"/>
      </w:rPr>
    </w:lvl>
    <w:lvl w:ilvl="4" w:tplc="041D0019" w:tentative="1">
      <w:start w:val="1"/>
      <w:numFmt w:val="lowerLetter"/>
      <w:lvlText w:val="%5."/>
      <w:lvlJc w:val="left"/>
      <w:pPr>
        <w:ind w:left="3240" w:hanging="360"/>
      </w:pPr>
      <w:rPr>
        <w:rFonts w:cs="Times New Roman"/>
      </w:rPr>
    </w:lvl>
    <w:lvl w:ilvl="5" w:tplc="041D001B" w:tentative="1">
      <w:start w:val="1"/>
      <w:numFmt w:val="lowerRoman"/>
      <w:lvlText w:val="%6."/>
      <w:lvlJc w:val="right"/>
      <w:pPr>
        <w:ind w:left="3960" w:hanging="180"/>
      </w:pPr>
      <w:rPr>
        <w:rFonts w:cs="Times New Roman"/>
      </w:rPr>
    </w:lvl>
    <w:lvl w:ilvl="6" w:tplc="041D000F" w:tentative="1">
      <w:start w:val="1"/>
      <w:numFmt w:val="decimal"/>
      <w:lvlText w:val="%7."/>
      <w:lvlJc w:val="left"/>
      <w:pPr>
        <w:ind w:left="4680" w:hanging="360"/>
      </w:pPr>
      <w:rPr>
        <w:rFonts w:cs="Times New Roman"/>
      </w:rPr>
    </w:lvl>
    <w:lvl w:ilvl="7" w:tplc="041D0019" w:tentative="1">
      <w:start w:val="1"/>
      <w:numFmt w:val="lowerLetter"/>
      <w:lvlText w:val="%8."/>
      <w:lvlJc w:val="left"/>
      <w:pPr>
        <w:ind w:left="5400" w:hanging="360"/>
      </w:pPr>
      <w:rPr>
        <w:rFonts w:cs="Times New Roman"/>
      </w:rPr>
    </w:lvl>
    <w:lvl w:ilvl="8" w:tplc="041D001B" w:tentative="1">
      <w:start w:val="1"/>
      <w:numFmt w:val="lowerRoman"/>
      <w:lvlText w:val="%9."/>
      <w:lvlJc w:val="right"/>
      <w:pPr>
        <w:ind w:left="6120" w:hanging="180"/>
      </w:pPr>
      <w:rPr>
        <w:rFonts w:cs="Times New Roman"/>
      </w:rPr>
    </w:lvl>
  </w:abstractNum>
  <w:abstractNum w:abstractNumId="13">
    <w:nsid w:val="62CA2C02"/>
    <w:multiLevelType w:val="hybridMultilevel"/>
    <w:tmpl w:val="0B0C3A1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nsid w:val="67F03728"/>
    <w:multiLevelType w:val="hybridMultilevel"/>
    <w:tmpl w:val="715C7866"/>
    <w:lvl w:ilvl="0" w:tplc="48229A56">
      <w:start w:val="1"/>
      <w:numFmt w:val="bullet"/>
      <w:lvlText w:val="•"/>
      <w:lvlJc w:val="left"/>
      <w:pPr>
        <w:tabs>
          <w:tab w:val="num" w:pos="720"/>
        </w:tabs>
        <w:ind w:left="720" w:hanging="360"/>
      </w:pPr>
      <w:rPr>
        <w:rFonts w:ascii="Arial" w:hAnsi="Arial" w:hint="default"/>
      </w:rPr>
    </w:lvl>
    <w:lvl w:ilvl="1" w:tplc="3E6E956E" w:tentative="1">
      <w:start w:val="1"/>
      <w:numFmt w:val="bullet"/>
      <w:lvlText w:val="•"/>
      <w:lvlJc w:val="left"/>
      <w:pPr>
        <w:tabs>
          <w:tab w:val="num" w:pos="1440"/>
        </w:tabs>
        <w:ind w:left="1440" w:hanging="360"/>
      </w:pPr>
      <w:rPr>
        <w:rFonts w:ascii="Arial" w:hAnsi="Arial" w:hint="default"/>
      </w:rPr>
    </w:lvl>
    <w:lvl w:ilvl="2" w:tplc="27C4DA2E" w:tentative="1">
      <w:start w:val="1"/>
      <w:numFmt w:val="bullet"/>
      <w:lvlText w:val="•"/>
      <w:lvlJc w:val="left"/>
      <w:pPr>
        <w:tabs>
          <w:tab w:val="num" w:pos="2160"/>
        </w:tabs>
        <w:ind w:left="2160" w:hanging="360"/>
      </w:pPr>
      <w:rPr>
        <w:rFonts w:ascii="Arial" w:hAnsi="Arial" w:hint="default"/>
      </w:rPr>
    </w:lvl>
    <w:lvl w:ilvl="3" w:tplc="B952223E" w:tentative="1">
      <w:start w:val="1"/>
      <w:numFmt w:val="bullet"/>
      <w:lvlText w:val="•"/>
      <w:lvlJc w:val="left"/>
      <w:pPr>
        <w:tabs>
          <w:tab w:val="num" w:pos="2880"/>
        </w:tabs>
        <w:ind w:left="2880" w:hanging="360"/>
      </w:pPr>
      <w:rPr>
        <w:rFonts w:ascii="Arial" w:hAnsi="Arial" w:hint="default"/>
      </w:rPr>
    </w:lvl>
    <w:lvl w:ilvl="4" w:tplc="E85A4B2A" w:tentative="1">
      <w:start w:val="1"/>
      <w:numFmt w:val="bullet"/>
      <w:lvlText w:val="•"/>
      <w:lvlJc w:val="left"/>
      <w:pPr>
        <w:tabs>
          <w:tab w:val="num" w:pos="3600"/>
        </w:tabs>
        <w:ind w:left="3600" w:hanging="360"/>
      </w:pPr>
      <w:rPr>
        <w:rFonts w:ascii="Arial" w:hAnsi="Arial" w:hint="default"/>
      </w:rPr>
    </w:lvl>
    <w:lvl w:ilvl="5" w:tplc="DBAE2004" w:tentative="1">
      <w:start w:val="1"/>
      <w:numFmt w:val="bullet"/>
      <w:lvlText w:val="•"/>
      <w:lvlJc w:val="left"/>
      <w:pPr>
        <w:tabs>
          <w:tab w:val="num" w:pos="4320"/>
        </w:tabs>
        <w:ind w:left="4320" w:hanging="360"/>
      </w:pPr>
      <w:rPr>
        <w:rFonts w:ascii="Arial" w:hAnsi="Arial" w:hint="default"/>
      </w:rPr>
    </w:lvl>
    <w:lvl w:ilvl="6" w:tplc="B7FCCEAA" w:tentative="1">
      <w:start w:val="1"/>
      <w:numFmt w:val="bullet"/>
      <w:lvlText w:val="•"/>
      <w:lvlJc w:val="left"/>
      <w:pPr>
        <w:tabs>
          <w:tab w:val="num" w:pos="5040"/>
        </w:tabs>
        <w:ind w:left="5040" w:hanging="360"/>
      </w:pPr>
      <w:rPr>
        <w:rFonts w:ascii="Arial" w:hAnsi="Arial" w:hint="default"/>
      </w:rPr>
    </w:lvl>
    <w:lvl w:ilvl="7" w:tplc="F0209F5E" w:tentative="1">
      <w:start w:val="1"/>
      <w:numFmt w:val="bullet"/>
      <w:lvlText w:val="•"/>
      <w:lvlJc w:val="left"/>
      <w:pPr>
        <w:tabs>
          <w:tab w:val="num" w:pos="5760"/>
        </w:tabs>
        <w:ind w:left="5760" w:hanging="360"/>
      </w:pPr>
      <w:rPr>
        <w:rFonts w:ascii="Arial" w:hAnsi="Arial" w:hint="default"/>
      </w:rPr>
    </w:lvl>
    <w:lvl w:ilvl="8" w:tplc="7B448440" w:tentative="1">
      <w:start w:val="1"/>
      <w:numFmt w:val="bullet"/>
      <w:lvlText w:val="•"/>
      <w:lvlJc w:val="left"/>
      <w:pPr>
        <w:tabs>
          <w:tab w:val="num" w:pos="6480"/>
        </w:tabs>
        <w:ind w:left="6480" w:hanging="360"/>
      </w:pPr>
      <w:rPr>
        <w:rFonts w:ascii="Arial" w:hAnsi="Arial" w:hint="default"/>
      </w:rPr>
    </w:lvl>
  </w:abstractNum>
  <w:abstractNum w:abstractNumId="15">
    <w:nsid w:val="694A097F"/>
    <w:multiLevelType w:val="hybridMultilevel"/>
    <w:tmpl w:val="E04A368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nsid w:val="6C7F0814"/>
    <w:multiLevelType w:val="hybridMultilevel"/>
    <w:tmpl w:val="2904CD8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nsid w:val="71A64567"/>
    <w:multiLevelType w:val="hybridMultilevel"/>
    <w:tmpl w:val="85BE421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15"/>
  </w:num>
  <w:num w:numId="4">
    <w:abstractNumId w:val="11"/>
  </w:num>
  <w:num w:numId="5">
    <w:abstractNumId w:val="4"/>
  </w:num>
  <w:num w:numId="6">
    <w:abstractNumId w:val="9"/>
  </w:num>
  <w:num w:numId="7">
    <w:abstractNumId w:val="13"/>
  </w:num>
  <w:num w:numId="8">
    <w:abstractNumId w:val="5"/>
  </w:num>
  <w:num w:numId="9">
    <w:abstractNumId w:val="14"/>
  </w:num>
  <w:num w:numId="10">
    <w:abstractNumId w:val="10"/>
  </w:num>
  <w:num w:numId="11">
    <w:abstractNumId w:val="16"/>
  </w:num>
  <w:num w:numId="12">
    <w:abstractNumId w:val="0"/>
  </w:num>
  <w:num w:numId="13">
    <w:abstractNumId w:val="1"/>
  </w:num>
  <w:num w:numId="14">
    <w:abstractNumId w:val="17"/>
  </w:num>
  <w:num w:numId="1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12"/>
  </w:num>
  <w:num w:numId="18">
    <w:abstractNumId w:val="7"/>
  </w:num>
  <w:num w:numId="19">
    <w:abstractNumId w:val="3"/>
  </w:num>
  <w:num w:numId="20">
    <w:abstractNumId w:val="3"/>
  </w:num>
  <w:num w:numId="2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stylePaneFormatFilter w:val="3F01"/>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B4757"/>
    <w:rsid w:val="00003147"/>
    <w:rsid w:val="00015818"/>
    <w:rsid w:val="00016421"/>
    <w:rsid w:val="000213A4"/>
    <w:rsid w:val="00025DB8"/>
    <w:rsid w:val="0003004D"/>
    <w:rsid w:val="000323E1"/>
    <w:rsid w:val="00034A09"/>
    <w:rsid w:val="000350D0"/>
    <w:rsid w:val="00035208"/>
    <w:rsid w:val="00040504"/>
    <w:rsid w:val="00042B66"/>
    <w:rsid w:val="00051253"/>
    <w:rsid w:val="00053025"/>
    <w:rsid w:val="00070459"/>
    <w:rsid w:val="000719D2"/>
    <w:rsid w:val="00080814"/>
    <w:rsid w:val="00083E2F"/>
    <w:rsid w:val="000845CB"/>
    <w:rsid w:val="00084D80"/>
    <w:rsid w:val="000903B9"/>
    <w:rsid w:val="000C6F5A"/>
    <w:rsid w:val="000D602D"/>
    <w:rsid w:val="000F1327"/>
    <w:rsid w:val="000F6F56"/>
    <w:rsid w:val="0010495D"/>
    <w:rsid w:val="00111BD3"/>
    <w:rsid w:val="00112513"/>
    <w:rsid w:val="00116FA7"/>
    <w:rsid w:val="001350EB"/>
    <w:rsid w:val="00140974"/>
    <w:rsid w:val="00140EAB"/>
    <w:rsid w:val="0014763C"/>
    <w:rsid w:val="00153D11"/>
    <w:rsid w:val="00154548"/>
    <w:rsid w:val="00154701"/>
    <w:rsid w:val="00155D3F"/>
    <w:rsid w:val="00157E28"/>
    <w:rsid w:val="00164DE3"/>
    <w:rsid w:val="00165133"/>
    <w:rsid w:val="00166BD6"/>
    <w:rsid w:val="00170387"/>
    <w:rsid w:val="00172F7F"/>
    <w:rsid w:val="00173FD0"/>
    <w:rsid w:val="00175807"/>
    <w:rsid w:val="0018114F"/>
    <w:rsid w:val="0018643F"/>
    <w:rsid w:val="00191DDC"/>
    <w:rsid w:val="001A48DA"/>
    <w:rsid w:val="001C2055"/>
    <w:rsid w:val="001C2418"/>
    <w:rsid w:val="001C284A"/>
    <w:rsid w:val="001C4FB5"/>
    <w:rsid w:val="001C580C"/>
    <w:rsid w:val="001D2903"/>
    <w:rsid w:val="001D6D62"/>
    <w:rsid w:val="001E7651"/>
    <w:rsid w:val="001F3FFC"/>
    <w:rsid w:val="001F7294"/>
    <w:rsid w:val="0021723D"/>
    <w:rsid w:val="002241C7"/>
    <w:rsid w:val="002243D7"/>
    <w:rsid w:val="00224DFB"/>
    <w:rsid w:val="00231CB5"/>
    <w:rsid w:val="00235B16"/>
    <w:rsid w:val="00237C25"/>
    <w:rsid w:val="00250DCE"/>
    <w:rsid w:val="00254174"/>
    <w:rsid w:val="00254559"/>
    <w:rsid w:val="002545D3"/>
    <w:rsid w:val="00257C10"/>
    <w:rsid w:val="00260953"/>
    <w:rsid w:val="00266A16"/>
    <w:rsid w:val="00266C23"/>
    <w:rsid w:val="00291343"/>
    <w:rsid w:val="00291509"/>
    <w:rsid w:val="002B04CC"/>
    <w:rsid w:val="002B2F47"/>
    <w:rsid w:val="002C46D5"/>
    <w:rsid w:val="002C7917"/>
    <w:rsid w:val="002D2F13"/>
    <w:rsid w:val="002D5923"/>
    <w:rsid w:val="002D5B5B"/>
    <w:rsid w:val="002E2599"/>
    <w:rsid w:val="002E3337"/>
    <w:rsid w:val="002E6AF5"/>
    <w:rsid w:val="002F1020"/>
    <w:rsid w:val="002F12EF"/>
    <w:rsid w:val="002F3C0C"/>
    <w:rsid w:val="00321619"/>
    <w:rsid w:val="00321DF7"/>
    <w:rsid w:val="00340A6B"/>
    <w:rsid w:val="00346C62"/>
    <w:rsid w:val="0035024B"/>
    <w:rsid w:val="003506EC"/>
    <w:rsid w:val="00350B82"/>
    <w:rsid w:val="00353241"/>
    <w:rsid w:val="00356A57"/>
    <w:rsid w:val="0036264E"/>
    <w:rsid w:val="003630E0"/>
    <w:rsid w:val="00370BF9"/>
    <w:rsid w:val="003735BD"/>
    <w:rsid w:val="00392F40"/>
    <w:rsid w:val="003A1748"/>
    <w:rsid w:val="003A32A5"/>
    <w:rsid w:val="003A4A80"/>
    <w:rsid w:val="003B032F"/>
    <w:rsid w:val="003B2125"/>
    <w:rsid w:val="003C4AD6"/>
    <w:rsid w:val="003D3683"/>
    <w:rsid w:val="003D5F96"/>
    <w:rsid w:val="003E0F6F"/>
    <w:rsid w:val="003F0509"/>
    <w:rsid w:val="003F5906"/>
    <w:rsid w:val="00401FFC"/>
    <w:rsid w:val="00404A53"/>
    <w:rsid w:val="00406FB3"/>
    <w:rsid w:val="004076F2"/>
    <w:rsid w:val="00407C37"/>
    <w:rsid w:val="0041228F"/>
    <w:rsid w:val="00413E5E"/>
    <w:rsid w:val="00414620"/>
    <w:rsid w:val="004258FF"/>
    <w:rsid w:val="00431C87"/>
    <w:rsid w:val="00435839"/>
    <w:rsid w:val="004367A9"/>
    <w:rsid w:val="00437A5F"/>
    <w:rsid w:val="00447348"/>
    <w:rsid w:val="00455468"/>
    <w:rsid w:val="00456108"/>
    <w:rsid w:val="00472E76"/>
    <w:rsid w:val="00474A9A"/>
    <w:rsid w:val="00475D72"/>
    <w:rsid w:val="004768C5"/>
    <w:rsid w:val="00486534"/>
    <w:rsid w:val="004A2259"/>
    <w:rsid w:val="004B1408"/>
    <w:rsid w:val="004B3779"/>
    <w:rsid w:val="004C0AD3"/>
    <w:rsid w:val="004C3DC1"/>
    <w:rsid w:val="004D0AA5"/>
    <w:rsid w:val="004D3A62"/>
    <w:rsid w:val="004E1EAD"/>
    <w:rsid w:val="004E4F1D"/>
    <w:rsid w:val="00511FEE"/>
    <w:rsid w:val="00513653"/>
    <w:rsid w:val="00514714"/>
    <w:rsid w:val="0051648F"/>
    <w:rsid w:val="00522074"/>
    <w:rsid w:val="00530E5E"/>
    <w:rsid w:val="00534317"/>
    <w:rsid w:val="00534764"/>
    <w:rsid w:val="00534849"/>
    <w:rsid w:val="00534B25"/>
    <w:rsid w:val="00543892"/>
    <w:rsid w:val="00553E28"/>
    <w:rsid w:val="00560C76"/>
    <w:rsid w:val="00564045"/>
    <w:rsid w:val="005642A6"/>
    <w:rsid w:val="00565598"/>
    <w:rsid w:val="00565F1E"/>
    <w:rsid w:val="0058326C"/>
    <w:rsid w:val="005875B8"/>
    <w:rsid w:val="00593A85"/>
    <w:rsid w:val="005A014B"/>
    <w:rsid w:val="005A7A8A"/>
    <w:rsid w:val="005C51B5"/>
    <w:rsid w:val="005D1851"/>
    <w:rsid w:val="005D77CF"/>
    <w:rsid w:val="005E6E25"/>
    <w:rsid w:val="005F2978"/>
    <w:rsid w:val="005F5378"/>
    <w:rsid w:val="005F5CD1"/>
    <w:rsid w:val="006054D1"/>
    <w:rsid w:val="00610AD7"/>
    <w:rsid w:val="0063266C"/>
    <w:rsid w:val="00634E7F"/>
    <w:rsid w:val="00643851"/>
    <w:rsid w:val="00653043"/>
    <w:rsid w:val="0065448B"/>
    <w:rsid w:val="0067018D"/>
    <w:rsid w:val="00674AD4"/>
    <w:rsid w:val="0068445C"/>
    <w:rsid w:val="00693980"/>
    <w:rsid w:val="00694E5D"/>
    <w:rsid w:val="0069616C"/>
    <w:rsid w:val="006B3892"/>
    <w:rsid w:val="006B42DA"/>
    <w:rsid w:val="006C06BB"/>
    <w:rsid w:val="006C2066"/>
    <w:rsid w:val="006C2926"/>
    <w:rsid w:val="006D2180"/>
    <w:rsid w:val="006D2B2A"/>
    <w:rsid w:val="006E040D"/>
    <w:rsid w:val="006E1A92"/>
    <w:rsid w:val="006E1B9A"/>
    <w:rsid w:val="006E23A1"/>
    <w:rsid w:val="006E464A"/>
    <w:rsid w:val="006E4DC7"/>
    <w:rsid w:val="006E5C90"/>
    <w:rsid w:val="006E5EC6"/>
    <w:rsid w:val="006F5221"/>
    <w:rsid w:val="007004A3"/>
    <w:rsid w:val="00701254"/>
    <w:rsid w:val="00702840"/>
    <w:rsid w:val="00704F2F"/>
    <w:rsid w:val="0071729E"/>
    <w:rsid w:val="00726568"/>
    <w:rsid w:val="00730E9D"/>
    <w:rsid w:val="00731842"/>
    <w:rsid w:val="00737525"/>
    <w:rsid w:val="007413F7"/>
    <w:rsid w:val="0074587A"/>
    <w:rsid w:val="00752DEB"/>
    <w:rsid w:val="00756B99"/>
    <w:rsid w:val="0076180A"/>
    <w:rsid w:val="007656AA"/>
    <w:rsid w:val="00765AAE"/>
    <w:rsid w:val="007757E6"/>
    <w:rsid w:val="00775CB4"/>
    <w:rsid w:val="00776269"/>
    <w:rsid w:val="007801D3"/>
    <w:rsid w:val="00796325"/>
    <w:rsid w:val="007A3730"/>
    <w:rsid w:val="007B3179"/>
    <w:rsid w:val="007B3BB2"/>
    <w:rsid w:val="007B3BF8"/>
    <w:rsid w:val="007B3CDA"/>
    <w:rsid w:val="007B4757"/>
    <w:rsid w:val="007B6D20"/>
    <w:rsid w:val="007D3C6F"/>
    <w:rsid w:val="007E6FE3"/>
    <w:rsid w:val="007F6D17"/>
    <w:rsid w:val="00800F86"/>
    <w:rsid w:val="0080100B"/>
    <w:rsid w:val="008109C6"/>
    <w:rsid w:val="00810B9C"/>
    <w:rsid w:val="008125B5"/>
    <w:rsid w:val="00817CE8"/>
    <w:rsid w:val="00822803"/>
    <w:rsid w:val="00822C18"/>
    <w:rsid w:val="00825EFB"/>
    <w:rsid w:val="00832090"/>
    <w:rsid w:val="008342C3"/>
    <w:rsid w:val="0084739D"/>
    <w:rsid w:val="00847E18"/>
    <w:rsid w:val="00854003"/>
    <w:rsid w:val="0086029B"/>
    <w:rsid w:val="00864547"/>
    <w:rsid w:val="0086464E"/>
    <w:rsid w:val="0086711F"/>
    <w:rsid w:val="00867D93"/>
    <w:rsid w:val="0087677F"/>
    <w:rsid w:val="008828AA"/>
    <w:rsid w:val="008913D4"/>
    <w:rsid w:val="00891FE9"/>
    <w:rsid w:val="00895B06"/>
    <w:rsid w:val="00897AF1"/>
    <w:rsid w:val="008B0FBF"/>
    <w:rsid w:val="008C431B"/>
    <w:rsid w:val="008C519F"/>
    <w:rsid w:val="008C769E"/>
    <w:rsid w:val="008D0105"/>
    <w:rsid w:val="008D081C"/>
    <w:rsid w:val="008D245D"/>
    <w:rsid w:val="008D4231"/>
    <w:rsid w:val="008E1C61"/>
    <w:rsid w:val="008E1DD3"/>
    <w:rsid w:val="008F294E"/>
    <w:rsid w:val="008F3FF8"/>
    <w:rsid w:val="008F7EC3"/>
    <w:rsid w:val="00900F06"/>
    <w:rsid w:val="00906982"/>
    <w:rsid w:val="0091309F"/>
    <w:rsid w:val="00916432"/>
    <w:rsid w:val="00922493"/>
    <w:rsid w:val="0092548F"/>
    <w:rsid w:val="00930F91"/>
    <w:rsid w:val="00931A34"/>
    <w:rsid w:val="00933AA2"/>
    <w:rsid w:val="00934371"/>
    <w:rsid w:val="009356C8"/>
    <w:rsid w:val="00936D8A"/>
    <w:rsid w:val="00941912"/>
    <w:rsid w:val="0095481D"/>
    <w:rsid w:val="009628BC"/>
    <w:rsid w:val="00963C20"/>
    <w:rsid w:val="0096461D"/>
    <w:rsid w:val="00971995"/>
    <w:rsid w:val="00974D83"/>
    <w:rsid w:val="00977CBF"/>
    <w:rsid w:val="009814EE"/>
    <w:rsid w:val="00983E6A"/>
    <w:rsid w:val="00984C29"/>
    <w:rsid w:val="0098621D"/>
    <w:rsid w:val="009916F2"/>
    <w:rsid w:val="009A2048"/>
    <w:rsid w:val="009A62C4"/>
    <w:rsid w:val="009B4812"/>
    <w:rsid w:val="009B6A8B"/>
    <w:rsid w:val="009B7A58"/>
    <w:rsid w:val="009C17AD"/>
    <w:rsid w:val="009D235F"/>
    <w:rsid w:val="009D57BA"/>
    <w:rsid w:val="009E1732"/>
    <w:rsid w:val="009E406A"/>
    <w:rsid w:val="009E48BA"/>
    <w:rsid w:val="009F6689"/>
    <w:rsid w:val="00A04808"/>
    <w:rsid w:val="00A21328"/>
    <w:rsid w:val="00A336C0"/>
    <w:rsid w:val="00A40CD4"/>
    <w:rsid w:val="00A54E7C"/>
    <w:rsid w:val="00A63870"/>
    <w:rsid w:val="00A70A74"/>
    <w:rsid w:val="00A8111B"/>
    <w:rsid w:val="00A87CF4"/>
    <w:rsid w:val="00AA2C99"/>
    <w:rsid w:val="00AB0B4D"/>
    <w:rsid w:val="00AE33D7"/>
    <w:rsid w:val="00AE5C00"/>
    <w:rsid w:val="00AF3C90"/>
    <w:rsid w:val="00AF6B2B"/>
    <w:rsid w:val="00B033EE"/>
    <w:rsid w:val="00B034BA"/>
    <w:rsid w:val="00B06CA4"/>
    <w:rsid w:val="00B10B1B"/>
    <w:rsid w:val="00B12EE7"/>
    <w:rsid w:val="00B218A3"/>
    <w:rsid w:val="00B22FE5"/>
    <w:rsid w:val="00B24000"/>
    <w:rsid w:val="00B31212"/>
    <w:rsid w:val="00B355B7"/>
    <w:rsid w:val="00B4764D"/>
    <w:rsid w:val="00B50251"/>
    <w:rsid w:val="00B54181"/>
    <w:rsid w:val="00B570A8"/>
    <w:rsid w:val="00B625F3"/>
    <w:rsid w:val="00B62650"/>
    <w:rsid w:val="00B65903"/>
    <w:rsid w:val="00B71415"/>
    <w:rsid w:val="00B726F3"/>
    <w:rsid w:val="00B8583F"/>
    <w:rsid w:val="00BA0959"/>
    <w:rsid w:val="00BA2562"/>
    <w:rsid w:val="00BA5E29"/>
    <w:rsid w:val="00BA60A2"/>
    <w:rsid w:val="00BA68E3"/>
    <w:rsid w:val="00BA733F"/>
    <w:rsid w:val="00BD4CF8"/>
    <w:rsid w:val="00BE2FE3"/>
    <w:rsid w:val="00BE3444"/>
    <w:rsid w:val="00BF2829"/>
    <w:rsid w:val="00BF736D"/>
    <w:rsid w:val="00C04DF9"/>
    <w:rsid w:val="00C127FD"/>
    <w:rsid w:val="00C36853"/>
    <w:rsid w:val="00C3737A"/>
    <w:rsid w:val="00C41BBE"/>
    <w:rsid w:val="00C439CA"/>
    <w:rsid w:val="00C450A2"/>
    <w:rsid w:val="00C47BD9"/>
    <w:rsid w:val="00C56070"/>
    <w:rsid w:val="00C56CBF"/>
    <w:rsid w:val="00C57CB9"/>
    <w:rsid w:val="00C600B2"/>
    <w:rsid w:val="00C61B2E"/>
    <w:rsid w:val="00C74DFC"/>
    <w:rsid w:val="00C80726"/>
    <w:rsid w:val="00C80D30"/>
    <w:rsid w:val="00C810CC"/>
    <w:rsid w:val="00C8404C"/>
    <w:rsid w:val="00C87E26"/>
    <w:rsid w:val="00CB03EE"/>
    <w:rsid w:val="00CC0DF0"/>
    <w:rsid w:val="00CC4549"/>
    <w:rsid w:val="00CD7CEF"/>
    <w:rsid w:val="00CE13AA"/>
    <w:rsid w:val="00CE5B51"/>
    <w:rsid w:val="00CF613B"/>
    <w:rsid w:val="00D03019"/>
    <w:rsid w:val="00D2003D"/>
    <w:rsid w:val="00D30197"/>
    <w:rsid w:val="00D33BCE"/>
    <w:rsid w:val="00D3580B"/>
    <w:rsid w:val="00D40E89"/>
    <w:rsid w:val="00D52E81"/>
    <w:rsid w:val="00D53875"/>
    <w:rsid w:val="00D567B6"/>
    <w:rsid w:val="00D62C6D"/>
    <w:rsid w:val="00D64EF4"/>
    <w:rsid w:val="00D73705"/>
    <w:rsid w:val="00D73755"/>
    <w:rsid w:val="00D74656"/>
    <w:rsid w:val="00D748C3"/>
    <w:rsid w:val="00D75524"/>
    <w:rsid w:val="00D76CCA"/>
    <w:rsid w:val="00D84C13"/>
    <w:rsid w:val="00D84FE9"/>
    <w:rsid w:val="00D91613"/>
    <w:rsid w:val="00D921A9"/>
    <w:rsid w:val="00D9575D"/>
    <w:rsid w:val="00DA1D5C"/>
    <w:rsid w:val="00DB0193"/>
    <w:rsid w:val="00DB75AE"/>
    <w:rsid w:val="00DB79EF"/>
    <w:rsid w:val="00DC6F0A"/>
    <w:rsid w:val="00DD528D"/>
    <w:rsid w:val="00DE2D5D"/>
    <w:rsid w:val="00DE53DC"/>
    <w:rsid w:val="00DE54A9"/>
    <w:rsid w:val="00DE7101"/>
    <w:rsid w:val="00DF0522"/>
    <w:rsid w:val="00DF0E3A"/>
    <w:rsid w:val="00DF2E95"/>
    <w:rsid w:val="00DF7441"/>
    <w:rsid w:val="00DF7523"/>
    <w:rsid w:val="00E1660C"/>
    <w:rsid w:val="00E17075"/>
    <w:rsid w:val="00E17C14"/>
    <w:rsid w:val="00E303B5"/>
    <w:rsid w:val="00E305FF"/>
    <w:rsid w:val="00E35BBE"/>
    <w:rsid w:val="00E45512"/>
    <w:rsid w:val="00E46485"/>
    <w:rsid w:val="00E53000"/>
    <w:rsid w:val="00E758C2"/>
    <w:rsid w:val="00E8049B"/>
    <w:rsid w:val="00E81EB0"/>
    <w:rsid w:val="00E8419D"/>
    <w:rsid w:val="00E845CD"/>
    <w:rsid w:val="00E90D73"/>
    <w:rsid w:val="00EA0561"/>
    <w:rsid w:val="00EA408D"/>
    <w:rsid w:val="00EA68DC"/>
    <w:rsid w:val="00EA7A5C"/>
    <w:rsid w:val="00EB79B0"/>
    <w:rsid w:val="00EB7DE4"/>
    <w:rsid w:val="00ED3AE9"/>
    <w:rsid w:val="00ED777C"/>
    <w:rsid w:val="00ED7ADB"/>
    <w:rsid w:val="00EE2D78"/>
    <w:rsid w:val="00EE2E36"/>
    <w:rsid w:val="00EE5DF8"/>
    <w:rsid w:val="00EF63BC"/>
    <w:rsid w:val="00EF727D"/>
    <w:rsid w:val="00F00C6F"/>
    <w:rsid w:val="00F01D82"/>
    <w:rsid w:val="00F01E27"/>
    <w:rsid w:val="00F04D10"/>
    <w:rsid w:val="00F07972"/>
    <w:rsid w:val="00F07CF6"/>
    <w:rsid w:val="00F14434"/>
    <w:rsid w:val="00F220AE"/>
    <w:rsid w:val="00F24293"/>
    <w:rsid w:val="00F31319"/>
    <w:rsid w:val="00F363E5"/>
    <w:rsid w:val="00F52018"/>
    <w:rsid w:val="00F577D7"/>
    <w:rsid w:val="00F60D85"/>
    <w:rsid w:val="00F61A64"/>
    <w:rsid w:val="00F623BD"/>
    <w:rsid w:val="00F62AC2"/>
    <w:rsid w:val="00F66574"/>
    <w:rsid w:val="00F67044"/>
    <w:rsid w:val="00F80858"/>
    <w:rsid w:val="00F82BAC"/>
    <w:rsid w:val="00F84324"/>
    <w:rsid w:val="00F863A4"/>
    <w:rsid w:val="00F86540"/>
    <w:rsid w:val="00F91C9C"/>
    <w:rsid w:val="00FA2AA6"/>
    <w:rsid w:val="00FA5C6B"/>
    <w:rsid w:val="00FA6FA7"/>
    <w:rsid w:val="00FA7F30"/>
    <w:rsid w:val="00FA7FCB"/>
    <w:rsid w:val="00FB0A27"/>
    <w:rsid w:val="00FC3631"/>
    <w:rsid w:val="00FC7A7E"/>
    <w:rsid w:val="00FD6602"/>
    <w:rsid w:val="00FE606F"/>
    <w:rsid w:val="00FE69A8"/>
    <w:rsid w:val="00FE762D"/>
    <w:rsid w:val="00FE7BCB"/>
    <w:rsid w:val="00FF0EE9"/>
    <w:rsid w:val="00FF474A"/>
    <w:rsid w:val="00FF4E40"/>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461D"/>
    <w:rPr>
      <w:rFonts w:ascii="Arial" w:hAnsi="Arial"/>
      <w:lang w:val="de-DE" w:eastAsia="de-DE"/>
    </w:rPr>
  </w:style>
  <w:style w:type="paragraph" w:styleId="Heading1">
    <w:name w:val="heading 1"/>
    <w:basedOn w:val="Normal"/>
    <w:next w:val="Normal"/>
    <w:link w:val="Heading1Char"/>
    <w:uiPriority w:val="99"/>
    <w:qFormat/>
    <w:rsid w:val="00B218A3"/>
    <w:pPr>
      <w:keepNext/>
      <w:spacing w:before="240" w:after="60"/>
      <w:outlineLvl w:val="0"/>
    </w:pPr>
    <w:rPr>
      <w:rFonts w:cs="Arial"/>
      <w:b/>
      <w:bCs/>
      <w:kern w:val="32"/>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27DA"/>
    <w:rPr>
      <w:rFonts w:asciiTheme="majorHAnsi" w:eastAsiaTheme="majorEastAsia" w:hAnsiTheme="majorHAnsi" w:cstheme="majorBidi"/>
      <w:b/>
      <w:bCs/>
      <w:kern w:val="32"/>
      <w:sz w:val="32"/>
      <w:szCs w:val="32"/>
      <w:lang w:val="de-DE" w:eastAsia="de-DE"/>
    </w:rPr>
  </w:style>
  <w:style w:type="paragraph" w:styleId="BalloonText">
    <w:name w:val="Balloon Text"/>
    <w:basedOn w:val="Normal"/>
    <w:link w:val="BalloonTextChar"/>
    <w:uiPriority w:val="99"/>
    <w:semiHidden/>
    <w:rsid w:val="00FC3631"/>
    <w:rPr>
      <w:rFonts w:ascii="Tahoma" w:hAnsi="Tahoma" w:cs="Tahoma"/>
      <w:sz w:val="16"/>
      <w:szCs w:val="16"/>
    </w:rPr>
  </w:style>
  <w:style w:type="character" w:customStyle="1" w:styleId="BalloonTextChar">
    <w:name w:val="Balloon Text Char"/>
    <w:basedOn w:val="DefaultParagraphFont"/>
    <w:link w:val="BalloonText"/>
    <w:uiPriority w:val="99"/>
    <w:semiHidden/>
    <w:rsid w:val="00D427DA"/>
    <w:rPr>
      <w:sz w:val="0"/>
      <w:szCs w:val="0"/>
      <w:lang w:val="de-DE" w:eastAsia="de-DE"/>
    </w:rPr>
  </w:style>
  <w:style w:type="character" w:styleId="CommentReference">
    <w:name w:val="annotation reference"/>
    <w:basedOn w:val="DefaultParagraphFont"/>
    <w:uiPriority w:val="99"/>
    <w:semiHidden/>
    <w:rsid w:val="002241C7"/>
    <w:rPr>
      <w:rFonts w:cs="Times New Roman"/>
      <w:sz w:val="16"/>
      <w:szCs w:val="16"/>
    </w:rPr>
  </w:style>
  <w:style w:type="paragraph" w:styleId="CommentText">
    <w:name w:val="annotation text"/>
    <w:basedOn w:val="Normal"/>
    <w:link w:val="CommentTextChar"/>
    <w:uiPriority w:val="99"/>
    <w:semiHidden/>
    <w:rsid w:val="002241C7"/>
    <w:rPr>
      <w:sz w:val="20"/>
      <w:szCs w:val="20"/>
    </w:rPr>
  </w:style>
  <w:style w:type="character" w:customStyle="1" w:styleId="CommentTextChar">
    <w:name w:val="Comment Text Char"/>
    <w:basedOn w:val="DefaultParagraphFont"/>
    <w:link w:val="CommentText"/>
    <w:uiPriority w:val="99"/>
    <w:semiHidden/>
    <w:rsid w:val="00D427DA"/>
    <w:rPr>
      <w:rFonts w:ascii="Arial" w:hAnsi="Arial"/>
      <w:sz w:val="20"/>
      <w:szCs w:val="20"/>
      <w:lang w:val="de-DE" w:eastAsia="de-DE"/>
    </w:rPr>
  </w:style>
  <w:style w:type="paragraph" w:customStyle="1" w:styleId="Default">
    <w:name w:val="Default"/>
    <w:uiPriority w:val="99"/>
    <w:rsid w:val="002241C7"/>
    <w:pPr>
      <w:autoSpaceDE w:val="0"/>
      <w:autoSpaceDN w:val="0"/>
      <w:adjustRightInd w:val="0"/>
    </w:pPr>
    <w:rPr>
      <w:color w:val="000000"/>
      <w:sz w:val="24"/>
      <w:szCs w:val="24"/>
    </w:rPr>
  </w:style>
  <w:style w:type="paragraph" w:customStyle="1" w:styleId="Header1">
    <w:name w:val="Header1"/>
    <w:basedOn w:val="Header"/>
    <w:uiPriority w:val="99"/>
    <w:rsid w:val="0096461D"/>
    <w:rPr>
      <w:b/>
      <w:szCs w:val="20"/>
      <w:lang w:val="nb-NO"/>
    </w:rPr>
  </w:style>
  <w:style w:type="paragraph" w:customStyle="1" w:styleId="Header11">
    <w:name w:val="Header11"/>
    <w:basedOn w:val="Header"/>
    <w:link w:val="HeaderZchnZchn"/>
    <w:uiPriority w:val="99"/>
    <w:rsid w:val="0096461D"/>
    <w:pPr>
      <w:spacing w:before="60"/>
    </w:pPr>
    <w:rPr>
      <w:b/>
      <w:szCs w:val="20"/>
      <w:lang w:val="nb-NO"/>
    </w:rPr>
  </w:style>
  <w:style w:type="character" w:customStyle="1" w:styleId="HeaderZchnZchn">
    <w:name w:val="Header Zchn Zchn"/>
    <w:link w:val="Header11"/>
    <w:uiPriority w:val="99"/>
    <w:locked/>
    <w:rsid w:val="0096461D"/>
    <w:rPr>
      <w:rFonts w:ascii="Arial" w:hAnsi="Arial"/>
      <w:b/>
      <w:sz w:val="22"/>
      <w:lang w:val="nb-NO" w:eastAsia="de-DE"/>
    </w:rPr>
  </w:style>
  <w:style w:type="paragraph" w:styleId="Header">
    <w:name w:val="header"/>
    <w:basedOn w:val="Normal"/>
    <w:link w:val="HeaderChar"/>
    <w:uiPriority w:val="99"/>
    <w:rsid w:val="0096461D"/>
    <w:pPr>
      <w:tabs>
        <w:tab w:val="center" w:pos="4536"/>
        <w:tab w:val="right" w:pos="9072"/>
      </w:tabs>
    </w:pPr>
  </w:style>
  <w:style w:type="character" w:customStyle="1" w:styleId="HeaderChar">
    <w:name w:val="Header Char"/>
    <w:basedOn w:val="DefaultParagraphFont"/>
    <w:link w:val="Header"/>
    <w:uiPriority w:val="99"/>
    <w:semiHidden/>
    <w:rsid w:val="00D427DA"/>
    <w:rPr>
      <w:rFonts w:ascii="Arial" w:hAnsi="Arial"/>
      <w:lang w:val="de-DE" w:eastAsia="de-DE"/>
    </w:rPr>
  </w:style>
  <w:style w:type="paragraph" w:styleId="FootnoteText">
    <w:name w:val="footnote text"/>
    <w:basedOn w:val="Normal"/>
    <w:link w:val="FootnoteTextChar"/>
    <w:uiPriority w:val="99"/>
    <w:semiHidden/>
    <w:rsid w:val="00F04D10"/>
    <w:rPr>
      <w:sz w:val="20"/>
      <w:szCs w:val="20"/>
    </w:rPr>
  </w:style>
  <w:style w:type="character" w:customStyle="1" w:styleId="FootnoteTextChar">
    <w:name w:val="Footnote Text Char"/>
    <w:basedOn w:val="DefaultParagraphFont"/>
    <w:link w:val="FootnoteText"/>
    <w:uiPriority w:val="99"/>
    <w:semiHidden/>
    <w:rsid w:val="00D427DA"/>
    <w:rPr>
      <w:rFonts w:ascii="Arial" w:hAnsi="Arial"/>
      <w:sz w:val="20"/>
      <w:szCs w:val="20"/>
      <w:lang w:val="de-DE" w:eastAsia="de-DE"/>
    </w:rPr>
  </w:style>
  <w:style w:type="character" w:styleId="FootnoteReference">
    <w:name w:val="footnote reference"/>
    <w:basedOn w:val="DefaultParagraphFont"/>
    <w:uiPriority w:val="99"/>
    <w:semiHidden/>
    <w:rsid w:val="00F04D10"/>
    <w:rPr>
      <w:rFonts w:cs="Times New Roman"/>
      <w:vertAlign w:val="superscript"/>
    </w:rPr>
  </w:style>
  <w:style w:type="paragraph" w:styleId="ListParagraph">
    <w:name w:val="List Paragraph"/>
    <w:basedOn w:val="Normal"/>
    <w:uiPriority w:val="99"/>
    <w:qFormat/>
    <w:rsid w:val="00B8583F"/>
    <w:pPr>
      <w:ind w:left="720"/>
      <w:contextualSpacing/>
    </w:pPr>
  </w:style>
  <w:style w:type="paragraph" w:styleId="NormalWeb">
    <w:name w:val="Normal (Web)"/>
    <w:basedOn w:val="Normal"/>
    <w:uiPriority w:val="99"/>
    <w:semiHidden/>
    <w:rsid w:val="00FA5C6B"/>
    <w:pPr>
      <w:spacing w:before="100" w:beforeAutospacing="1" w:after="100" w:afterAutospacing="1"/>
    </w:pPr>
    <w:rPr>
      <w:rFonts w:ascii="Times New Roman" w:hAnsi="Times New Roman"/>
      <w:sz w:val="24"/>
      <w:szCs w:val="24"/>
      <w:lang w:val="sv-SE" w:eastAsia="sv-SE"/>
    </w:rPr>
  </w:style>
</w:styles>
</file>

<file path=word/webSettings.xml><?xml version="1.0" encoding="utf-8"?>
<w:webSettings xmlns:r="http://schemas.openxmlformats.org/officeDocument/2006/relationships" xmlns:w="http://schemas.openxmlformats.org/wordprocessingml/2006/main">
  <w:divs>
    <w:div w:id="13651958">
      <w:marLeft w:val="0"/>
      <w:marRight w:val="0"/>
      <w:marTop w:val="0"/>
      <w:marBottom w:val="0"/>
      <w:divBdr>
        <w:top w:val="none" w:sz="0" w:space="0" w:color="auto"/>
        <w:left w:val="none" w:sz="0" w:space="0" w:color="auto"/>
        <w:bottom w:val="none" w:sz="0" w:space="0" w:color="auto"/>
        <w:right w:val="none" w:sz="0" w:space="0" w:color="auto"/>
      </w:divBdr>
      <w:divsChild>
        <w:div w:id="13651964">
          <w:marLeft w:val="0"/>
          <w:marRight w:val="0"/>
          <w:marTop w:val="58"/>
          <w:marBottom w:val="0"/>
          <w:divBdr>
            <w:top w:val="none" w:sz="0" w:space="0" w:color="auto"/>
            <w:left w:val="none" w:sz="0" w:space="0" w:color="auto"/>
            <w:bottom w:val="none" w:sz="0" w:space="0" w:color="auto"/>
            <w:right w:val="none" w:sz="0" w:space="0" w:color="auto"/>
          </w:divBdr>
        </w:div>
      </w:divsChild>
    </w:div>
    <w:div w:id="13651959">
      <w:marLeft w:val="0"/>
      <w:marRight w:val="0"/>
      <w:marTop w:val="0"/>
      <w:marBottom w:val="0"/>
      <w:divBdr>
        <w:top w:val="none" w:sz="0" w:space="0" w:color="auto"/>
        <w:left w:val="none" w:sz="0" w:space="0" w:color="auto"/>
        <w:bottom w:val="none" w:sz="0" w:space="0" w:color="auto"/>
        <w:right w:val="none" w:sz="0" w:space="0" w:color="auto"/>
      </w:divBdr>
    </w:div>
    <w:div w:id="13651960">
      <w:marLeft w:val="0"/>
      <w:marRight w:val="0"/>
      <w:marTop w:val="0"/>
      <w:marBottom w:val="0"/>
      <w:divBdr>
        <w:top w:val="none" w:sz="0" w:space="0" w:color="auto"/>
        <w:left w:val="none" w:sz="0" w:space="0" w:color="auto"/>
        <w:bottom w:val="none" w:sz="0" w:space="0" w:color="auto"/>
        <w:right w:val="none" w:sz="0" w:space="0" w:color="auto"/>
      </w:divBdr>
    </w:div>
    <w:div w:id="13651961">
      <w:marLeft w:val="0"/>
      <w:marRight w:val="0"/>
      <w:marTop w:val="0"/>
      <w:marBottom w:val="0"/>
      <w:divBdr>
        <w:top w:val="none" w:sz="0" w:space="0" w:color="auto"/>
        <w:left w:val="none" w:sz="0" w:space="0" w:color="auto"/>
        <w:bottom w:val="none" w:sz="0" w:space="0" w:color="auto"/>
        <w:right w:val="none" w:sz="0" w:space="0" w:color="auto"/>
      </w:divBdr>
    </w:div>
    <w:div w:id="13651962">
      <w:marLeft w:val="0"/>
      <w:marRight w:val="0"/>
      <w:marTop w:val="0"/>
      <w:marBottom w:val="0"/>
      <w:divBdr>
        <w:top w:val="none" w:sz="0" w:space="0" w:color="auto"/>
        <w:left w:val="none" w:sz="0" w:space="0" w:color="auto"/>
        <w:bottom w:val="none" w:sz="0" w:space="0" w:color="auto"/>
        <w:right w:val="none" w:sz="0" w:space="0" w:color="auto"/>
      </w:divBdr>
    </w:div>
    <w:div w:id="1365196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TotalTime>
  <Pages>5</Pages>
  <Words>2471</Words>
  <Characters>13320</Characters>
  <Application>Microsoft Office Outlook</Application>
  <DocSecurity>0</DocSecurity>
  <Lines>0</Lines>
  <Paragraphs>0</Paragraphs>
  <ScaleCrop>false</ScaleCrop>
  <Company>EADS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Cassidian Contribution for PT49</dc:title>
  <dc:subject/>
  <dc:creator>Force, Pierre</dc:creator>
  <cp:keywords/>
  <dc:description/>
  <cp:lastModifiedBy>Benoist Deschamps</cp:lastModifiedBy>
  <cp:revision>5</cp:revision>
  <cp:lastPrinted>2011-11-17T17:52:00Z</cp:lastPrinted>
  <dcterms:created xsi:type="dcterms:W3CDTF">2011-11-21T08:59:00Z</dcterms:created>
  <dcterms:modified xsi:type="dcterms:W3CDTF">2011-11-23T19:28:00Z</dcterms:modified>
</cp:coreProperties>
</file>