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2" w:type="dxa"/>
        <w:tblInd w:w="-34" w:type="dxa"/>
        <w:tblLayout w:type="fixed"/>
        <w:tblLook w:val="0000"/>
      </w:tblPr>
      <w:tblGrid>
        <w:gridCol w:w="42"/>
        <w:gridCol w:w="3500"/>
        <w:gridCol w:w="300"/>
        <w:gridCol w:w="1228"/>
        <w:gridCol w:w="472"/>
        <w:gridCol w:w="360"/>
        <w:gridCol w:w="1806"/>
        <w:gridCol w:w="2444"/>
      </w:tblGrid>
      <w:tr w:rsidR="00CF7720" w:rsidRPr="00D33BCE" w:rsidTr="004F580E">
        <w:tc>
          <w:tcPr>
            <w:tcW w:w="5070" w:type="dxa"/>
            <w:gridSpan w:val="4"/>
          </w:tcPr>
          <w:p w:rsidR="00CF7720" w:rsidRPr="00D33BCE" w:rsidRDefault="00CF7720" w:rsidP="004F580E">
            <w:pPr>
              <w:jc w:val="both"/>
              <w:rPr>
                <w:rFonts w:cs="Arial"/>
                <w:b/>
                <w:lang w:val="en-GB"/>
              </w:rPr>
            </w:pPr>
            <w:r w:rsidRPr="0087059A">
              <w:rPr>
                <w:b/>
                <w:caps/>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5.25pt;height:73.5pt;visibility:visible">
                  <v:imagedata r:id="rId7" o:title=""/>
                </v:shape>
              </w:pict>
            </w:r>
          </w:p>
        </w:tc>
        <w:tc>
          <w:tcPr>
            <w:tcW w:w="2638" w:type="dxa"/>
            <w:gridSpan w:val="3"/>
          </w:tcPr>
          <w:p w:rsidR="00CF7720" w:rsidRPr="00D33BCE" w:rsidRDefault="00CF7720" w:rsidP="004F580E">
            <w:pPr>
              <w:jc w:val="both"/>
              <w:rPr>
                <w:rFonts w:cs="Arial"/>
                <w:b/>
                <w:lang w:val="en-GB"/>
              </w:rPr>
            </w:pPr>
          </w:p>
          <w:p w:rsidR="00CF7720" w:rsidRPr="00D33BCE" w:rsidRDefault="00CF7720" w:rsidP="004F580E">
            <w:pPr>
              <w:jc w:val="both"/>
              <w:rPr>
                <w:rFonts w:cs="Arial"/>
                <w:b/>
                <w:lang w:val="en-GB"/>
              </w:rPr>
            </w:pPr>
          </w:p>
          <w:p w:rsidR="00CF7720" w:rsidRPr="00D33BCE" w:rsidRDefault="00CF7720" w:rsidP="004F580E">
            <w:pPr>
              <w:jc w:val="both"/>
              <w:rPr>
                <w:rFonts w:cs="Arial"/>
                <w:b/>
                <w:lang w:val="en-GB"/>
              </w:rPr>
            </w:pPr>
          </w:p>
          <w:p w:rsidR="00CF7720" w:rsidRPr="00D33BCE" w:rsidRDefault="00CF7720" w:rsidP="004F580E">
            <w:pPr>
              <w:jc w:val="both"/>
              <w:rPr>
                <w:rFonts w:cs="Arial"/>
                <w:b/>
                <w:lang w:val="en-GB"/>
              </w:rPr>
            </w:pPr>
          </w:p>
        </w:tc>
        <w:tc>
          <w:tcPr>
            <w:tcW w:w="1900" w:type="dxa"/>
          </w:tcPr>
          <w:p w:rsidR="00CF7720" w:rsidRPr="00D33BCE" w:rsidRDefault="00CF7720" w:rsidP="004F580E">
            <w:pPr>
              <w:jc w:val="right"/>
              <w:rPr>
                <w:rFonts w:cs="Arial"/>
                <w:b/>
                <w:lang w:val="en-GB"/>
              </w:rPr>
            </w:pPr>
            <w:r w:rsidRPr="00D33BCE">
              <w:rPr>
                <w:rFonts w:cs="Arial"/>
                <w:b/>
                <w:lang w:val="en-GB"/>
              </w:rPr>
              <w:t>FM50(11</w:t>
            </w:r>
            <w:r>
              <w:rPr>
                <w:rFonts w:cs="Arial"/>
                <w:b/>
                <w:lang w:val="en-GB"/>
              </w:rPr>
              <w:t>)070</w:t>
            </w:r>
          </w:p>
        </w:tc>
      </w:tr>
      <w:tr w:rsidR="00CF7720" w:rsidRPr="000328FF" w:rsidTr="004F580E">
        <w:tc>
          <w:tcPr>
            <w:tcW w:w="9608" w:type="dxa"/>
            <w:gridSpan w:val="8"/>
          </w:tcPr>
          <w:p w:rsidR="00CF7720" w:rsidRPr="000328FF" w:rsidRDefault="00CF7720" w:rsidP="004F580E">
            <w:pPr>
              <w:rPr>
                <w:rFonts w:cs="Arial"/>
                <w:b/>
                <w:bCs/>
                <w:lang w:val="en-GB"/>
              </w:rPr>
            </w:pPr>
          </w:p>
          <w:p w:rsidR="00CF7720" w:rsidRPr="000328FF" w:rsidRDefault="00CF7720" w:rsidP="004F580E">
            <w:pPr>
              <w:rPr>
                <w:rFonts w:cs="Arial"/>
                <w:b/>
                <w:bCs/>
                <w:lang w:val="en-GB"/>
              </w:rPr>
            </w:pPr>
            <w:r w:rsidRPr="000328FF">
              <w:rPr>
                <w:rFonts w:cs="Arial"/>
                <w:b/>
                <w:bCs/>
                <w:lang w:val="en-GB"/>
              </w:rPr>
              <w:t>3rd Meeting of FM PT 50</w:t>
            </w:r>
          </w:p>
        </w:tc>
      </w:tr>
      <w:tr w:rsidR="00CF7720" w:rsidRPr="00CF613B" w:rsidTr="004F580E">
        <w:trPr>
          <w:trHeight w:val="360"/>
        </w:trPr>
        <w:tc>
          <w:tcPr>
            <w:tcW w:w="9608" w:type="dxa"/>
            <w:gridSpan w:val="8"/>
          </w:tcPr>
          <w:p w:rsidR="00CF7720" w:rsidRPr="00CF613B" w:rsidRDefault="00CF7720" w:rsidP="004F580E">
            <w:pPr>
              <w:jc w:val="both"/>
              <w:rPr>
                <w:rFonts w:cs="Arial"/>
                <w:b/>
                <w:lang w:val="en-GB"/>
              </w:rPr>
            </w:pPr>
            <w:r>
              <w:rPr>
                <w:rFonts w:cs="Arial"/>
                <w:b/>
                <w:bCs/>
                <w:lang w:val="fi-FI"/>
              </w:rPr>
              <w:t xml:space="preserve">30th November - </w:t>
            </w:r>
            <w:r w:rsidRPr="00157E28">
              <w:rPr>
                <w:rFonts w:cs="Arial"/>
                <w:b/>
                <w:bCs/>
                <w:lang w:val="fi-FI"/>
              </w:rPr>
              <w:t>2nd December 2011, Helsinki, Finland</w:t>
            </w:r>
          </w:p>
        </w:tc>
      </w:tr>
      <w:tr w:rsidR="00CF7720" w:rsidRPr="000328FF" w:rsidTr="004F580E">
        <w:trPr>
          <w:cantSplit/>
          <w:trHeight w:val="1191"/>
        </w:trPr>
        <w:tc>
          <w:tcPr>
            <w:tcW w:w="9608" w:type="dxa"/>
            <w:gridSpan w:val="8"/>
          </w:tcPr>
          <w:p w:rsidR="00CF7720" w:rsidRPr="00CF613B" w:rsidRDefault="00CF7720" w:rsidP="004F580E">
            <w:pPr>
              <w:tabs>
                <w:tab w:val="left" w:pos="1582"/>
              </w:tabs>
              <w:jc w:val="both"/>
              <w:outlineLvl w:val="0"/>
              <w:rPr>
                <w:rFonts w:cs="Arial"/>
                <w:b/>
                <w:lang w:val="en-GB"/>
              </w:rPr>
            </w:pPr>
            <w:r w:rsidRPr="00CF613B">
              <w:rPr>
                <w:rFonts w:cs="Arial"/>
                <w:b/>
                <w:lang w:val="en-GB"/>
              </w:rPr>
              <w:t>Date issued:</w:t>
            </w:r>
            <w:r>
              <w:rPr>
                <w:rFonts w:cs="Arial"/>
                <w:b/>
                <w:lang w:val="en-GB"/>
              </w:rPr>
              <w:t xml:space="preserve"> 23 November 2011</w:t>
            </w:r>
          </w:p>
          <w:p w:rsidR="00CF7720" w:rsidRPr="00CF613B" w:rsidRDefault="00CF7720" w:rsidP="004F580E">
            <w:pPr>
              <w:tabs>
                <w:tab w:val="left" w:pos="1582"/>
              </w:tabs>
              <w:spacing w:before="120"/>
              <w:jc w:val="both"/>
              <w:outlineLvl w:val="0"/>
              <w:rPr>
                <w:rFonts w:cs="Arial"/>
                <w:b/>
                <w:lang w:val="en-GB"/>
              </w:rPr>
            </w:pPr>
            <w:r>
              <w:rPr>
                <w:rFonts w:cs="Arial"/>
                <w:b/>
                <w:lang w:val="en-GB"/>
              </w:rPr>
              <w:t xml:space="preserve">Source: </w:t>
            </w:r>
            <w:smartTag w:uri="urn:schemas-microsoft-com:office:smarttags" w:element="place">
              <w:smartTag w:uri="urn:schemas-microsoft-com:office:smarttags" w:element="country-region">
                <w:r>
                  <w:rPr>
                    <w:rFonts w:cs="Arial"/>
                    <w:b/>
                    <w:lang w:val="en-GB"/>
                  </w:rPr>
                  <w:t>Sweden</w:t>
                </w:r>
              </w:smartTag>
            </w:smartTag>
          </w:p>
          <w:p w:rsidR="00CF7720" w:rsidRPr="00CF613B" w:rsidRDefault="00CF7720" w:rsidP="006D1CF8">
            <w:pPr>
              <w:tabs>
                <w:tab w:val="left" w:pos="1571"/>
              </w:tabs>
              <w:spacing w:before="120" w:after="120"/>
              <w:jc w:val="both"/>
              <w:outlineLvl w:val="0"/>
              <w:rPr>
                <w:rFonts w:cs="Arial"/>
                <w:b/>
                <w:lang w:val="en-GB"/>
              </w:rPr>
            </w:pPr>
            <w:r>
              <w:rPr>
                <w:rFonts w:cs="Arial"/>
                <w:b/>
                <w:lang w:val="en-GB"/>
              </w:rPr>
              <w:t xml:space="preserve">Subject: </w:t>
            </w:r>
            <w:r w:rsidRPr="006D1CF8">
              <w:rPr>
                <w:rFonts w:cs="Arial"/>
                <w:b/>
                <w:lang w:val="en-GB"/>
              </w:rPr>
              <w:t>A technology and application neutral approach to the 1452-1492 MHz band</w:t>
            </w:r>
          </w:p>
        </w:tc>
      </w:tr>
      <w:tr w:rsidR="00CF7720" w:rsidRPr="00D33BCE" w:rsidTr="004F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42" w:type="dxa"/>
          <w:wAfter w:w="4250" w:type="dxa"/>
        </w:trPr>
        <w:tc>
          <w:tcPr>
            <w:tcW w:w="3500" w:type="dxa"/>
            <w:tcBorders>
              <w:top w:val="nil"/>
              <w:left w:val="nil"/>
              <w:bottom w:val="nil"/>
            </w:tcBorders>
          </w:tcPr>
          <w:p w:rsidR="00CF7720" w:rsidRPr="00D33BCE" w:rsidRDefault="00CF7720" w:rsidP="004F580E">
            <w:pPr>
              <w:tabs>
                <w:tab w:val="left" w:pos="2930"/>
              </w:tabs>
              <w:jc w:val="both"/>
              <w:rPr>
                <w:rFonts w:cs="Arial"/>
                <w:b/>
                <w:sz w:val="20"/>
                <w:lang w:val="en-GB"/>
              </w:rPr>
            </w:pPr>
            <w:r>
              <w:rPr>
                <w:rFonts w:cs="Arial"/>
                <w:b/>
                <w:lang w:val="en-GB"/>
              </w:rPr>
              <w:t>Password protected:</w:t>
            </w:r>
            <w:r>
              <w:rPr>
                <w:rFonts w:cs="Arial"/>
                <w:b/>
                <w:lang w:val="en-GB"/>
              </w:rPr>
              <w:tab/>
              <w:t>Y</w:t>
            </w:r>
            <w:r w:rsidRPr="00D33BCE">
              <w:rPr>
                <w:rFonts w:cs="Arial"/>
                <w:b/>
                <w:lang w:val="en-GB"/>
              </w:rPr>
              <w:t>es</w:t>
            </w:r>
          </w:p>
        </w:tc>
        <w:tc>
          <w:tcPr>
            <w:tcW w:w="300" w:type="dxa"/>
          </w:tcPr>
          <w:p w:rsidR="00CF7720" w:rsidRPr="00D33BCE" w:rsidRDefault="00CF7720" w:rsidP="004F580E">
            <w:pPr>
              <w:jc w:val="both"/>
              <w:rPr>
                <w:rFonts w:cs="Arial"/>
                <w:b/>
                <w:lang w:val="en-GB"/>
              </w:rPr>
            </w:pPr>
          </w:p>
        </w:tc>
        <w:tc>
          <w:tcPr>
            <w:tcW w:w="1700" w:type="dxa"/>
            <w:gridSpan w:val="2"/>
            <w:tcBorders>
              <w:top w:val="nil"/>
              <w:bottom w:val="nil"/>
            </w:tcBorders>
          </w:tcPr>
          <w:p w:rsidR="00CF7720" w:rsidRPr="00D33BCE" w:rsidRDefault="00CF7720" w:rsidP="004F580E">
            <w:pPr>
              <w:tabs>
                <w:tab w:val="left" w:pos="1130"/>
              </w:tabs>
              <w:jc w:val="both"/>
              <w:rPr>
                <w:rFonts w:cs="Arial"/>
                <w:b/>
                <w:lang w:val="en-GB"/>
              </w:rPr>
            </w:pPr>
            <w:r w:rsidRPr="00D33BCE">
              <w:rPr>
                <w:rFonts w:cs="Arial"/>
                <w:b/>
                <w:lang w:val="en-GB"/>
              </w:rPr>
              <w:tab/>
              <w:t>No</w:t>
            </w:r>
          </w:p>
        </w:tc>
        <w:tc>
          <w:tcPr>
            <w:tcW w:w="360" w:type="dxa"/>
          </w:tcPr>
          <w:p w:rsidR="00CF7720" w:rsidRPr="00D33BCE" w:rsidRDefault="00CF7720" w:rsidP="004F580E">
            <w:pPr>
              <w:jc w:val="both"/>
              <w:rPr>
                <w:rFonts w:cs="Arial"/>
                <w:b/>
                <w:lang w:val="en-GB"/>
              </w:rPr>
            </w:pPr>
            <w:r>
              <w:rPr>
                <w:rFonts w:cs="Arial"/>
                <w:b/>
                <w:lang w:val="en-GB"/>
              </w:rPr>
              <w:t>X</w:t>
            </w:r>
          </w:p>
        </w:tc>
      </w:tr>
    </w:tbl>
    <w:p w:rsidR="00CF7720" w:rsidRPr="00D33BCE" w:rsidRDefault="00CF7720"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CF7720" w:rsidRPr="000328FF">
        <w:tc>
          <w:tcPr>
            <w:tcW w:w="9600" w:type="dxa"/>
          </w:tcPr>
          <w:p w:rsidR="00CF7720" w:rsidRDefault="00CF7720" w:rsidP="007D18D3">
            <w:pPr>
              <w:pStyle w:val="Header1"/>
              <w:rPr>
                <w:rFonts w:cs="Arial"/>
                <w:lang w:val="en-GB"/>
              </w:rPr>
            </w:pPr>
          </w:p>
          <w:p w:rsidR="00CF7720" w:rsidRDefault="00CF7720" w:rsidP="007D18D3">
            <w:pPr>
              <w:pStyle w:val="Header1"/>
              <w:rPr>
                <w:b w:val="0"/>
                <w:szCs w:val="22"/>
                <w:lang w:val="en-GB"/>
              </w:rPr>
            </w:pPr>
            <w:r w:rsidRPr="00D33BCE">
              <w:rPr>
                <w:rFonts w:cs="Arial"/>
                <w:lang w:val="en-GB"/>
              </w:rPr>
              <w:t>Summary</w:t>
            </w:r>
          </w:p>
          <w:p w:rsidR="00CF7720" w:rsidRDefault="00CF7720" w:rsidP="007D18D3">
            <w:pPr>
              <w:pStyle w:val="Header1"/>
              <w:rPr>
                <w:b w:val="0"/>
                <w:szCs w:val="22"/>
                <w:lang w:val="en-GB"/>
              </w:rPr>
            </w:pPr>
            <w:r w:rsidRPr="007D18D3">
              <w:rPr>
                <w:b w:val="0"/>
                <w:szCs w:val="22"/>
                <w:lang w:val="en-GB"/>
              </w:rPr>
              <w:t>A technology and application neutral approach to the 1452-1492 MHz band gives the market the greatest flexibility in determining the use of the band. The Swedish position is that this will result in a, in many aspects, better outcome than reserving it for a specific use.</w:t>
            </w:r>
          </w:p>
          <w:p w:rsidR="00CF7720" w:rsidRPr="006D1CF8" w:rsidRDefault="00CF7720" w:rsidP="007D18D3">
            <w:pPr>
              <w:pStyle w:val="Header1"/>
              <w:rPr>
                <w:szCs w:val="22"/>
                <w:lang w:val="en-GB"/>
              </w:rPr>
            </w:pPr>
          </w:p>
        </w:tc>
      </w:tr>
      <w:tr w:rsidR="00CF7720" w:rsidRPr="000328FF" w:rsidTr="00EE3899">
        <w:tc>
          <w:tcPr>
            <w:tcW w:w="9600" w:type="dxa"/>
          </w:tcPr>
          <w:p w:rsidR="00CF7720" w:rsidRDefault="00CF7720" w:rsidP="006D1CF8">
            <w:pPr>
              <w:pStyle w:val="Header1"/>
              <w:rPr>
                <w:rFonts w:cs="Arial"/>
                <w:lang w:val="en-GB"/>
              </w:rPr>
            </w:pPr>
          </w:p>
          <w:p w:rsidR="00CF7720" w:rsidRPr="006D1CF8" w:rsidRDefault="00CF7720" w:rsidP="009922A2">
            <w:pPr>
              <w:pStyle w:val="Header1"/>
              <w:rPr>
                <w:szCs w:val="22"/>
                <w:lang w:val="en-GB"/>
              </w:rPr>
            </w:pPr>
            <w:r w:rsidRPr="00D33BCE">
              <w:rPr>
                <w:rFonts w:cs="Arial"/>
                <w:lang w:val="en-GB"/>
              </w:rPr>
              <w:t>Proposal</w:t>
            </w:r>
            <w:r>
              <w:rPr>
                <w:rFonts w:cs="Arial"/>
                <w:lang w:val="en-GB"/>
              </w:rPr>
              <w:br/>
            </w:r>
            <w:r w:rsidRPr="009922A2">
              <w:rPr>
                <w:b w:val="0"/>
                <w:szCs w:val="22"/>
                <w:lang w:val="en-GB"/>
              </w:rPr>
              <w:t>FM PT 50 is invited to take into account the principle of technology and application neutrality and thoroughly consider it in its further impact assessment.</w:t>
            </w:r>
          </w:p>
          <w:p w:rsidR="00CF7720" w:rsidRDefault="00CF7720" w:rsidP="00EE3899">
            <w:pPr>
              <w:keepNext/>
              <w:spacing w:line="276" w:lineRule="auto"/>
              <w:outlineLvl w:val="2"/>
              <w:rPr>
                <w:rFonts w:ascii="Arial" w:hAnsi="Arial" w:cs="Arial"/>
                <w:sz w:val="20"/>
                <w:szCs w:val="20"/>
                <w:lang w:val="en-GB" w:eastAsia="de-DE"/>
              </w:rPr>
            </w:pPr>
          </w:p>
        </w:tc>
      </w:tr>
      <w:tr w:rsidR="00CF7720" w:rsidRPr="000328FF" w:rsidTr="00EE3899">
        <w:tc>
          <w:tcPr>
            <w:tcW w:w="9600" w:type="dxa"/>
          </w:tcPr>
          <w:p w:rsidR="00CF7720" w:rsidRDefault="00CF7720" w:rsidP="007D18D3">
            <w:pPr>
              <w:pStyle w:val="Header1"/>
              <w:rPr>
                <w:rFonts w:cs="Arial"/>
                <w:lang w:val="en-GB"/>
              </w:rPr>
            </w:pPr>
          </w:p>
          <w:p w:rsidR="00CF7720" w:rsidRPr="007D18D3" w:rsidRDefault="00CF7720" w:rsidP="007D18D3">
            <w:pPr>
              <w:pStyle w:val="Header1"/>
              <w:rPr>
                <w:rFonts w:cs="Arial"/>
                <w:lang w:val="en-GB"/>
              </w:rPr>
            </w:pPr>
            <w:r w:rsidRPr="007D18D3">
              <w:rPr>
                <w:rFonts w:cs="Arial"/>
                <w:lang w:val="en-GB"/>
              </w:rPr>
              <w:t>Background</w:t>
            </w:r>
          </w:p>
          <w:p w:rsidR="00CF7720" w:rsidRPr="007D18D3" w:rsidRDefault="00CF7720" w:rsidP="007D18D3">
            <w:pPr>
              <w:pStyle w:val="Header1"/>
              <w:rPr>
                <w:rFonts w:cs="Arial"/>
                <w:b w:val="0"/>
                <w:lang w:val="en-GB"/>
              </w:rPr>
            </w:pPr>
            <w:r w:rsidRPr="007D18D3">
              <w:rPr>
                <w:rFonts w:cs="Arial"/>
                <w:b w:val="0"/>
                <w:lang w:val="en-GB"/>
              </w:rPr>
              <w:t>At the first meeting of FM</w:t>
            </w:r>
            <w:r>
              <w:rPr>
                <w:rFonts w:cs="Arial"/>
                <w:b w:val="0"/>
                <w:lang w:val="en-GB"/>
              </w:rPr>
              <w:t xml:space="preserve"> PT </w:t>
            </w:r>
            <w:r w:rsidRPr="007D18D3">
              <w:rPr>
                <w:rFonts w:cs="Arial"/>
                <w:b w:val="0"/>
                <w:lang w:val="en-GB"/>
              </w:rPr>
              <w:t xml:space="preserve">50 it was concluded that LRTC's are not a candidate application, but that they are a regulatory option. </w:t>
            </w:r>
          </w:p>
          <w:p w:rsidR="00CF7720" w:rsidRDefault="00CF7720" w:rsidP="006D1CF8">
            <w:pPr>
              <w:pStyle w:val="Header1"/>
              <w:rPr>
                <w:rFonts w:cs="Arial"/>
                <w:lang w:val="en-GB"/>
              </w:rPr>
            </w:pPr>
          </w:p>
        </w:tc>
      </w:tr>
    </w:tbl>
    <w:p w:rsidR="00CF7720" w:rsidRPr="00D33BCE" w:rsidRDefault="00CF7720" w:rsidP="00C44DFE">
      <w:pPr>
        <w:jc w:val="both"/>
        <w:rPr>
          <w:sz w:val="22"/>
          <w:lang w:val="en-GB" w:eastAsia="de-DE"/>
        </w:rPr>
      </w:pPr>
    </w:p>
    <w:p w:rsidR="00CF7720" w:rsidRPr="00C10297" w:rsidRDefault="00CF7720" w:rsidP="00054880">
      <w:pPr>
        <w:pStyle w:val="Heading2"/>
        <w:rPr>
          <w:rFonts w:ascii="Arial" w:hAnsi="Arial" w:cs="Arial"/>
          <w:i w:val="0"/>
          <w:sz w:val="24"/>
          <w:szCs w:val="24"/>
          <w:lang w:val="en-GB"/>
        </w:rPr>
      </w:pPr>
      <w:r w:rsidRPr="00C10297">
        <w:rPr>
          <w:rFonts w:ascii="Arial" w:hAnsi="Arial" w:cs="Arial"/>
          <w:i w:val="0"/>
          <w:sz w:val="24"/>
          <w:szCs w:val="24"/>
          <w:lang w:val="en-GB"/>
        </w:rPr>
        <w:t>Application and technology neutrality</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One thing one knows for sure is that things never turn out the way you thought. The way communication is done today is far from communications some years ago and the pace of change is rather increasing than decreasing. Even if electromagnetic waves are the same today as when they were discovered we see that what they are used for has changed, sometimes in surprising directions. Some usage needs more bandwidth, e.g. due to higher capacity demand, and other less, e.g. due to modulation or other technical improvement. Some usage disappears and yet some other becomes increasingly important. How is it possible to know what the future will bring? </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 </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Generally speaking and with few exceptions, operators are better than regulators at assigning resources such as spectrum to the highest value use. Market players often have better information, e.g. about the potential demand for and cost of different applications and technologies and the appropriate time for a technology change. A technology and application neutral approach to the 1452-1492 MHz band gives the market the greatest flexibility in determining the use of the band. This may result in a better outcome than reserving it for a specific use. </w:t>
      </w:r>
    </w:p>
    <w:p w:rsidR="00CF7720" w:rsidRPr="00C10297" w:rsidRDefault="00CF7720" w:rsidP="00054880">
      <w:pPr>
        <w:rPr>
          <w:rFonts w:ascii="Arial" w:hAnsi="Arial" w:cs="Arial"/>
          <w:sz w:val="22"/>
          <w:szCs w:val="22"/>
          <w:lang w:val="en-GB"/>
        </w:rPr>
      </w:pP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How frequency authorization and licensing should be performed is changing over time. To create a regulatory certainty for the market players in both existing bands and in future bands the best thing we know now is to set the technical conditions as encouraging and allowing as possible to let the market players chose from time to time the way forward; what to fill the band with; with what technology and under what influence from other services/applications developing in the same or adjacent bands. </w:t>
      </w:r>
    </w:p>
    <w:p w:rsidR="00CF7720" w:rsidRPr="00C10297" w:rsidRDefault="00CF7720" w:rsidP="00054880">
      <w:pPr>
        <w:rPr>
          <w:rFonts w:ascii="Arial" w:hAnsi="Arial" w:cs="Arial"/>
          <w:sz w:val="22"/>
          <w:szCs w:val="22"/>
          <w:lang w:val="en-GB"/>
        </w:rPr>
      </w:pP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To restrict a band to a certain standard or usage is merely out of date. That is not the same as to say that this authorization method used to be wrong. To designate bands for a particular kind of technology for e.g. broadcasting or mobile telephony was the right thing to do at that time and cleared the way for the communications systems we have today. However, in a fast changing world it may have a great impact on the technology development and the spectrum efficiency as well as benefits for society in general. </w:t>
      </w:r>
    </w:p>
    <w:p w:rsidR="00CF7720" w:rsidRPr="00C10297" w:rsidRDefault="00CF7720" w:rsidP="00054880">
      <w:pPr>
        <w:pStyle w:val="Heading3"/>
        <w:rPr>
          <w:rFonts w:ascii="Arial" w:hAnsi="Arial" w:cs="Arial"/>
          <w:i/>
          <w:sz w:val="22"/>
          <w:szCs w:val="22"/>
          <w:lang w:val="en-GB"/>
        </w:rPr>
      </w:pPr>
      <w:r w:rsidRPr="00C10297">
        <w:rPr>
          <w:rFonts w:ascii="Arial" w:hAnsi="Arial" w:cs="Arial"/>
          <w:i/>
          <w:sz w:val="22"/>
          <w:szCs w:val="22"/>
          <w:lang w:val="en-GB"/>
        </w:rPr>
        <w:t>Technical considerations</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From a technical point of view, taking interference and co-existence into considerations, we know that standards are changing over time, e.g. mobile telephony standards, and there is no possibility, nor wish, to prevent the operators with a license for a certain technology to implement newer versions of a standard, even if it has different in-band or out-of-band properties than earlier versions. Restrictions regarding technology will however prevent the licensees to change to a more efficient technology meeting the customer demand and technology development.  </w:t>
      </w:r>
    </w:p>
    <w:p w:rsidR="00CF7720" w:rsidRPr="00C10297" w:rsidRDefault="00CF7720" w:rsidP="00054880">
      <w:pPr>
        <w:rPr>
          <w:rFonts w:ascii="Arial" w:hAnsi="Arial" w:cs="Arial"/>
          <w:sz w:val="22"/>
          <w:szCs w:val="22"/>
          <w:lang w:val="en-GB"/>
        </w:rPr>
      </w:pP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If the band instead of having a set of application and/or technology restrictions is regulated by only technical conditions, i.e. least restrictive technical conditions (LRTC), it is open to the operators to change the use of the spectrum. It is easier for the market to react and change the use of the spectrum under technology and application neutrality than if international negotiations among regulators were required before such a change were allowed. Also the users in other frequency blocks within the same band or users in adjacent frequency bands benefit from this kind of regulatory regime as the conditions for co-existence are transparent and the requirements at the block/band edges are stable and well known over time. </w:t>
      </w:r>
    </w:p>
    <w:p w:rsidR="00CF7720" w:rsidRPr="00C10297" w:rsidRDefault="00CF7720" w:rsidP="00054880">
      <w:pPr>
        <w:pStyle w:val="Heading3"/>
        <w:rPr>
          <w:rFonts w:ascii="Arial" w:hAnsi="Arial" w:cs="Arial"/>
          <w:i/>
          <w:sz w:val="22"/>
          <w:szCs w:val="22"/>
          <w:lang w:val="en-GB"/>
        </w:rPr>
      </w:pPr>
      <w:r w:rsidRPr="00C10297">
        <w:rPr>
          <w:rFonts w:ascii="Arial" w:hAnsi="Arial" w:cs="Arial"/>
          <w:i/>
          <w:sz w:val="22"/>
          <w:szCs w:val="22"/>
          <w:lang w:val="en-GB"/>
        </w:rPr>
        <w:t>Spectrum regulation at EU level</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The mind-</w:t>
      </w:r>
      <w:bookmarkStart w:id="0" w:name="_GoBack"/>
      <w:bookmarkEnd w:id="0"/>
      <w:r w:rsidRPr="00C10297">
        <w:rPr>
          <w:rFonts w:ascii="Arial" w:hAnsi="Arial" w:cs="Arial"/>
          <w:sz w:val="22"/>
          <w:szCs w:val="22"/>
          <w:lang w:val="en-GB"/>
        </w:rPr>
        <w:t>set above follows the general development of spectru</w:t>
      </w:r>
      <w:r>
        <w:rPr>
          <w:rFonts w:ascii="Arial" w:hAnsi="Arial" w:cs="Arial"/>
          <w:sz w:val="22"/>
          <w:szCs w:val="22"/>
          <w:lang w:val="en-GB"/>
        </w:rPr>
        <w:t>m policy in EU as described in t</w:t>
      </w:r>
      <w:r w:rsidRPr="00C10297">
        <w:rPr>
          <w:rFonts w:ascii="Arial" w:hAnsi="Arial" w:cs="Arial"/>
          <w:sz w:val="22"/>
          <w:szCs w:val="22"/>
          <w:lang w:val="en-GB"/>
        </w:rPr>
        <w:t>h</w:t>
      </w:r>
      <w:r>
        <w:rPr>
          <w:rFonts w:ascii="Arial" w:hAnsi="Arial" w:cs="Arial"/>
          <w:sz w:val="22"/>
          <w:szCs w:val="22"/>
          <w:lang w:val="en-GB"/>
        </w:rPr>
        <w:t>e European Union Directive 2009/140/</w:t>
      </w:r>
      <w:r w:rsidRPr="00C10297">
        <w:rPr>
          <w:rFonts w:ascii="Arial" w:hAnsi="Arial" w:cs="Arial"/>
          <w:sz w:val="22"/>
          <w:szCs w:val="22"/>
          <w:lang w:val="en-GB"/>
        </w:rPr>
        <w:t xml:space="preserve">EC. </w:t>
      </w:r>
    </w:p>
    <w:p w:rsidR="00CF7720" w:rsidRPr="00C10297" w:rsidRDefault="00CF7720" w:rsidP="00054880">
      <w:pPr>
        <w:rPr>
          <w:rFonts w:ascii="Arial" w:hAnsi="Arial" w:cs="Arial"/>
          <w:i/>
          <w:sz w:val="22"/>
          <w:szCs w:val="22"/>
          <w:lang w:val="en-GB"/>
        </w:rPr>
      </w:pPr>
    </w:p>
    <w:p w:rsidR="00CF7720" w:rsidRPr="00C10297" w:rsidRDefault="00CF7720" w:rsidP="00C10297">
      <w:pPr>
        <w:ind w:left="708"/>
        <w:rPr>
          <w:rFonts w:ascii="Arial" w:hAnsi="Arial" w:cs="Arial"/>
          <w:i/>
          <w:sz w:val="22"/>
          <w:szCs w:val="22"/>
          <w:lang w:val="en-GB"/>
        </w:rPr>
      </w:pPr>
      <w:r w:rsidRPr="00C10297">
        <w:rPr>
          <w:rFonts w:ascii="Arial" w:hAnsi="Arial" w:cs="Arial"/>
          <w:i/>
          <w:sz w:val="22"/>
          <w:szCs w:val="22"/>
          <w:lang w:val="en-GB"/>
        </w:rPr>
        <w:t>Flexibility in spectrum management and access to spectrum should be increased through technology and service-neutral authorizations to allow spectrum users to choose the best technologies and services to apply in frequency bands declared available for electronic communications services in the relevant national frequency allocation plans in accordance with Community law (the ‘principles of technology and service neutrality’). The administrative determination of technologies and services should apply when general interest objectives are at stake and should be clearly justified and subject to regular periodic review.</w:t>
      </w:r>
    </w:p>
    <w:p w:rsidR="00CF7720" w:rsidRPr="00C10297" w:rsidRDefault="00CF7720" w:rsidP="00C10297">
      <w:pPr>
        <w:ind w:left="708"/>
        <w:rPr>
          <w:rFonts w:ascii="Arial" w:hAnsi="Arial" w:cs="Arial"/>
          <w:i/>
          <w:sz w:val="22"/>
          <w:szCs w:val="22"/>
          <w:lang w:val="en-GB"/>
        </w:rPr>
      </w:pPr>
    </w:p>
    <w:p w:rsidR="00CF7720" w:rsidRPr="00C10297" w:rsidRDefault="00CF7720" w:rsidP="00C10297">
      <w:pPr>
        <w:ind w:left="708"/>
        <w:rPr>
          <w:rFonts w:ascii="Arial" w:hAnsi="Arial" w:cs="Arial"/>
          <w:sz w:val="22"/>
          <w:szCs w:val="22"/>
          <w:lang w:val="en-GB"/>
        </w:rPr>
      </w:pPr>
      <w:r w:rsidRPr="00C10297">
        <w:rPr>
          <w:rFonts w:ascii="Arial" w:hAnsi="Arial" w:cs="Arial"/>
          <w:i/>
          <w:sz w:val="22"/>
          <w:szCs w:val="22"/>
          <w:lang w:val="en-GB"/>
        </w:rPr>
        <w:t>Restrictions on the principle of technology neutrality should be appropriate and justified by the need to avoid harmful interference, for example by imposing emission masks and power levels, to ensure the protection of public health by limiting public exposure to electromagnetic fields, to ensure the proper functioning of services through an adequate level of technical quality of service, while not necessarily precluding the possibility of using more than one service in the same frequency band, to ensure proper sharing of spectrum, in particular where its use is only subject to general authorizations, to safeguard efficient use of spectrum, or to fulfil a general interest objective in conformity with Community law.</w:t>
      </w:r>
      <w:r w:rsidRPr="00C10297">
        <w:rPr>
          <w:rFonts w:ascii="Arial" w:hAnsi="Arial" w:cs="Arial"/>
          <w:sz w:val="22"/>
          <w:szCs w:val="22"/>
          <w:lang w:val="en-GB"/>
        </w:rPr>
        <w:t xml:space="preserve"> (</w:t>
      </w:r>
      <w:r>
        <w:rPr>
          <w:rFonts w:ascii="Arial" w:hAnsi="Arial" w:cs="Arial"/>
          <w:sz w:val="22"/>
          <w:szCs w:val="22"/>
          <w:lang w:val="en-GB"/>
        </w:rPr>
        <w:t>The European Union Directive 2009/140/</w:t>
      </w:r>
      <w:r w:rsidRPr="00C10297">
        <w:rPr>
          <w:rFonts w:ascii="Arial" w:hAnsi="Arial" w:cs="Arial"/>
          <w:sz w:val="22"/>
          <w:szCs w:val="22"/>
          <w:lang w:val="en-GB"/>
        </w:rPr>
        <w:t>EC)</w:t>
      </w:r>
    </w:p>
    <w:p w:rsidR="00CF7720" w:rsidRPr="00C10297" w:rsidRDefault="00CF7720" w:rsidP="00054880">
      <w:pPr>
        <w:rPr>
          <w:rFonts w:ascii="Arial" w:hAnsi="Arial" w:cs="Arial"/>
          <w:sz w:val="22"/>
          <w:szCs w:val="22"/>
          <w:lang w:val="en-GB"/>
        </w:rPr>
      </w:pPr>
    </w:p>
    <w:p w:rsidR="00CF7720" w:rsidRPr="007E49B8" w:rsidRDefault="00CF7720" w:rsidP="00054880">
      <w:pPr>
        <w:rPr>
          <w:rFonts w:ascii="Arial" w:hAnsi="Arial" w:cs="Arial"/>
          <w:sz w:val="22"/>
          <w:szCs w:val="22"/>
          <w:lang w:val="en-GB"/>
        </w:rPr>
      </w:pPr>
      <w:r>
        <w:rPr>
          <w:rFonts w:ascii="Arial" w:hAnsi="Arial" w:cs="Arial"/>
          <w:sz w:val="22"/>
          <w:szCs w:val="22"/>
          <w:lang w:val="en-GB"/>
        </w:rPr>
        <w:t xml:space="preserve">The second article in </w:t>
      </w:r>
      <w:r w:rsidRPr="007E49B8">
        <w:rPr>
          <w:rFonts w:ascii="Arial" w:hAnsi="Arial" w:cs="Arial"/>
          <w:sz w:val="22"/>
          <w:szCs w:val="22"/>
          <w:lang w:val="en-GB"/>
        </w:rPr>
        <w:t>the proposal for a decision of the European parliament and of the council establishing the first radio spectrum policy programme states regarding the general regulatory principles that:</w:t>
      </w:r>
    </w:p>
    <w:p w:rsidR="00CF7720" w:rsidRPr="007E49B8" w:rsidRDefault="00CF7720" w:rsidP="00054880">
      <w:pPr>
        <w:rPr>
          <w:rFonts w:ascii="Arial" w:hAnsi="Arial" w:cs="Arial"/>
          <w:sz w:val="22"/>
          <w:szCs w:val="22"/>
          <w:lang w:val="en-GB"/>
        </w:rPr>
      </w:pPr>
    </w:p>
    <w:p w:rsidR="00CF7720" w:rsidRPr="00C10297" w:rsidRDefault="00CF7720" w:rsidP="00C10297">
      <w:pPr>
        <w:ind w:left="708"/>
        <w:rPr>
          <w:rFonts w:ascii="Arial" w:hAnsi="Arial" w:cs="Arial"/>
          <w:sz w:val="22"/>
          <w:szCs w:val="22"/>
          <w:lang w:val="en-GB"/>
        </w:rPr>
      </w:pPr>
      <w:r w:rsidRPr="007E49B8">
        <w:rPr>
          <w:rFonts w:ascii="Arial" w:hAnsi="Arial" w:cs="Arial"/>
          <w:i/>
          <w:sz w:val="22"/>
          <w:szCs w:val="22"/>
          <w:lang w:val="en-GB"/>
        </w:rPr>
        <w:t>applying technology and service neutrality in the use of spectrum for electronic communications networks and services, in accordance with Article 9 of the European Union Directive 2002/21/EC (Framework Directive), and where possible for other sectors and applications, in such a way as to promote efficiency of spectrum use, in particular by fostering flexibility, and to promote innovation.</w:t>
      </w:r>
      <w:r w:rsidRPr="007E49B8">
        <w:rPr>
          <w:rFonts w:ascii="Arial" w:hAnsi="Arial" w:cs="Arial"/>
          <w:sz w:val="22"/>
          <w:szCs w:val="22"/>
          <w:lang w:val="en-GB"/>
        </w:rPr>
        <w:t xml:space="preserve"> (COM(2010) 471 final)</w:t>
      </w:r>
    </w:p>
    <w:p w:rsidR="00CF7720" w:rsidRPr="00C10297" w:rsidRDefault="00CF7720" w:rsidP="00C10297">
      <w:pPr>
        <w:ind w:left="708"/>
        <w:rPr>
          <w:rFonts w:ascii="Arial" w:hAnsi="Arial" w:cs="Arial"/>
          <w:sz w:val="22"/>
          <w:szCs w:val="22"/>
          <w:lang w:val="en-GB"/>
        </w:rPr>
      </w:pPr>
    </w:p>
    <w:p w:rsidR="00CF7720" w:rsidRPr="00C10297" w:rsidRDefault="00CF7720" w:rsidP="00C10297">
      <w:pPr>
        <w:ind w:left="708"/>
        <w:rPr>
          <w:rFonts w:ascii="Arial" w:hAnsi="Arial" w:cs="Arial"/>
          <w:sz w:val="22"/>
          <w:szCs w:val="22"/>
          <w:lang w:val="en-GB"/>
        </w:rPr>
      </w:pPr>
      <w:r w:rsidRPr="00C10297">
        <w:rPr>
          <w:rFonts w:ascii="Arial" w:hAnsi="Arial" w:cs="Arial"/>
          <w:sz w:val="22"/>
          <w:szCs w:val="22"/>
          <w:lang w:val="en-GB"/>
        </w:rPr>
        <w:t>Finally, the radio spectrum policy group (RSPG), is of the opinion that technological neutrality and flexibility should be ensured in the 1452-1492 MHz band, as one of the bands considered suitable for WAPECS, and that it not should be reserved for the exclusive use of a particular electronic communication system. (RSPG05-102final)</w:t>
      </w:r>
    </w:p>
    <w:p w:rsidR="00CF7720" w:rsidRPr="00C10297" w:rsidRDefault="00CF7720" w:rsidP="00054880">
      <w:pPr>
        <w:pStyle w:val="Heading3"/>
        <w:rPr>
          <w:rFonts w:ascii="Arial" w:hAnsi="Arial" w:cs="Arial"/>
          <w:i/>
          <w:sz w:val="22"/>
          <w:szCs w:val="22"/>
          <w:lang w:val="en-GB"/>
        </w:rPr>
      </w:pPr>
      <w:r w:rsidRPr="00C10297">
        <w:rPr>
          <w:rFonts w:ascii="Arial" w:hAnsi="Arial" w:cs="Arial"/>
          <w:i/>
          <w:sz w:val="22"/>
          <w:szCs w:val="22"/>
          <w:lang w:val="en-GB"/>
        </w:rPr>
        <w:t>Harmonization and economy of scale</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A technology and application neutral approach may make the band used for different applications in different countries, thus resulting in fragmentation of demand, less benefit from economy of scale and even hamper long term investments. The market may be able to achieve economies of scale if the technical conditions of the band are liberalized in a similarly neutral manner in all countries, allowing operators to deploy the spectrum for the same use if that provides the highest value. The operators and manufacturers have an incentive to co-ordinate to achieve harmonization in terms of usage and economy of scale. If the result of the market is that alternative technologies and applications generate higher values, this would generally be expected to have a positive rather than negative impact on the overall benefits. </w:t>
      </w:r>
    </w:p>
    <w:p w:rsidR="00CF7720" w:rsidRPr="00C10297" w:rsidRDefault="00CF7720" w:rsidP="00054880">
      <w:pPr>
        <w:pStyle w:val="Heading3"/>
        <w:rPr>
          <w:rFonts w:ascii="Arial" w:hAnsi="Arial" w:cs="Arial"/>
          <w:i/>
          <w:sz w:val="22"/>
          <w:szCs w:val="22"/>
          <w:lang w:val="en-GB"/>
        </w:rPr>
      </w:pPr>
      <w:r w:rsidRPr="00C10297">
        <w:rPr>
          <w:rFonts w:ascii="Arial" w:hAnsi="Arial" w:cs="Arial"/>
          <w:i/>
          <w:sz w:val="22"/>
          <w:szCs w:val="22"/>
          <w:lang w:val="en-GB"/>
        </w:rPr>
        <w:t xml:space="preserve">Public interest </w:t>
      </w: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 xml:space="preserve">There are a number of applications, users and uses that are not immediately associated with the words </w:t>
      </w:r>
      <w:r w:rsidRPr="00C10297">
        <w:rPr>
          <w:rFonts w:ascii="Arial" w:hAnsi="Arial" w:cs="Arial"/>
          <w:i/>
          <w:sz w:val="22"/>
          <w:szCs w:val="22"/>
          <w:lang w:val="en-GB"/>
        </w:rPr>
        <w:t>operators</w:t>
      </w:r>
      <w:r w:rsidRPr="00C10297">
        <w:rPr>
          <w:rFonts w:ascii="Arial" w:hAnsi="Arial" w:cs="Arial"/>
          <w:sz w:val="22"/>
          <w:szCs w:val="22"/>
          <w:lang w:val="en-GB"/>
        </w:rPr>
        <w:t xml:space="preserve">, </w:t>
      </w:r>
      <w:r w:rsidRPr="00C10297">
        <w:rPr>
          <w:rFonts w:ascii="Arial" w:hAnsi="Arial" w:cs="Arial"/>
          <w:i/>
          <w:sz w:val="22"/>
          <w:szCs w:val="22"/>
          <w:lang w:val="en-GB"/>
        </w:rPr>
        <w:t>benefit</w:t>
      </w:r>
      <w:r w:rsidRPr="00C10297">
        <w:rPr>
          <w:rFonts w:ascii="Arial" w:hAnsi="Arial" w:cs="Arial"/>
          <w:sz w:val="22"/>
          <w:szCs w:val="22"/>
          <w:lang w:val="en-GB"/>
        </w:rPr>
        <w:t xml:space="preserve"> and </w:t>
      </w:r>
      <w:r w:rsidRPr="00C10297">
        <w:rPr>
          <w:rFonts w:ascii="Arial" w:hAnsi="Arial" w:cs="Arial"/>
          <w:i/>
          <w:sz w:val="22"/>
          <w:szCs w:val="22"/>
          <w:lang w:val="en-GB"/>
        </w:rPr>
        <w:t>value</w:t>
      </w:r>
      <w:r w:rsidRPr="00C10297">
        <w:rPr>
          <w:rFonts w:ascii="Arial" w:hAnsi="Arial" w:cs="Arial"/>
          <w:sz w:val="22"/>
          <w:szCs w:val="22"/>
          <w:lang w:val="en-GB"/>
        </w:rPr>
        <w:t xml:space="preserve"> as in the discussion above. These applications, users and uses might not recognize their possibilities to achieve harmonization by co-ordinated measures. For such applications there are of course other instruments than monetary transactions to acquire spectrum, e.g. political measures, and it is then up to each and every country to estimate the value of the spectrum. </w:t>
      </w:r>
    </w:p>
    <w:p w:rsidR="00CF7720" w:rsidRPr="00C10297" w:rsidRDefault="00CF7720" w:rsidP="00054880">
      <w:pPr>
        <w:rPr>
          <w:rFonts w:ascii="Arial" w:hAnsi="Arial" w:cs="Arial"/>
          <w:sz w:val="22"/>
          <w:szCs w:val="22"/>
          <w:lang w:val="en-GB"/>
        </w:rPr>
      </w:pPr>
    </w:p>
    <w:p w:rsidR="00CF7720" w:rsidRPr="00C10297" w:rsidRDefault="00CF7720" w:rsidP="00054880">
      <w:pPr>
        <w:rPr>
          <w:rFonts w:ascii="Arial" w:hAnsi="Arial" w:cs="Arial"/>
          <w:sz w:val="22"/>
          <w:szCs w:val="22"/>
          <w:lang w:val="en-GB"/>
        </w:rPr>
      </w:pPr>
      <w:r w:rsidRPr="00C10297">
        <w:rPr>
          <w:rFonts w:ascii="Arial" w:hAnsi="Arial" w:cs="Arial"/>
          <w:sz w:val="22"/>
          <w:szCs w:val="22"/>
          <w:lang w:val="en-GB"/>
        </w:rPr>
        <w:t>The principle of technology and application neutrality is then not a constraint, but rather it enables the different administrations to find spectrum for applications that they find important but previously were excluded by the requirements for a certain application and/or technology.</w:t>
      </w:r>
    </w:p>
    <w:sectPr w:rsidR="00CF7720" w:rsidRPr="00C10297"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20" w:rsidRDefault="00CF7720" w:rsidP="001F3A55">
      <w:r>
        <w:separator/>
      </w:r>
    </w:p>
  </w:endnote>
  <w:endnote w:type="continuationSeparator" w:id="0">
    <w:p w:rsidR="00CF7720" w:rsidRDefault="00CF7720"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20" w:rsidRDefault="00CF7720" w:rsidP="001F3A55">
      <w:r>
        <w:separator/>
      </w:r>
    </w:p>
  </w:footnote>
  <w:footnote w:type="continuationSeparator" w:id="0">
    <w:p w:rsidR="00CF7720" w:rsidRDefault="00CF7720" w:rsidP="001F3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9">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2">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5"/>
  </w:num>
  <w:num w:numId="6">
    <w:abstractNumId w:val="12"/>
  </w:num>
  <w:num w:numId="7">
    <w:abstractNumId w:val="7"/>
  </w:num>
  <w:num w:numId="8">
    <w:abstractNumId w:val="6"/>
  </w:num>
  <w:num w:numId="9">
    <w:abstractNumId w:val="1"/>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328FF"/>
    <w:rsid w:val="00041FAD"/>
    <w:rsid w:val="00054880"/>
    <w:rsid w:val="000A14C2"/>
    <w:rsid w:val="000B7455"/>
    <w:rsid w:val="00157E28"/>
    <w:rsid w:val="001C604F"/>
    <w:rsid w:val="001F3A55"/>
    <w:rsid w:val="00277A75"/>
    <w:rsid w:val="002D6F4F"/>
    <w:rsid w:val="00336D21"/>
    <w:rsid w:val="0037628F"/>
    <w:rsid w:val="003A002E"/>
    <w:rsid w:val="003A7C56"/>
    <w:rsid w:val="004B4018"/>
    <w:rsid w:val="004F580E"/>
    <w:rsid w:val="0051454C"/>
    <w:rsid w:val="005637A1"/>
    <w:rsid w:val="0058438B"/>
    <w:rsid w:val="00592EDB"/>
    <w:rsid w:val="005C7409"/>
    <w:rsid w:val="005D1DB0"/>
    <w:rsid w:val="005D6465"/>
    <w:rsid w:val="00604D5B"/>
    <w:rsid w:val="0066399F"/>
    <w:rsid w:val="00692019"/>
    <w:rsid w:val="006A0771"/>
    <w:rsid w:val="006D1CF8"/>
    <w:rsid w:val="007704B0"/>
    <w:rsid w:val="00770899"/>
    <w:rsid w:val="007C1795"/>
    <w:rsid w:val="007D18D3"/>
    <w:rsid w:val="007E49B8"/>
    <w:rsid w:val="007E5E95"/>
    <w:rsid w:val="0084739D"/>
    <w:rsid w:val="0087059A"/>
    <w:rsid w:val="00886EE0"/>
    <w:rsid w:val="0092674C"/>
    <w:rsid w:val="00981DAD"/>
    <w:rsid w:val="009922A2"/>
    <w:rsid w:val="00A3734E"/>
    <w:rsid w:val="00AA7F96"/>
    <w:rsid w:val="00B64FFB"/>
    <w:rsid w:val="00B80619"/>
    <w:rsid w:val="00B85E85"/>
    <w:rsid w:val="00C10297"/>
    <w:rsid w:val="00C44DFE"/>
    <w:rsid w:val="00CF613B"/>
    <w:rsid w:val="00CF7720"/>
    <w:rsid w:val="00D33BCE"/>
    <w:rsid w:val="00D670E7"/>
    <w:rsid w:val="00E51D71"/>
    <w:rsid w:val="00E72FC8"/>
    <w:rsid w:val="00EB58D7"/>
    <w:rsid w:val="00EE3899"/>
    <w:rsid w:val="00F124F8"/>
    <w:rsid w:val="00F35BEF"/>
    <w:rsid w:val="00FD0BE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87059A"/>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uiPriority w:val="99"/>
    <w:qFormat/>
    <w:locked/>
    <w:rsid w:val="0005488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87059A"/>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059A"/>
    <w:rPr>
      <w:rFonts w:ascii="Calibri" w:hAnsi="Calibri"/>
      <w:b/>
      <w:kern w:val="32"/>
      <w:sz w:val="32"/>
      <w:lang w:val="fr-FR" w:eastAsia="fr-FR"/>
    </w:rPr>
  </w:style>
  <w:style w:type="character" w:customStyle="1" w:styleId="Heading2Char">
    <w:name w:val="Heading 2 Char"/>
    <w:basedOn w:val="DefaultParagraphFont"/>
    <w:link w:val="Heading2"/>
    <w:uiPriority w:val="99"/>
    <w:semiHidden/>
    <w:locked/>
    <w:rsid w:val="00054880"/>
    <w:rPr>
      <w:rFonts w:ascii="Cambria" w:hAnsi="Cambria"/>
      <w:b/>
      <w:i/>
      <w:sz w:val="28"/>
      <w:lang w:val="fr-FR" w:eastAsia="fr-FR"/>
    </w:rPr>
  </w:style>
  <w:style w:type="character" w:customStyle="1" w:styleId="Heading3Char">
    <w:name w:val="Heading 3 Char"/>
    <w:basedOn w:val="DefaultParagraphFont"/>
    <w:link w:val="Heading3"/>
    <w:uiPriority w:val="99"/>
    <w:locked/>
    <w:rsid w:val="0087059A"/>
    <w:rPr>
      <w:rFonts w:ascii="Calibri" w:hAnsi="Calibri"/>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87059A"/>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87059A"/>
    <w:rPr>
      <w:rFonts w:ascii="Arial" w:hAnsi="Arial"/>
      <w:sz w:val="24"/>
      <w:lang w:val="en-GB" w:eastAsia="en-GB"/>
    </w:rPr>
  </w:style>
  <w:style w:type="paragraph" w:customStyle="1" w:styleId="Elencoacolori-Colore11">
    <w:name w:val="Elenco a colori - Colore 11"/>
    <w:basedOn w:val="Normal"/>
    <w:uiPriority w:val="99"/>
    <w:rsid w:val="0087059A"/>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87059A"/>
    <w:rPr>
      <w:rFonts w:ascii="Tahoma" w:hAnsi="Tahoma"/>
      <w:sz w:val="16"/>
      <w:szCs w:val="16"/>
    </w:rPr>
  </w:style>
  <w:style w:type="character" w:customStyle="1" w:styleId="BalloonTextChar">
    <w:name w:val="Balloon Text Char"/>
    <w:basedOn w:val="DefaultParagraphFont"/>
    <w:link w:val="BalloonText"/>
    <w:uiPriority w:val="99"/>
    <w:locked/>
    <w:rsid w:val="0087059A"/>
    <w:rPr>
      <w:rFonts w:ascii="Tahoma" w:hAnsi="Tahoma"/>
      <w:sz w:val="16"/>
      <w:lang w:val="fr-FR" w:eastAsia="fr-FR"/>
    </w:rPr>
  </w:style>
  <w:style w:type="character" w:styleId="Strong">
    <w:name w:val="Strong"/>
    <w:basedOn w:val="DefaultParagraphFont"/>
    <w:uiPriority w:val="99"/>
    <w:qFormat/>
    <w:rsid w:val="0087059A"/>
    <w:rPr>
      <w:rFonts w:cs="Times New Roman"/>
      <w:b/>
    </w:rPr>
  </w:style>
  <w:style w:type="character" w:styleId="Hyperlink">
    <w:name w:val="Hyperlink"/>
    <w:basedOn w:val="DefaultParagraphFont"/>
    <w:uiPriority w:val="99"/>
    <w:rsid w:val="0087059A"/>
    <w:rPr>
      <w:rFonts w:cs="Times New Roman"/>
      <w:color w:val="0000FF"/>
      <w:u w:val="single"/>
    </w:rPr>
  </w:style>
  <w:style w:type="paragraph" w:customStyle="1" w:styleId="Liststycke1">
    <w:name w:val="Liststycke1"/>
    <w:basedOn w:val="Normal"/>
    <w:uiPriority w:val="99"/>
    <w:rsid w:val="00B64FFB"/>
    <w:pPr>
      <w:ind w:left="1304"/>
    </w:pPr>
  </w:style>
  <w:style w:type="table" w:styleId="TableGrid">
    <w:name w:val="Table Grid"/>
    <w:basedOn w:val="TableNormal"/>
    <w:uiPriority w:val="99"/>
    <w:rsid w:val="001F3A5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basedOn w:val="DefaultParagraphFont"/>
    <w:link w:val="FootnoteText"/>
    <w:uiPriority w:val="99"/>
    <w:locked/>
    <w:rsid w:val="001F3A55"/>
    <w:rPr>
      <w:rFonts w:ascii="Calibri" w:hAnsi="Calibri"/>
      <w:lang w:val="en-GB" w:eastAsia="en-GB"/>
    </w:rPr>
  </w:style>
  <w:style w:type="character" w:styleId="FootnoteReference">
    <w:name w:val="footnote reference"/>
    <w:basedOn w:val="DefaultParagraphFont"/>
    <w:uiPriority w:val="99"/>
    <w:rsid w:val="001F3A55"/>
    <w:rPr>
      <w:rFonts w:cs="Times New Roman"/>
      <w:vertAlign w:val="superscript"/>
    </w:rPr>
  </w:style>
  <w:style w:type="paragraph" w:customStyle="1" w:styleId="Header1">
    <w:name w:val="Header1"/>
    <w:basedOn w:val="Header"/>
    <w:uiPriority w:val="99"/>
    <w:rsid w:val="006D1CF8"/>
    <w:rPr>
      <w:rFonts w:ascii="Arial" w:hAnsi="Arial"/>
      <w:b/>
      <w:sz w:val="22"/>
      <w:szCs w:val="20"/>
      <w:lang w:val="nb-NO" w:eastAsia="de-DE"/>
    </w:rPr>
  </w:style>
  <w:style w:type="paragraph" w:styleId="Header">
    <w:name w:val="header"/>
    <w:basedOn w:val="Normal"/>
    <w:link w:val="HeaderChar"/>
    <w:uiPriority w:val="99"/>
    <w:rsid w:val="006D1CF8"/>
    <w:pPr>
      <w:tabs>
        <w:tab w:val="center" w:pos="4536"/>
        <w:tab w:val="right" w:pos="9072"/>
      </w:tabs>
    </w:pPr>
  </w:style>
  <w:style w:type="character" w:customStyle="1" w:styleId="HeaderChar">
    <w:name w:val="Header Char"/>
    <w:basedOn w:val="DefaultParagraphFont"/>
    <w:link w:val="Header"/>
    <w:uiPriority w:val="99"/>
    <w:locked/>
    <w:rsid w:val="006D1CF8"/>
    <w:rPr>
      <w:sz w:val="24"/>
      <w:lang w:val="fr-FR" w:eastAsia="fr-FR"/>
    </w:rPr>
  </w:style>
</w:styles>
</file>

<file path=word/webSettings.xml><?xml version="1.0" encoding="utf-8"?>
<w:webSettings xmlns:r="http://schemas.openxmlformats.org/officeDocument/2006/relationships" xmlns:w="http://schemas.openxmlformats.org/wordprocessingml/2006/main">
  <w:divs>
    <w:div w:id="105581895">
      <w:marLeft w:val="0"/>
      <w:marRight w:val="0"/>
      <w:marTop w:val="0"/>
      <w:marBottom w:val="0"/>
      <w:divBdr>
        <w:top w:val="none" w:sz="0" w:space="0" w:color="auto"/>
        <w:left w:val="none" w:sz="0" w:space="0" w:color="auto"/>
        <w:bottom w:val="none" w:sz="0" w:space="0" w:color="auto"/>
        <w:right w:val="none" w:sz="0" w:space="0" w:color="auto"/>
      </w:divBdr>
    </w:div>
    <w:div w:id="105581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3</Pages>
  <Words>1352</Words>
  <Characters>7292</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 Wolter</dc:creator>
  <cp:keywords/>
  <dc:description/>
  <cp:lastModifiedBy>Benoist Deschamps</cp:lastModifiedBy>
  <cp:revision>13</cp:revision>
  <cp:lastPrinted>2011-07-08T13:52:00Z</cp:lastPrinted>
  <dcterms:created xsi:type="dcterms:W3CDTF">2011-11-21T14:55:00Z</dcterms:created>
  <dcterms:modified xsi:type="dcterms:W3CDTF">2011-11-23T21:52:00Z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