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ayout w:type="fixed"/>
        <w:tblLook w:val="0000" w:firstRow="0" w:lastRow="0" w:firstColumn="0" w:lastColumn="0" w:noHBand="0" w:noVBand="0"/>
      </w:tblPr>
      <w:tblGrid>
        <w:gridCol w:w="8"/>
        <w:gridCol w:w="3500"/>
        <w:gridCol w:w="144"/>
        <w:gridCol w:w="156"/>
        <w:gridCol w:w="1700"/>
        <w:gridCol w:w="270"/>
        <w:gridCol w:w="1930"/>
        <w:gridCol w:w="1900"/>
      </w:tblGrid>
      <w:tr w:rsidR="00EF14D5" w:rsidRPr="007F6913" w:rsidTr="006B0481">
        <w:tc>
          <w:tcPr>
            <w:tcW w:w="3652" w:type="dxa"/>
            <w:gridSpan w:val="3"/>
          </w:tcPr>
          <w:p w:rsidR="00EF14D5" w:rsidRDefault="00BA2A66" w:rsidP="0063092C">
            <w:pPr>
              <w:rPr>
                <w:rFonts w:ascii="Arial" w:hAnsi="Arial" w:cs="Arial"/>
                <w:b/>
              </w:rPr>
            </w:pPr>
            <w:r>
              <w:rPr>
                <w:b/>
                <w:caps/>
                <w:noProof/>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5pt;height:73.5pt;visibility:visible">
                  <v:imagedata r:id="rId8" o:title=""/>
                </v:shape>
              </w:pict>
            </w:r>
          </w:p>
        </w:tc>
        <w:tc>
          <w:tcPr>
            <w:tcW w:w="4056" w:type="dxa"/>
            <w:gridSpan w:val="4"/>
          </w:tcPr>
          <w:p w:rsidR="00EF14D5" w:rsidRDefault="00EF14D5" w:rsidP="006B0481">
            <w:pPr>
              <w:rPr>
                <w:rFonts w:ascii="Arial" w:hAnsi="Arial" w:cs="Arial"/>
                <w:b/>
              </w:rPr>
            </w:pPr>
          </w:p>
          <w:p w:rsidR="00EF14D5" w:rsidRDefault="00EF14D5" w:rsidP="006B0481">
            <w:pPr>
              <w:rPr>
                <w:rFonts w:ascii="Arial" w:hAnsi="Arial" w:cs="Arial"/>
                <w:b/>
              </w:rPr>
            </w:pPr>
          </w:p>
          <w:p w:rsidR="00EF14D5" w:rsidRDefault="00EF14D5" w:rsidP="006B0481">
            <w:pPr>
              <w:rPr>
                <w:rFonts w:ascii="Arial" w:hAnsi="Arial" w:cs="Arial"/>
                <w:b/>
              </w:rPr>
            </w:pPr>
            <w:r>
              <w:rPr>
                <w:rFonts w:ascii="Arial" w:hAnsi="Arial" w:cs="Arial"/>
                <w:b/>
              </w:rPr>
              <w:t>FM PT50</w:t>
            </w:r>
          </w:p>
        </w:tc>
        <w:tc>
          <w:tcPr>
            <w:tcW w:w="1900" w:type="dxa"/>
          </w:tcPr>
          <w:p w:rsidR="00EF14D5" w:rsidRDefault="00D67441" w:rsidP="00FB51A4">
            <w:pPr>
              <w:jc w:val="right"/>
              <w:rPr>
                <w:rFonts w:ascii="Arial" w:hAnsi="Arial" w:cs="Arial"/>
                <w:b/>
              </w:rPr>
            </w:pPr>
            <w:r>
              <w:rPr>
                <w:rFonts w:ascii="Arial" w:hAnsi="Arial" w:cs="Arial"/>
                <w:b/>
              </w:rPr>
              <w:t>FM50(12</w:t>
            </w:r>
            <w:bookmarkStart w:id="0" w:name="_GoBack"/>
            <w:bookmarkEnd w:id="0"/>
            <w:r w:rsidR="00EF14D5">
              <w:rPr>
                <w:rFonts w:ascii="Arial" w:hAnsi="Arial" w:cs="Arial"/>
                <w:b/>
              </w:rPr>
              <w:t>)</w:t>
            </w:r>
            <w:r>
              <w:rPr>
                <w:rFonts w:ascii="Arial" w:hAnsi="Arial" w:cs="Arial"/>
                <w:b/>
              </w:rPr>
              <w:t>021</w:t>
            </w:r>
          </w:p>
        </w:tc>
      </w:tr>
      <w:tr w:rsidR="00EF14D5" w:rsidRPr="007F6913" w:rsidTr="0083063C">
        <w:tc>
          <w:tcPr>
            <w:tcW w:w="9608" w:type="dxa"/>
            <w:gridSpan w:val="8"/>
          </w:tcPr>
          <w:p w:rsidR="00EF14D5" w:rsidRDefault="00EF14D5" w:rsidP="006B0481">
            <w:pPr>
              <w:jc w:val="left"/>
              <w:rPr>
                <w:rFonts w:ascii="Arial" w:hAnsi="Arial" w:cs="Arial"/>
                <w:b/>
              </w:rPr>
            </w:pPr>
          </w:p>
          <w:p w:rsidR="00EF14D5" w:rsidRPr="007F6913" w:rsidRDefault="00EF14D5" w:rsidP="000551CA">
            <w:pPr>
              <w:jc w:val="left"/>
              <w:rPr>
                <w:rFonts w:ascii="Arial" w:hAnsi="Arial" w:cs="Arial"/>
                <w:b/>
              </w:rPr>
            </w:pPr>
            <w:r>
              <w:rPr>
                <w:rFonts w:ascii="Arial" w:hAnsi="Arial" w:cs="Arial"/>
                <w:b/>
              </w:rPr>
              <w:t>6</w:t>
            </w:r>
            <w:r w:rsidRPr="000551CA">
              <w:rPr>
                <w:rFonts w:ascii="Arial" w:hAnsi="Arial" w:cs="Arial"/>
                <w:b/>
                <w:vertAlign w:val="superscript"/>
              </w:rPr>
              <w:t>th</w:t>
            </w:r>
            <w:r>
              <w:rPr>
                <w:rFonts w:ascii="Arial" w:hAnsi="Arial" w:cs="Arial"/>
                <w:b/>
              </w:rPr>
              <w:t xml:space="preserve"> -9</w:t>
            </w:r>
            <w:r w:rsidRPr="000551CA">
              <w:rPr>
                <w:rFonts w:ascii="Arial" w:hAnsi="Arial" w:cs="Arial"/>
                <w:b/>
                <w:vertAlign w:val="superscript"/>
              </w:rPr>
              <w:t>th</w:t>
            </w:r>
            <w:r>
              <w:rPr>
                <w:rFonts w:ascii="Arial" w:hAnsi="Arial" w:cs="Arial"/>
                <w:b/>
              </w:rPr>
              <w:t xml:space="preserve"> </w:t>
            </w:r>
            <w:r w:rsidRPr="007F6913">
              <w:rPr>
                <w:rFonts w:ascii="Arial" w:hAnsi="Arial" w:cs="Arial"/>
                <w:b/>
              </w:rPr>
              <w:t xml:space="preserve"> </w:t>
            </w:r>
            <w:r>
              <w:rPr>
                <w:rFonts w:ascii="Arial" w:hAnsi="Arial" w:cs="Arial"/>
                <w:b/>
              </w:rPr>
              <w:t>March</w:t>
            </w:r>
            <w:r w:rsidRPr="007F6913">
              <w:rPr>
                <w:rFonts w:ascii="Arial" w:hAnsi="Arial" w:cs="Arial"/>
                <w:b/>
              </w:rPr>
              <w:t xml:space="preserve"> 20</w:t>
            </w:r>
            <w:r>
              <w:rPr>
                <w:rFonts w:ascii="Arial" w:hAnsi="Arial" w:cs="Arial"/>
                <w:b/>
              </w:rPr>
              <w:t xml:space="preserve">12, </w:t>
            </w:r>
            <w:smartTag w:uri="urn:schemas-microsoft-com:office:smarttags" w:element="City">
              <w:smartTag w:uri="urn:schemas-microsoft-com:office:smarttags" w:element="place">
                <w:r>
                  <w:rPr>
                    <w:rFonts w:ascii="Arial" w:hAnsi="Arial" w:cs="Arial"/>
                    <w:b/>
                  </w:rPr>
                  <w:t>Mainz</w:t>
                </w:r>
              </w:smartTag>
            </w:smartTag>
          </w:p>
        </w:tc>
      </w:tr>
      <w:tr w:rsidR="00EF14D5" w:rsidRPr="007F6913" w:rsidTr="006B0481">
        <w:tc>
          <w:tcPr>
            <w:tcW w:w="3652" w:type="dxa"/>
            <w:gridSpan w:val="3"/>
          </w:tcPr>
          <w:p w:rsidR="00EF14D5" w:rsidRPr="007F6913" w:rsidRDefault="00EF14D5" w:rsidP="00FB51A4">
            <w:pPr>
              <w:rPr>
                <w:rFonts w:ascii="Arial" w:hAnsi="Arial" w:cs="Arial"/>
                <w:b/>
              </w:rPr>
            </w:pPr>
          </w:p>
        </w:tc>
        <w:tc>
          <w:tcPr>
            <w:tcW w:w="5956" w:type="dxa"/>
            <w:gridSpan w:val="5"/>
          </w:tcPr>
          <w:p w:rsidR="00EF14D5" w:rsidRPr="007F6913" w:rsidRDefault="00EF14D5" w:rsidP="00FB51A4">
            <w:pPr>
              <w:rPr>
                <w:rFonts w:ascii="Arial" w:hAnsi="Arial" w:cs="Arial"/>
                <w:b/>
              </w:rPr>
            </w:pPr>
          </w:p>
        </w:tc>
      </w:tr>
      <w:tr w:rsidR="00EF14D5" w:rsidRPr="007F6913">
        <w:trPr>
          <w:cantSplit/>
        </w:trPr>
        <w:tc>
          <w:tcPr>
            <w:tcW w:w="9608" w:type="dxa"/>
            <w:gridSpan w:val="8"/>
          </w:tcPr>
          <w:p w:rsidR="00EF14D5" w:rsidRPr="007F6913" w:rsidRDefault="00EF14D5" w:rsidP="00FB51A4">
            <w:pPr>
              <w:tabs>
                <w:tab w:val="left" w:pos="1582"/>
              </w:tabs>
              <w:outlineLvl w:val="0"/>
              <w:rPr>
                <w:rFonts w:ascii="Arial" w:hAnsi="Arial" w:cs="Arial"/>
                <w:b/>
              </w:rPr>
            </w:pPr>
            <w:r w:rsidRPr="007F6913">
              <w:rPr>
                <w:rFonts w:ascii="Arial" w:hAnsi="Arial" w:cs="Arial"/>
                <w:b/>
              </w:rPr>
              <w:t>Date issued:</w:t>
            </w:r>
            <w:r w:rsidRPr="007F6913">
              <w:rPr>
                <w:rFonts w:ascii="Arial" w:hAnsi="Arial" w:cs="Arial"/>
                <w:b/>
              </w:rPr>
              <w:tab/>
            </w:r>
            <w:r>
              <w:rPr>
                <w:rFonts w:ascii="Arial" w:hAnsi="Arial" w:cs="Arial"/>
                <w:b/>
              </w:rPr>
              <w:t>28 February 2012</w:t>
            </w:r>
          </w:p>
          <w:p w:rsidR="00EF14D5" w:rsidRPr="007F6913" w:rsidRDefault="00EF14D5" w:rsidP="00FB51A4">
            <w:pPr>
              <w:tabs>
                <w:tab w:val="left" w:pos="1582"/>
              </w:tabs>
              <w:spacing w:before="120"/>
              <w:outlineLvl w:val="0"/>
              <w:rPr>
                <w:rFonts w:ascii="Arial" w:hAnsi="Arial" w:cs="Arial"/>
                <w:b/>
              </w:rPr>
            </w:pPr>
            <w:r w:rsidRPr="007F6913">
              <w:rPr>
                <w:rFonts w:ascii="Arial" w:hAnsi="Arial" w:cs="Arial"/>
                <w:b/>
              </w:rPr>
              <w:t>Source:</w:t>
            </w:r>
            <w:r w:rsidRPr="007F6913">
              <w:rPr>
                <w:rFonts w:ascii="Arial" w:hAnsi="Arial" w:cs="Arial"/>
                <w:b/>
              </w:rPr>
              <w:tab/>
            </w:r>
            <w:r>
              <w:rPr>
                <w:rFonts w:ascii="Arial" w:hAnsi="Arial" w:cs="Arial"/>
                <w:b/>
              </w:rPr>
              <w:t>EUTC and ESB</w:t>
            </w:r>
          </w:p>
          <w:p w:rsidR="00EF14D5" w:rsidRPr="007F6913" w:rsidRDefault="00EF14D5" w:rsidP="002A041E">
            <w:pPr>
              <w:tabs>
                <w:tab w:val="left" w:pos="1571"/>
              </w:tabs>
              <w:spacing w:before="120" w:after="120"/>
              <w:outlineLvl w:val="0"/>
              <w:rPr>
                <w:rFonts w:ascii="Arial" w:hAnsi="Arial" w:cs="Arial"/>
                <w:b/>
              </w:rPr>
            </w:pPr>
            <w:r w:rsidRPr="007F6913">
              <w:rPr>
                <w:rFonts w:ascii="Arial" w:hAnsi="Arial" w:cs="Arial"/>
                <w:b/>
              </w:rPr>
              <w:t>Subject:</w:t>
            </w:r>
            <w:r w:rsidRPr="007F6913">
              <w:rPr>
                <w:rFonts w:ascii="Arial" w:hAnsi="Arial" w:cs="Arial"/>
                <w:b/>
              </w:rPr>
              <w:tab/>
            </w:r>
            <w:r>
              <w:rPr>
                <w:rFonts w:ascii="Arial" w:hAnsi="Arial" w:cs="Arial"/>
                <w:b/>
              </w:rPr>
              <w:t>Candidate application: Smart utility networks</w:t>
            </w:r>
          </w:p>
        </w:tc>
      </w:tr>
      <w:tr w:rsidR="00EF14D5" w:rsidRPr="007F6913" w:rsidTr="004C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830" w:type="dxa"/>
        </w:trPr>
        <w:tc>
          <w:tcPr>
            <w:tcW w:w="3500" w:type="dxa"/>
            <w:tcBorders>
              <w:top w:val="nil"/>
              <w:left w:val="nil"/>
              <w:bottom w:val="nil"/>
            </w:tcBorders>
          </w:tcPr>
          <w:p w:rsidR="00EF14D5" w:rsidRPr="007F6913" w:rsidRDefault="00EF14D5" w:rsidP="00FB51A4">
            <w:pPr>
              <w:tabs>
                <w:tab w:val="left" w:pos="2930"/>
              </w:tabs>
              <w:rPr>
                <w:rFonts w:ascii="Arial" w:hAnsi="Arial" w:cs="Arial"/>
                <w:b/>
                <w:sz w:val="20"/>
              </w:rPr>
            </w:pPr>
            <w:r w:rsidRPr="007F6913">
              <w:rPr>
                <w:rFonts w:ascii="Arial" w:hAnsi="Arial" w:cs="Arial"/>
                <w:b/>
              </w:rPr>
              <w:t>Password protected:</w:t>
            </w:r>
            <w:r w:rsidRPr="007F6913">
              <w:rPr>
                <w:rFonts w:ascii="Arial" w:hAnsi="Arial" w:cs="Arial"/>
                <w:b/>
              </w:rPr>
              <w:tab/>
              <w:t>yes</w:t>
            </w:r>
          </w:p>
        </w:tc>
        <w:tc>
          <w:tcPr>
            <w:tcW w:w="300" w:type="dxa"/>
            <w:gridSpan w:val="2"/>
          </w:tcPr>
          <w:p w:rsidR="00EF14D5" w:rsidRPr="007F6913" w:rsidRDefault="00EF14D5" w:rsidP="00FB51A4">
            <w:pPr>
              <w:rPr>
                <w:rFonts w:ascii="Arial" w:hAnsi="Arial" w:cs="Arial"/>
                <w:b/>
              </w:rPr>
            </w:pPr>
          </w:p>
        </w:tc>
        <w:tc>
          <w:tcPr>
            <w:tcW w:w="1700" w:type="dxa"/>
            <w:tcBorders>
              <w:top w:val="nil"/>
              <w:bottom w:val="nil"/>
            </w:tcBorders>
          </w:tcPr>
          <w:p w:rsidR="00EF14D5" w:rsidRPr="007F6913" w:rsidRDefault="00EF14D5" w:rsidP="00FB51A4">
            <w:pPr>
              <w:tabs>
                <w:tab w:val="left" w:pos="1130"/>
              </w:tabs>
              <w:rPr>
                <w:rFonts w:ascii="Arial" w:hAnsi="Arial" w:cs="Arial"/>
                <w:b/>
              </w:rPr>
            </w:pPr>
            <w:r w:rsidRPr="007F6913">
              <w:rPr>
                <w:rFonts w:ascii="Arial" w:hAnsi="Arial" w:cs="Arial"/>
                <w:b/>
              </w:rPr>
              <w:tab/>
              <w:t>No</w:t>
            </w:r>
          </w:p>
        </w:tc>
        <w:tc>
          <w:tcPr>
            <w:tcW w:w="270" w:type="dxa"/>
          </w:tcPr>
          <w:p w:rsidR="00EF14D5" w:rsidRPr="007F6913" w:rsidRDefault="00EF14D5" w:rsidP="00FB51A4">
            <w:pPr>
              <w:rPr>
                <w:rFonts w:ascii="Arial" w:hAnsi="Arial" w:cs="Arial"/>
                <w:b/>
              </w:rPr>
            </w:pPr>
            <w:r w:rsidRPr="007F6913">
              <w:rPr>
                <w:rFonts w:ascii="Arial" w:hAnsi="Arial" w:cs="Arial"/>
                <w:b/>
              </w:rPr>
              <w:t>x</w:t>
            </w:r>
          </w:p>
        </w:tc>
      </w:tr>
    </w:tbl>
    <w:p w:rsidR="00EF14D5" w:rsidRPr="007F6913" w:rsidRDefault="00EF14D5" w:rsidP="00C2062E"/>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0"/>
      </w:tblGrid>
      <w:tr w:rsidR="00EF14D5" w:rsidRPr="003720B7" w:rsidTr="002A041E">
        <w:trPr>
          <w:cantSplit/>
        </w:trPr>
        <w:tc>
          <w:tcPr>
            <w:tcW w:w="9600" w:type="dxa"/>
          </w:tcPr>
          <w:p w:rsidR="00EF14D5" w:rsidRPr="003720B7" w:rsidRDefault="00EF14D5" w:rsidP="003720B7">
            <w:pPr>
              <w:jc w:val="left"/>
              <w:rPr>
                <w:rFonts w:ascii="Arial" w:hAnsi="Arial" w:cs="Arial"/>
                <w:b/>
                <w:sz w:val="20"/>
                <w:szCs w:val="20"/>
              </w:rPr>
            </w:pPr>
          </w:p>
          <w:p w:rsidR="00EF14D5" w:rsidRPr="0035453B" w:rsidRDefault="00EF14D5" w:rsidP="003720B7">
            <w:pPr>
              <w:keepNext/>
              <w:jc w:val="left"/>
              <w:outlineLvl w:val="2"/>
              <w:rPr>
                <w:rFonts w:ascii="Arial" w:hAnsi="Arial" w:cs="Arial"/>
                <w:b/>
                <w:sz w:val="20"/>
                <w:szCs w:val="20"/>
              </w:rPr>
            </w:pPr>
            <w:r w:rsidRPr="0035453B">
              <w:rPr>
                <w:rFonts w:ascii="Arial" w:hAnsi="Arial" w:cs="Arial"/>
                <w:b/>
                <w:sz w:val="20"/>
                <w:szCs w:val="20"/>
              </w:rPr>
              <w:t>Summary</w:t>
            </w:r>
            <w:r>
              <w:rPr>
                <w:rFonts w:ascii="Arial" w:hAnsi="Arial" w:cs="Arial"/>
                <w:b/>
                <w:sz w:val="20"/>
                <w:szCs w:val="20"/>
              </w:rPr>
              <w:t>:</w:t>
            </w:r>
          </w:p>
          <w:p w:rsidR="00EF14D5" w:rsidRDefault="00EF14D5" w:rsidP="000551CA">
            <w:pPr>
              <w:keepNext/>
              <w:spacing w:line="276" w:lineRule="auto"/>
              <w:outlineLvl w:val="2"/>
              <w:rPr>
                <w:rFonts w:ascii="Arial" w:hAnsi="Arial" w:cs="Arial"/>
                <w:sz w:val="20"/>
                <w:szCs w:val="20"/>
              </w:rPr>
            </w:pPr>
          </w:p>
          <w:p w:rsidR="00EF14D5" w:rsidRPr="0035453B" w:rsidRDefault="00EF14D5" w:rsidP="000551CA">
            <w:pPr>
              <w:keepNext/>
              <w:spacing w:line="276" w:lineRule="auto"/>
              <w:outlineLvl w:val="2"/>
              <w:rPr>
                <w:rFonts w:ascii="Arial" w:hAnsi="Arial" w:cs="Arial"/>
                <w:sz w:val="20"/>
                <w:szCs w:val="20"/>
              </w:rPr>
            </w:pPr>
            <w:r>
              <w:rPr>
                <w:rFonts w:ascii="Arial" w:hAnsi="Arial" w:cs="Arial"/>
                <w:sz w:val="20"/>
                <w:szCs w:val="20"/>
              </w:rPr>
              <w:t>There is a requirement for wireless data connectivity to be part of future smart utility networks. The mission-critical aspect of this application is distinct from general business and consumer telecommunications services and needs to be seen as a separate application</w:t>
            </w:r>
          </w:p>
          <w:p w:rsidR="00EF14D5" w:rsidRPr="00B57E61" w:rsidRDefault="00EF14D5" w:rsidP="00C661E5">
            <w:pPr>
              <w:autoSpaceDE w:val="0"/>
              <w:autoSpaceDN w:val="0"/>
              <w:adjustRightInd w:val="0"/>
              <w:spacing w:line="276" w:lineRule="auto"/>
              <w:rPr>
                <w:rFonts w:ascii="Arial" w:hAnsi="Arial" w:cs="Arial"/>
              </w:rPr>
            </w:pPr>
          </w:p>
        </w:tc>
      </w:tr>
      <w:tr w:rsidR="00EF14D5" w:rsidRPr="003720B7" w:rsidTr="002A041E">
        <w:trPr>
          <w:cantSplit/>
        </w:trPr>
        <w:tc>
          <w:tcPr>
            <w:tcW w:w="9600" w:type="dxa"/>
          </w:tcPr>
          <w:p w:rsidR="00EF14D5" w:rsidRPr="0035453B" w:rsidRDefault="00EF14D5" w:rsidP="00B57E61">
            <w:pPr>
              <w:keepNext/>
              <w:jc w:val="left"/>
              <w:outlineLvl w:val="2"/>
              <w:rPr>
                <w:rFonts w:ascii="Arial" w:hAnsi="Arial" w:cs="Arial"/>
                <w:b/>
                <w:sz w:val="20"/>
                <w:szCs w:val="20"/>
              </w:rPr>
            </w:pPr>
          </w:p>
          <w:p w:rsidR="00EF14D5" w:rsidRDefault="00EF14D5" w:rsidP="00B57E61">
            <w:pPr>
              <w:keepNext/>
              <w:jc w:val="left"/>
              <w:outlineLvl w:val="2"/>
              <w:rPr>
                <w:rFonts w:ascii="Arial" w:hAnsi="Arial" w:cs="Arial"/>
                <w:b/>
                <w:sz w:val="20"/>
                <w:szCs w:val="20"/>
              </w:rPr>
            </w:pPr>
            <w:r w:rsidRPr="0035453B">
              <w:rPr>
                <w:rFonts w:ascii="Arial" w:hAnsi="Arial" w:cs="Arial"/>
                <w:b/>
                <w:sz w:val="20"/>
                <w:szCs w:val="20"/>
              </w:rPr>
              <w:t>Proposal</w:t>
            </w:r>
            <w:r>
              <w:rPr>
                <w:rFonts w:ascii="Arial" w:hAnsi="Arial" w:cs="Arial"/>
                <w:b/>
                <w:sz w:val="20"/>
                <w:szCs w:val="20"/>
              </w:rPr>
              <w:t>:</w:t>
            </w:r>
          </w:p>
          <w:p w:rsidR="00EF14D5" w:rsidRDefault="00EF14D5" w:rsidP="004760A0">
            <w:pPr>
              <w:keepNext/>
              <w:jc w:val="left"/>
              <w:outlineLvl w:val="2"/>
              <w:rPr>
                <w:rFonts w:ascii="Arial" w:hAnsi="Arial" w:cs="Arial"/>
                <w:sz w:val="20"/>
                <w:szCs w:val="20"/>
              </w:rPr>
            </w:pPr>
          </w:p>
          <w:p w:rsidR="00EF14D5" w:rsidRPr="004760A0" w:rsidRDefault="00EF14D5" w:rsidP="004760A0">
            <w:pPr>
              <w:keepNext/>
              <w:jc w:val="left"/>
              <w:outlineLvl w:val="2"/>
              <w:rPr>
                <w:rFonts w:ascii="Arial" w:hAnsi="Arial" w:cs="Arial"/>
                <w:b/>
                <w:sz w:val="20"/>
                <w:szCs w:val="20"/>
              </w:rPr>
            </w:pPr>
            <w:r w:rsidRPr="004760A0">
              <w:rPr>
                <w:rFonts w:ascii="Arial" w:hAnsi="Arial" w:cs="Arial"/>
                <w:sz w:val="20"/>
                <w:szCs w:val="20"/>
              </w:rPr>
              <w:t xml:space="preserve">EUTC and ESB are requesting that an additional application – smart utility networks </w:t>
            </w:r>
            <w:r>
              <w:rPr>
                <w:rFonts w:ascii="Arial" w:hAnsi="Arial" w:cs="Arial"/>
                <w:sz w:val="20"/>
                <w:szCs w:val="20"/>
              </w:rPr>
              <w:t xml:space="preserve">- </w:t>
            </w:r>
            <w:r w:rsidRPr="004760A0">
              <w:rPr>
                <w:rFonts w:ascii="Arial" w:hAnsi="Arial" w:cs="Arial"/>
                <w:sz w:val="20"/>
                <w:szCs w:val="20"/>
              </w:rPr>
              <w:t>is added to the considerations of FM PT50</w:t>
            </w:r>
          </w:p>
          <w:p w:rsidR="00EF14D5" w:rsidRPr="003720B7" w:rsidRDefault="00EF14D5" w:rsidP="003720B7">
            <w:pPr>
              <w:jc w:val="left"/>
              <w:rPr>
                <w:rFonts w:ascii="Arial" w:hAnsi="Arial" w:cs="Arial"/>
                <w:b/>
                <w:sz w:val="20"/>
                <w:szCs w:val="20"/>
              </w:rPr>
            </w:pPr>
          </w:p>
        </w:tc>
      </w:tr>
      <w:tr w:rsidR="00EF14D5" w:rsidRPr="003720B7" w:rsidTr="002A041E">
        <w:trPr>
          <w:cantSplit/>
        </w:trPr>
        <w:tc>
          <w:tcPr>
            <w:tcW w:w="9600" w:type="dxa"/>
          </w:tcPr>
          <w:p w:rsidR="00EF14D5" w:rsidRDefault="00EF14D5" w:rsidP="00B57E61">
            <w:pPr>
              <w:keepNext/>
              <w:jc w:val="left"/>
              <w:outlineLvl w:val="2"/>
              <w:rPr>
                <w:rFonts w:ascii="Arial" w:hAnsi="Arial"/>
                <w:b/>
                <w:sz w:val="24"/>
                <w:szCs w:val="20"/>
              </w:rPr>
            </w:pPr>
          </w:p>
          <w:p w:rsidR="00EF14D5" w:rsidRPr="0035453B" w:rsidRDefault="00EF14D5" w:rsidP="00B57E61">
            <w:pPr>
              <w:keepNext/>
              <w:jc w:val="left"/>
              <w:outlineLvl w:val="2"/>
              <w:rPr>
                <w:rFonts w:ascii="Arial" w:hAnsi="Arial"/>
                <w:b/>
                <w:sz w:val="20"/>
                <w:szCs w:val="20"/>
              </w:rPr>
            </w:pPr>
            <w:r w:rsidRPr="0035453B">
              <w:rPr>
                <w:rFonts w:ascii="Arial" w:hAnsi="Arial"/>
                <w:b/>
                <w:sz w:val="20"/>
                <w:szCs w:val="20"/>
              </w:rPr>
              <w:t>Background</w:t>
            </w:r>
          </w:p>
          <w:p w:rsidR="00EF14D5" w:rsidRDefault="00EF14D5" w:rsidP="00B57E61">
            <w:pPr>
              <w:jc w:val="left"/>
              <w:rPr>
                <w:rFonts w:ascii="Arial" w:hAnsi="Arial" w:cs="Arial"/>
                <w:sz w:val="20"/>
                <w:szCs w:val="20"/>
              </w:rPr>
            </w:pPr>
          </w:p>
          <w:p w:rsidR="00EF14D5" w:rsidRPr="0035453B" w:rsidRDefault="00EF14D5" w:rsidP="00B57E61">
            <w:pPr>
              <w:jc w:val="left"/>
              <w:rPr>
                <w:rFonts w:ascii="Arial" w:hAnsi="Arial" w:cs="Arial"/>
                <w:sz w:val="20"/>
                <w:szCs w:val="20"/>
              </w:rPr>
            </w:pPr>
            <w:r>
              <w:rPr>
                <w:rFonts w:ascii="Arial" w:hAnsi="Arial" w:cs="Arial"/>
                <w:sz w:val="20"/>
                <w:szCs w:val="20"/>
              </w:rPr>
              <w:t>The EU 2020 agenda, EU Commission mandate M490 on standardisation for smart grids and the Commission Radio Spectrum Policy Programme’s call to look at the use of radio spectrum to contribute towards energy savings provide the background for this submission.</w:t>
            </w:r>
          </w:p>
          <w:p w:rsidR="00EF14D5" w:rsidRPr="003720B7" w:rsidRDefault="00EF14D5" w:rsidP="002A041E">
            <w:pPr>
              <w:spacing w:line="276" w:lineRule="auto"/>
              <w:rPr>
                <w:rFonts w:ascii="Arial" w:hAnsi="Arial" w:cs="Arial"/>
                <w:b/>
                <w:sz w:val="20"/>
                <w:szCs w:val="20"/>
              </w:rPr>
            </w:pPr>
          </w:p>
        </w:tc>
      </w:tr>
    </w:tbl>
    <w:p w:rsidR="00EF14D5" w:rsidRDefault="00EF14D5" w:rsidP="009C3F36">
      <w:pPr>
        <w:jc w:val="left"/>
        <w:rPr>
          <w:rFonts w:ascii="Arial" w:hAnsi="Arial"/>
          <w:sz w:val="20"/>
          <w:lang w:eastAsia="en-GB"/>
        </w:rPr>
      </w:pPr>
    </w:p>
    <w:p w:rsidR="00EF14D5" w:rsidRDefault="00EF14D5" w:rsidP="004A542E">
      <w:pPr>
        <w:rPr>
          <w:rFonts w:ascii="Arial" w:hAnsi="Arial" w:cs="Arial"/>
          <w:sz w:val="20"/>
          <w:lang w:eastAsia="en-GB"/>
        </w:rPr>
      </w:pPr>
    </w:p>
    <w:p w:rsidR="00EF14D5" w:rsidRDefault="00EF14D5" w:rsidP="004A542E">
      <w:pPr>
        <w:rPr>
          <w:rFonts w:ascii="Arial" w:hAnsi="Arial" w:cs="Arial"/>
          <w:sz w:val="20"/>
          <w:lang w:eastAsia="en-GB"/>
        </w:rPr>
      </w:pPr>
    </w:p>
    <w:p w:rsidR="00EF14D5" w:rsidRPr="002C54BF" w:rsidRDefault="00EF14D5" w:rsidP="006244B4">
      <w:pPr>
        <w:spacing w:before="120"/>
        <w:rPr>
          <w:rFonts w:ascii="Calibri" w:hAnsi="Calibri" w:cs="Calibri"/>
          <w:b/>
          <w:bCs/>
          <w:szCs w:val="22"/>
        </w:rPr>
      </w:pPr>
      <w:r>
        <w:rPr>
          <w:rFonts w:ascii="Calibri" w:hAnsi="Calibri" w:cs="Calibri"/>
          <w:b/>
          <w:bCs/>
        </w:rPr>
        <w:br w:type="page"/>
      </w:r>
      <w:r>
        <w:rPr>
          <w:rFonts w:ascii="Calibri" w:hAnsi="Calibri" w:cs="Calibri"/>
          <w:b/>
          <w:bCs/>
        </w:rPr>
        <w:lastRenderedPageBreak/>
        <w:t>Introduction and the need for the application</w:t>
      </w:r>
    </w:p>
    <w:p w:rsidR="00EF14D5" w:rsidRPr="007F74D0" w:rsidRDefault="00EF14D5" w:rsidP="006244B4">
      <w:pPr>
        <w:spacing w:before="120"/>
        <w:rPr>
          <w:rFonts w:ascii="Calibri" w:hAnsi="Calibri" w:cs="Calibri"/>
          <w:szCs w:val="22"/>
        </w:rPr>
      </w:pPr>
      <w:r w:rsidRPr="007F74D0">
        <w:rPr>
          <w:rFonts w:ascii="Calibri" w:hAnsi="Calibri" w:cs="Calibri"/>
          <w:szCs w:val="22"/>
        </w:rPr>
        <w:t>Smart Utility communications is a special case of wireless digital terrestrial data communications.</w:t>
      </w:r>
    </w:p>
    <w:p w:rsidR="00EF14D5" w:rsidRPr="007F74D0" w:rsidRDefault="00EF14D5" w:rsidP="006244B4">
      <w:pPr>
        <w:spacing w:before="120"/>
        <w:rPr>
          <w:rFonts w:ascii="Calibri" w:hAnsi="Calibri" w:cs="Calibri"/>
          <w:szCs w:val="22"/>
        </w:rPr>
      </w:pPr>
      <w:r w:rsidRPr="007F74D0">
        <w:rPr>
          <w:rFonts w:ascii="Calibri" w:hAnsi="Calibri" w:cs="Calibri"/>
          <w:szCs w:val="22"/>
        </w:rPr>
        <w:t>This application has the following characteristics which</w:t>
      </w:r>
      <w:r>
        <w:rPr>
          <w:rFonts w:ascii="Calibri" w:hAnsi="Calibri" w:cs="Calibri"/>
          <w:szCs w:val="22"/>
        </w:rPr>
        <w:t xml:space="preserve"> set it distinct f</w:t>
      </w:r>
      <w:r w:rsidRPr="007F74D0">
        <w:rPr>
          <w:rFonts w:ascii="Calibri" w:hAnsi="Calibri" w:cs="Calibri"/>
          <w:szCs w:val="22"/>
        </w:rPr>
        <w:t>r</w:t>
      </w:r>
      <w:r>
        <w:rPr>
          <w:rFonts w:ascii="Calibri" w:hAnsi="Calibri" w:cs="Calibri"/>
          <w:szCs w:val="22"/>
        </w:rPr>
        <w:t>om</w:t>
      </w:r>
      <w:r w:rsidRPr="007F74D0">
        <w:rPr>
          <w:rFonts w:ascii="Calibri" w:hAnsi="Calibri" w:cs="Calibri"/>
          <w:szCs w:val="22"/>
        </w:rPr>
        <w:t xml:space="preserve"> general commercial and </w:t>
      </w:r>
      <w:r>
        <w:rPr>
          <w:rFonts w:ascii="Calibri" w:hAnsi="Calibri" w:cs="Calibri"/>
          <w:szCs w:val="22"/>
        </w:rPr>
        <w:t>consumer applications and generate the need for</w:t>
      </w:r>
      <w:r w:rsidRPr="007F74D0">
        <w:rPr>
          <w:rFonts w:ascii="Calibri" w:hAnsi="Calibri" w:cs="Calibri"/>
          <w:szCs w:val="22"/>
        </w:rPr>
        <w:t xml:space="preserve"> a separate application:</w:t>
      </w:r>
    </w:p>
    <w:p w:rsidR="00EF14D5" w:rsidRPr="007F74D0" w:rsidRDefault="00EF14D5" w:rsidP="006244B4">
      <w:pPr>
        <w:numPr>
          <w:ilvl w:val="0"/>
          <w:numId w:val="21"/>
        </w:numPr>
        <w:spacing w:before="120"/>
        <w:ind w:left="714" w:hanging="357"/>
        <w:jc w:val="left"/>
        <w:rPr>
          <w:rFonts w:ascii="Calibri" w:hAnsi="Calibri" w:cs="Calibri"/>
          <w:szCs w:val="22"/>
        </w:rPr>
      </w:pPr>
      <w:r w:rsidRPr="007F74D0">
        <w:rPr>
          <w:rFonts w:ascii="Calibri" w:hAnsi="Calibri" w:cs="Calibri"/>
          <w:szCs w:val="22"/>
        </w:rPr>
        <w:t>Provide an essential service to deliver safe and economical smart utility networks (energy grids – electricity and gas, water supply networks)</w:t>
      </w:r>
      <w:r>
        <w:rPr>
          <w:rFonts w:ascii="Calibri" w:hAnsi="Calibri" w:cs="Calibri"/>
          <w:szCs w:val="22"/>
        </w:rPr>
        <w:t>.</w:t>
      </w:r>
    </w:p>
    <w:p w:rsidR="00EF14D5" w:rsidRPr="007F74D0" w:rsidRDefault="00EF14D5" w:rsidP="006244B4">
      <w:pPr>
        <w:numPr>
          <w:ilvl w:val="0"/>
          <w:numId w:val="21"/>
        </w:numPr>
        <w:spacing w:before="120"/>
        <w:ind w:left="714" w:hanging="357"/>
        <w:jc w:val="left"/>
        <w:rPr>
          <w:rFonts w:ascii="Calibri" w:hAnsi="Calibri" w:cs="Calibri"/>
          <w:szCs w:val="22"/>
        </w:rPr>
      </w:pPr>
      <w:r w:rsidRPr="007F74D0">
        <w:rPr>
          <w:rFonts w:ascii="Calibri" w:hAnsi="Calibri" w:cs="Calibri"/>
          <w:szCs w:val="22"/>
        </w:rPr>
        <w:t>Required resilience</w:t>
      </w:r>
      <w:r w:rsidRPr="006B60A9">
        <w:rPr>
          <w:rStyle w:val="Appelnotedebasdep"/>
        </w:rPr>
        <w:footnoteReference w:id="1"/>
      </w:r>
      <w:r w:rsidRPr="007F74D0">
        <w:rPr>
          <w:rFonts w:ascii="Calibri" w:hAnsi="Calibri" w:cs="Calibri"/>
          <w:szCs w:val="22"/>
        </w:rPr>
        <w:t xml:space="preserve"> of the grid system (which depends on the communications network to operate effectively) which delivers essential services</w:t>
      </w:r>
      <w:r>
        <w:rPr>
          <w:rFonts w:ascii="Calibri" w:hAnsi="Calibri" w:cs="Calibri"/>
          <w:szCs w:val="22"/>
        </w:rPr>
        <w:t>.</w:t>
      </w:r>
    </w:p>
    <w:p w:rsidR="00EF14D5" w:rsidRDefault="00EF14D5" w:rsidP="000F56C3">
      <w:pPr>
        <w:numPr>
          <w:ilvl w:val="0"/>
          <w:numId w:val="21"/>
        </w:numPr>
        <w:spacing w:before="120"/>
        <w:ind w:left="714" w:hanging="357"/>
        <w:rPr>
          <w:rFonts w:ascii="Calibri" w:hAnsi="Calibri" w:cs="Calibri"/>
          <w:szCs w:val="22"/>
        </w:rPr>
      </w:pPr>
      <w:r w:rsidRPr="007F74D0">
        <w:rPr>
          <w:rFonts w:ascii="Calibri" w:hAnsi="Calibri" w:cs="Calibri"/>
          <w:szCs w:val="22"/>
        </w:rPr>
        <w:t>Required confidence level for the priority of the communication for operational applications. That is, if certain smart grid communications were congested above a given level, the grid service would be impacted and could partially fail or fail over a wide area</w:t>
      </w:r>
      <w:r>
        <w:rPr>
          <w:rFonts w:ascii="Calibri" w:hAnsi="Calibri" w:cs="Calibri"/>
          <w:szCs w:val="22"/>
        </w:rPr>
        <w:t>.</w:t>
      </w:r>
    </w:p>
    <w:p w:rsidR="00EF14D5" w:rsidRPr="007F74D0" w:rsidRDefault="00EF14D5" w:rsidP="000F56C3">
      <w:pPr>
        <w:numPr>
          <w:ilvl w:val="0"/>
          <w:numId w:val="21"/>
        </w:numPr>
        <w:spacing w:before="120"/>
        <w:ind w:left="714" w:hanging="357"/>
        <w:rPr>
          <w:rFonts w:ascii="Calibri" w:hAnsi="Calibri" w:cs="Calibri"/>
          <w:szCs w:val="22"/>
        </w:rPr>
      </w:pPr>
      <w:r w:rsidRPr="00E77AC0">
        <w:rPr>
          <w:rFonts w:ascii="Calibri" w:hAnsi="Calibri" w:cs="Calibri"/>
          <w:szCs w:val="22"/>
        </w:rPr>
        <w:t>Required deterministic propagation delays and or very short end to end propagation delays for some services (for example 10 ms max</w:t>
      </w:r>
      <w:r>
        <w:rPr>
          <w:rFonts w:ascii="Calibri" w:hAnsi="Calibri" w:cs="Calibri"/>
          <w:szCs w:val="22"/>
        </w:rPr>
        <w:t>imum ‘</w:t>
      </w:r>
      <w:r w:rsidRPr="00E77AC0">
        <w:rPr>
          <w:rFonts w:ascii="Calibri" w:hAnsi="Calibri" w:cs="Calibri"/>
          <w:szCs w:val="22"/>
        </w:rPr>
        <w:t>end-to-end</w:t>
      </w:r>
      <w:r>
        <w:rPr>
          <w:rFonts w:ascii="Calibri" w:hAnsi="Calibri" w:cs="Calibri"/>
          <w:szCs w:val="22"/>
        </w:rPr>
        <w:t>’</w:t>
      </w:r>
      <w:r w:rsidRPr="00E77AC0">
        <w:rPr>
          <w:rFonts w:ascii="Calibri" w:hAnsi="Calibri" w:cs="Calibri"/>
          <w:szCs w:val="22"/>
        </w:rPr>
        <w:t xml:space="preserve"> delay</w:t>
      </w:r>
      <w:r>
        <w:rPr>
          <w:rFonts w:ascii="Calibri" w:hAnsi="Calibri" w:cs="Calibri"/>
          <w:szCs w:val="22"/>
        </w:rPr>
        <w:t xml:space="preserve"> </w:t>
      </w:r>
      <w:r w:rsidRPr="00E77AC0">
        <w:rPr>
          <w:rFonts w:ascii="Calibri" w:hAnsi="Calibri" w:cs="Calibri"/>
          <w:szCs w:val="22"/>
        </w:rPr>
        <w:t>for electrical protection on</w:t>
      </w:r>
      <w:r>
        <w:rPr>
          <w:rFonts w:ascii="Calibri" w:hAnsi="Calibri" w:cs="Calibri"/>
          <w:szCs w:val="22"/>
        </w:rPr>
        <w:t xml:space="preserve"> some elements of the </w:t>
      </w:r>
      <w:r w:rsidRPr="00E77AC0">
        <w:rPr>
          <w:rFonts w:ascii="Calibri" w:hAnsi="Calibri" w:cs="Calibri"/>
          <w:szCs w:val="22"/>
        </w:rPr>
        <w:t>high voltage network)</w:t>
      </w:r>
      <w:r>
        <w:rPr>
          <w:rFonts w:ascii="Calibri" w:hAnsi="Calibri" w:cs="Calibri"/>
          <w:szCs w:val="22"/>
        </w:rPr>
        <w:t>.</w:t>
      </w:r>
    </w:p>
    <w:p w:rsidR="00EF14D5" w:rsidRPr="007F74D0" w:rsidRDefault="00EF14D5" w:rsidP="000F56C3">
      <w:pPr>
        <w:numPr>
          <w:ilvl w:val="0"/>
          <w:numId w:val="21"/>
        </w:numPr>
        <w:spacing w:before="120"/>
        <w:ind w:left="714" w:hanging="357"/>
        <w:rPr>
          <w:rFonts w:ascii="Calibri" w:hAnsi="Calibri" w:cs="Calibri"/>
          <w:szCs w:val="22"/>
        </w:rPr>
      </w:pPr>
      <w:r w:rsidRPr="007F74D0">
        <w:rPr>
          <w:rFonts w:ascii="Calibri" w:hAnsi="Calibri" w:cs="Calibri"/>
          <w:szCs w:val="22"/>
        </w:rPr>
        <w:t>Investment cycles of equipment are long in comparison to consumer or general business applications. The main driver for this in the future is extremely high cost of end-point equipment replacement. This is due to the remote locations of the many end points, and the intrinsic hazards involved with utility operational locations. Thus provision for safe working necessarily adds very significantly to cost of changes.</w:t>
      </w:r>
    </w:p>
    <w:p w:rsidR="00EF14D5" w:rsidRPr="007F74D0" w:rsidRDefault="00EF14D5" w:rsidP="006244B4">
      <w:pPr>
        <w:numPr>
          <w:ilvl w:val="0"/>
          <w:numId w:val="21"/>
        </w:numPr>
        <w:spacing w:before="120"/>
        <w:ind w:left="714" w:hanging="357"/>
        <w:jc w:val="left"/>
        <w:rPr>
          <w:rFonts w:ascii="Calibri" w:hAnsi="Calibri" w:cs="Calibri"/>
          <w:szCs w:val="22"/>
        </w:rPr>
      </w:pPr>
      <w:r w:rsidRPr="007F74D0">
        <w:rPr>
          <w:rFonts w:ascii="Calibri" w:hAnsi="Calibri" w:cs="Calibri"/>
          <w:szCs w:val="22"/>
        </w:rPr>
        <w:t xml:space="preserve">Service </w:t>
      </w:r>
      <w:r>
        <w:rPr>
          <w:rFonts w:ascii="Calibri" w:hAnsi="Calibri" w:cs="Calibri"/>
          <w:szCs w:val="22"/>
        </w:rPr>
        <w:t xml:space="preserve">is </w:t>
      </w:r>
      <w:r w:rsidRPr="007F74D0">
        <w:rPr>
          <w:rFonts w:ascii="Calibri" w:hAnsi="Calibri" w:cs="Calibri"/>
          <w:szCs w:val="22"/>
        </w:rPr>
        <w:t>required at remote and inaccessible locations frequently not served by other networks</w:t>
      </w:r>
      <w:r>
        <w:rPr>
          <w:rFonts w:ascii="Calibri" w:hAnsi="Calibri" w:cs="Calibri"/>
          <w:szCs w:val="22"/>
        </w:rPr>
        <w:t>.</w:t>
      </w:r>
    </w:p>
    <w:p w:rsidR="00EF14D5" w:rsidRPr="007F74D0" w:rsidRDefault="00EF14D5" w:rsidP="006244B4">
      <w:pPr>
        <w:numPr>
          <w:ilvl w:val="0"/>
          <w:numId w:val="21"/>
        </w:numPr>
        <w:spacing w:before="120"/>
        <w:ind w:left="714" w:hanging="357"/>
        <w:jc w:val="left"/>
        <w:rPr>
          <w:rFonts w:ascii="Calibri" w:hAnsi="Calibri" w:cs="Calibri"/>
          <w:szCs w:val="22"/>
        </w:rPr>
      </w:pPr>
      <w:r w:rsidRPr="007F74D0">
        <w:rPr>
          <w:rFonts w:ascii="Calibri" w:hAnsi="Calibri" w:cs="Calibri"/>
          <w:szCs w:val="22"/>
        </w:rPr>
        <w:t>Application data rates are low (seldom greater than 1 Mb/s) and projections do not indicate this changing significantly over time</w:t>
      </w:r>
      <w:r>
        <w:rPr>
          <w:rFonts w:ascii="Calibri" w:hAnsi="Calibri" w:cs="Calibri"/>
          <w:szCs w:val="22"/>
        </w:rPr>
        <w:t>.</w:t>
      </w:r>
    </w:p>
    <w:p w:rsidR="00EF14D5" w:rsidRDefault="00EF14D5" w:rsidP="006244B4">
      <w:pPr>
        <w:spacing w:before="120"/>
        <w:rPr>
          <w:rFonts w:ascii="Calibri" w:hAnsi="Calibri" w:cs="Calibri"/>
          <w:szCs w:val="22"/>
        </w:rPr>
      </w:pPr>
    </w:p>
    <w:p w:rsidR="00EF14D5" w:rsidRPr="007F74D0" w:rsidRDefault="00EF14D5" w:rsidP="006244B4">
      <w:pPr>
        <w:spacing w:before="120"/>
        <w:rPr>
          <w:rFonts w:ascii="Calibri" w:hAnsi="Calibri" w:cs="Calibri"/>
          <w:szCs w:val="22"/>
        </w:rPr>
      </w:pPr>
      <w:r w:rsidRPr="007F74D0">
        <w:rPr>
          <w:rFonts w:ascii="Calibri" w:hAnsi="Calibri" w:cs="Calibri"/>
          <w:szCs w:val="22"/>
        </w:rPr>
        <w:t>The wireless access aspect of the application is needed for the following reasons:</w:t>
      </w:r>
    </w:p>
    <w:p w:rsidR="00EF14D5" w:rsidRDefault="00EF14D5" w:rsidP="006244B4">
      <w:pPr>
        <w:numPr>
          <w:ilvl w:val="0"/>
          <w:numId w:val="22"/>
        </w:numPr>
        <w:spacing w:before="120"/>
        <w:ind w:left="714" w:hanging="357"/>
        <w:jc w:val="left"/>
        <w:rPr>
          <w:rFonts w:ascii="Calibri" w:hAnsi="Calibri" w:cs="Calibri"/>
          <w:szCs w:val="22"/>
        </w:rPr>
      </w:pPr>
      <w:r w:rsidRPr="007F74D0">
        <w:rPr>
          <w:rFonts w:ascii="Calibri" w:hAnsi="Calibri" w:cs="Calibri"/>
          <w:szCs w:val="22"/>
        </w:rPr>
        <w:t xml:space="preserve">To economically provide service to a large number of remote locations, many of which, for utility grids, are located remote from </w:t>
      </w:r>
      <w:r>
        <w:rPr>
          <w:rFonts w:ascii="Calibri" w:hAnsi="Calibri" w:cs="Calibri"/>
          <w:szCs w:val="22"/>
        </w:rPr>
        <w:t xml:space="preserve">major areas of </w:t>
      </w:r>
      <w:r w:rsidRPr="007F74D0">
        <w:rPr>
          <w:rFonts w:ascii="Calibri" w:hAnsi="Calibri" w:cs="Calibri"/>
          <w:szCs w:val="22"/>
        </w:rPr>
        <w:t>population</w:t>
      </w:r>
      <w:r>
        <w:rPr>
          <w:rFonts w:ascii="Calibri" w:hAnsi="Calibri" w:cs="Calibri"/>
          <w:szCs w:val="22"/>
        </w:rPr>
        <w:t>.</w:t>
      </w:r>
    </w:p>
    <w:p w:rsidR="00EF14D5" w:rsidRPr="007F74D0" w:rsidRDefault="00EF14D5" w:rsidP="00986E1C">
      <w:pPr>
        <w:numPr>
          <w:ilvl w:val="0"/>
          <w:numId w:val="22"/>
        </w:numPr>
        <w:spacing w:before="120"/>
        <w:ind w:left="714" w:hanging="357"/>
        <w:jc w:val="left"/>
        <w:rPr>
          <w:rFonts w:ascii="Calibri" w:hAnsi="Calibri" w:cs="Calibri"/>
          <w:szCs w:val="22"/>
        </w:rPr>
      </w:pPr>
      <w:r w:rsidRPr="007F74D0">
        <w:rPr>
          <w:rFonts w:ascii="Calibri" w:hAnsi="Calibri" w:cs="Calibri"/>
          <w:szCs w:val="22"/>
        </w:rPr>
        <w:t>In order to meet the time-line of rollout required to achieve utility contribution to the EU 2020 agenda</w:t>
      </w:r>
      <w:r w:rsidRPr="009D4AA4">
        <w:rPr>
          <w:rStyle w:val="Appelnotedebasdep"/>
        </w:rPr>
        <w:footnoteReference w:id="2"/>
      </w:r>
      <w:r w:rsidRPr="007F74D0">
        <w:rPr>
          <w:rFonts w:ascii="Calibri" w:hAnsi="Calibri" w:cs="Calibri"/>
          <w:szCs w:val="22"/>
        </w:rPr>
        <w:t xml:space="preserve"> the use of wireless connectivity as the major part of the access method to the lower level (mor</w:t>
      </w:r>
      <w:r>
        <w:rPr>
          <w:rFonts w:ascii="Calibri" w:hAnsi="Calibri" w:cs="Calibri"/>
          <w:szCs w:val="22"/>
        </w:rPr>
        <w:t>e numerous) end-points is required.</w:t>
      </w:r>
    </w:p>
    <w:p w:rsidR="00EF14D5" w:rsidRDefault="00EF14D5" w:rsidP="006244B4">
      <w:pPr>
        <w:numPr>
          <w:ilvl w:val="0"/>
          <w:numId w:val="22"/>
        </w:numPr>
        <w:spacing w:before="120"/>
        <w:ind w:left="714" w:hanging="357"/>
        <w:jc w:val="left"/>
        <w:rPr>
          <w:rFonts w:ascii="Calibri" w:hAnsi="Calibri" w:cs="Calibri"/>
          <w:szCs w:val="22"/>
        </w:rPr>
      </w:pPr>
      <w:r w:rsidRPr="00E77AC0">
        <w:rPr>
          <w:rFonts w:ascii="Calibri" w:hAnsi="Calibri" w:cs="Calibri"/>
          <w:szCs w:val="22"/>
        </w:rPr>
        <w:t>Implementing smart utility grids requires communications services to be provided to many</w:t>
      </w:r>
      <w:r>
        <w:rPr>
          <w:rFonts w:ascii="Calibri" w:hAnsi="Calibri" w:cs="Calibri"/>
          <w:szCs w:val="22"/>
        </w:rPr>
        <w:t xml:space="preserve"> </w:t>
      </w:r>
      <w:r w:rsidRPr="00E77AC0">
        <w:rPr>
          <w:rFonts w:ascii="Calibri" w:hAnsi="Calibri" w:cs="Calibri"/>
          <w:szCs w:val="22"/>
        </w:rPr>
        <w:t>grid locations that</w:t>
      </w:r>
      <w:r>
        <w:rPr>
          <w:rFonts w:ascii="Calibri" w:hAnsi="Calibri" w:cs="Calibri"/>
          <w:szCs w:val="22"/>
        </w:rPr>
        <w:t xml:space="preserve"> are not served up to now with </w:t>
      </w:r>
      <w:r w:rsidRPr="00E77AC0">
        <w:rPr>
          <w:rFonts w:ascii="Calibri" w:hAnsi="Calibri" w:cs="Calibri"/>
          <w:szCs w:val="22"/>
        </w:rPr>
        <w:t>operational communications</w:t>
      </w:r>
      <w:r>
        <w:rPr>
          <w:rFonts w:ascii="Calibri" w:hAnsi="Calibri" w:cs="Calibri"/>
          <w:szCs w:val="22"/>
        </w:rPr>
        <w:t>.</w:t>
      </w:r>
    </w:p>
    <w:p w:rsidR="00EF14D5" w:rsidRDefault="00EF14D5" w:rsidP="006244B4">
      <w:pPr>
        <w:spacing w:before="120"/>
        <w:rPr>
          <w:rFonts w:ascii="Calibri" w:hAnsi="Calibri" w:cs="Calibri"/>
          <w:szCs w:val="22"/>
        </w:rPr>
      </w:pPr>
    </w:p>
    <w:p w:rsidR="00EF14D5" w:rsidRDefault="00EF14D5" w:rsidP="006244B4">
      <w:pPr>
        <w:spacing w:before="120"/>
        <w:rPr>
          <w:rFonts w:ascii="Calibri" w:hAnsi="Calibri" w:cs="Calibri"/>
          <w:szCs w:val="22"/>
        </w:rPr>
      </w:pPr>
      <w:r>
        <w:rPr>
          <w:rFonts w:ascii="Calibri" w:hAnsi="Calibri" w:cs="Calibri"/>
          <w:szCs w:val="22"/>
        </w:rPr>
        <w:lastRenderedPageBreak/>
        <w:t>Typical service types, based on the electricity network case, for the smart utility application are shown in the table below.</w:t>
      </w:r>
    </w:p>
    <w:p w:rsidR="00EF14D5" w:rsidRDefault="00EF14D5" w:rsidP="006244B4">
      <w:pPr>
        <w:spacing w:before="120"/>
        <w:jc w:val="center"/>
        <w:rPr>
          <w:rFonts w:ascii="Calibri" w:hAnsi="Calibri" w:cs="Calibri"/>
          <w:szCs w:val="22"/>
        </w:rPr>
      </w:pPr>
      <w:r>
        <w:rPr>
          <w:rFonts w:ascii="Calibri" w:hAnsi="Calibri" w:cs="Calibri"/>
          <w:szCs w:val="22"/>
        </w:rPr>
        <w:t>Table 1: Typical service types for smart utility application</w:t>
      </w:r>
    </w:p>
    <w:p w:rsidR="00EF14D5" w:rsidRDefault="00EF14D5" w:rsidP="006244B4">
      <w:pPr>
        <w:spacing w:before="12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984"/>
        <w:gridCol w:w="2744"/>
      </w:tblGrid>
      <w:tr w:rsidR="00EF14D5" w:rsidTr="00ED54E1">
        <w:tc>
          <w:tcPr>
            <w:tcW w:w="1668" w:type="dxa"/>
          </w:tcPr>
          <w:p w:rsidR="00EF14D5" w:rsidRDefault="00EF14D5" w:rsidP="00ED54E1">
            <w:pPr>
              <w:rPr>
                <w:b/>
                <w:bCs/>
              </w:rPr>
            </w:pPr>
            <w:r>
              <w:rPr>
                <w:b/>
                <w:bCs/>
              </w:rPr>
              <w:t>Service type</w:t>
            </w:r>
          </w:p>
        </w:tc>
        <w:tc>
          <w:tcPr>
            <w:tcW w:w="2126" w:type="dxa"/>
          </w:tcPr>
          <w:p w:rsidR="00EF14D5" w:rsidRDefault="00EF14D5" w:rsidP="00ED54E1">
            <w:pPr>
              <w:rPr>
                <w:b/>
                <w:bCs/>
              </w:rPr>
            </w:pPr>
            <w:r>
              <w:rPr>
                <w:b/>
                <w:bCs/>
              </w:rPr>
              <w:t>Description</w:t>
            </w:r>
          </w:p>
        </w:tc>
        <w:tc>
          <w:tcPr>
            <w:tcW w:w="1984" w:type="dxa"/>
          </w:tcPr>
          <w:p w:rsidR="00EF14D5" w:rsidRDefault="00EF14D5" w:rsidP="00ED54E1">
            <w:pPr>
              <w:rPr>
                <w:b/>
                <w:bCs/>
              </w:rPr>
            </w:pPr>
            <w:r>
              <w:rPr>
                <w:b/>
                <w:bCs/>
              </w:rPr>
              <w:t>Data rate</w:t>
            </w:r>
          </w:p>
        </w:tc>
        <w:tc>
          <w:tcPr>
            <w:tcW w:w="2744" w:type="dxa"/>
          </w:tcPr>
          <w:p w:rsidR="00EF14D5" w:rsidRDefault="00EF14D5" w:rsidP="00ED54E1">
            <w:pPr>
              <w:rPr>
                <w:b/>
                <w:bCs/>
              </w:rPr>
            </w:pPr>
            <w:r>
              <w:rPr>
                <w:b/>
                <w:bCs/>
              </w:rPr>
              <w:t>Comment</w:t>
            </w:r>
          </w:p>
        </w:tc>
      </w:tr>
      <w:tr w:rsidR="00EF14D5" w:rsidTr="00ED54E1">
        <w:tc>
          <w:tcPr>
            <w:tcW w:w="1668" w:type="dxa"/>
          </w:tcPr>
          <w:p w:rsidR="00EF14D5" w:rsidRDefault="00EF14D5" w:rsidP="00ED54E1">
            <w:r>
              <w:t xml:space="preserve">Data acquisition and control services (SCADA and related services) </w:t>
            </w:r>
          </w:p>
        </w:tc>
        <w:tc>
          <w:tcPr>
            <w:tcW w:w="2126" w:type="dxa"/>
          </w:tcPr>
          <w:p w:rsidR="00EF14D5" w:rsidRDefault="00EF14D5" w:rsidP="00ED54E1">
            <w:r>
              <w:t>Information is collected from the electrical network, generator units and major loads. Automatic control actions are communicated to maintain the system within required operational limits and to optimise network performance</w:t>
            </w:r>
          </w:p>
        </w:tc>
        <w:tc>
          <w:tcPr>
            <w:tcW w:w="1984" w:type="dxa"/>
          </w:tcPr>
          <w:p w:rsidR="00EF14D5" w:rsidRDefault="00EF14D5" w:rsidP="00ED54E1">
            <w:r>
              <w:t>9.6 kb/s to 64 kb/s in general, with an increasing number of locations requiring  higher data rates - up to 2 Mb/s.</w:t>
            </w:r>
          </w:p>
        </w:tc>
        <w:tc>
          <w:tcPr>
            <w:tcW w:w="2744" w:type="dxa"/>
          </w:tcPr>
          <w:p w:rsidR="00EF14D5" w:rsidRDefault="00EF14D5" w:rsidP="00ED54E1">
            <w:r>
              <w:t>In many cases these communications services are mission critical, loss of the service could result in power outages.</w:t>
            </w:r>
          </w:p>
          <w:p w:rsidR="00EF14D5" w:rsidRDefault="00EF14D5" w:rsidP="00ED54E1">
            <w:r>
              <w:t>When power has been lost in a network due to a fault, SCADA systems enable the network to be reconfigured remotely to restore supplies to many customers within a few minutes without field workers having to visit sites.</w:t>
            </w:r>
          </w:p>
          <w:p w:rsidR="00EF14D5" w:rsidRDefault="00EF14D5" w:rsidP="00ED54E1">
            <w:r>
              <w:t>In other cases loss of communications will cause sub-optimal grid performance thereby wasting energy.</w:t>
            </w:r>
          </w:p>
        </w:tc>
      </w:tr>
      <w:tr w:rsidR="00EF14D5" w:rsidTr="00ED54E1">
        <w:tc>
          <w:tcPr>
            <w:tcW w:w="1668" w:type="dxa"/>
          </w:tcPr>
          <w:p w:rsidR="00EF14D5" w:rsidRDefault="00EF14D5" w:rsidP="00ED54E1">
            <w:r>
              <w:t>Electrical protection</w:t>
            </w:r>
          </w:p>
        </w:tc>
        <w:tc>
          <w:tcPr>
            <w:tcW w:w="2126" w:type="dxa"/>
          </w:tcPr>
          <w:p w:rsidR="00EF14D5" w:rsidRDefault="00EF14D5" w:rsidP="00ED54E1">
            <w:r>
              <w:t>Communications services used to protect major parts of the electrical network in fault conditions</w:t>
            </w:r>
          </w:p>
        </w:tc>
        <w:tc>
          <w:tcPr>
            <w:tcW w:w="1984" w:type="dxa"/>
          </w:tcPr>
          <w:p w:rsidR="00EF14D5" w:rsidRDefault="00EF14D5" w:rsidP="00ED54E1">
            <w:r>
              <w:t>Typical data rate 64 kb/s</w:t>
            </w:r>
          </w:p>
        </w:tc>
        <w:tc>
          <w:tcPr>
            <w:tcW w:w="2744" w:type="dxa"/>
          </w:tcPr>
          <w:p w:rsidR="00EF14D5" w:rsidRDefault="00EF14D5" w:rsidP="00ED54E1">
            <w:r>
              <w:t>Failure of communications service could lead to damage to the electrical network</w:t>
            </w:r>
          </w:p>
        </w:tc>
      </w:tr>
    </w:tbl>
    <w:p w:rsidR="00EF14D5" w:rsidRDefault="00EF14D5" w:rsidP="006244B4">
      <w:pPr>
        <w:spacing w:before="120"/>
        <w:rPr>
          <w:rFonts w:ascii="Calibri" w:hAnsi="Calibri" w:cs="Calibri"/>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szCs w:val="22"/>
        </w:rPr>
      </w:pPr>
      <w:r w:rsidRPr="00C43B12">
        <w:rPr>
          <w:rFonts w:ascii="Calibri" w:hAnsi="Calibri" w:cs="Calibri"/>
          <w:b/>
          <w:bCs/>
          <w:szCs w:val="22"/>
        </w:rPr>
        <w:t>Architecture of the communications network for a smart utility network</w:t>
      </w:r>
    </w:p>
    <w:p w:rsidR="00EF14D5" w:rsidRDefault="00EF14D5" w:rsidP="006244B4">
      <w:pPr>
        <w:spacing w:before="120"/>
        <w:rPr>
          <w:rFonts w:ascii="Calibri" w:hAnsi="Calibri" w:cs="Calibri"/>
          <w:szCs w:val="22"/>
        </w:rPr>
      </w:pPr>
    </w:p>
    <w:p w:rsidR="00EF14D5" w:rsidRDefault="00EF14D5" w:rsidP="006244B4">
      <w:pPr>
        <w:spacing w:before="120"/>
        <w:rPr>
          <w:rFonts w:ascii="Calibri" w:hAnsi="Calibri" w:cs="Calibri"/>
          <w:szCs w:val="22"/>
        </w:rPr>
      </w:pPr>
      <w:r>
        <w:rPr>
          <w:rFonts w:ascii="Calibri" w:hAnsi="Calibri" w:cs="Calibri"/>
          <w:szCs w:val="22"/>
        </w:rPr>
        <w:t>A suitable architecture for the communications network consists of an access layer that provides narrowband access over a wide coverage area with many end points (for example corresponding closely to the two lowest layers of the pyramid in figure 1). This layer will generally be provided over a wireless network in non-urban areas. There will be significant country differences in the detail of how this is implemented.</w:t>
      </w:r>
    </w:p>
    <w:p w:rsidR="00EF14D5" w:rsidRDefault="00EF14D5" w:rsidP="006244B4">
      <w:pPr>
        <w:spacing w:before="120"/>
        <w:rPr>
          <w:rFonts w:ascii="Calibri" w:hAnsi="Calibri" w:cs="Calibri"/>
          <w:szCs w:val="22"/>
        </w:rPr>
      </w:pPr>
      <w:r>
        <w:rPr>
          <w:rFonts w:ascii="Calibri" w:hAnsi="Calibri" w:cs="Calibri"/>
          <w:szCs w:val="22"/>
        </w:rPr>
        <w:t>Above this there is a “middle mile” communications system which aggregates narrow band service at collection points and also provides higher data rate (1 to 2 Mb/s) service to the middle layers of the utility network. A suitable wireless access technology is the best choice, from the point of view of cost and speed of roll-out, for a large proportion of this layer.</w:t>
      </w:r>
    </w:p>
    <w:p w:rsidR="00EF14D5" w:rsidRDefault="00EF14D5" w:rsidP="006244B4">
      <w:pPr>
        <w:spacing w:before="120"/>
        <w:rPr>
          <w:rFonts w:ascii="Calibri" w:hAnsi="Calibri" w:cs="Calibri"/>
          <w:szCs w:val="22"/>
        </w:rPr>
      </w:pPr>
      <w:r>
        <w:rPr>
          <w:rFonts w:ascii="Calibri" w:hAnsi="Calibri" w:cs="Calibri"/>
          <w:szCs w:val="22"/>
        </w:rPr>
        <w:t>Finally there is a high bandwidth trunk layer that connects the “middle mile” access points together and also provides high data rate connectivity to the top layers of the utility network. This layer will generally be carried on a combination of fibre optic and point to point microwave radio links.</w:t>
      </w:r>
    </w:p>
    <w:p w:rsidR="00EF14D5" w:rsidRDefault="00EF14D5" w:rsidP="006244B4">
      <w:pPr>
        <w:spacing w:before="120"/>
        <w:rPr>
          <w:rFonts w:ascii="Calibri" w:hAnsi="Calibri" w:cs="Calibri"/>
          <w:szCs w:val="22"/>
        </w:rPr>
      </w:pPr>
    </w:p>
    <w:p w:rsidR="00EF14D5" w:rsidRPr="007F74D0" w:rsidRDefault="00EF14D5" w:rsidP="006244B4">
      <w:pPr>
        <w:spacing w:before="120"/>
        <w:rPr>
          <w:rFonts w:ascii="Calibri" w:hAnsi="Calibri" w:cs="Calibri"/>
          <w:szCs w:val="22"/>
        </w:rPr>
      </w:pPr>
    </w:p>
    <w:p w:rsidR="00EF14D5" w:rsidRDefault="00EF14D5" w:rsidP="006244B4">
      <w:pPr>
        <w:spacing w:before="120"/>
        <w:rPr>
          <w:rFonts w:ascii="Calibri" w:hAnsi="Calibri" w:cs="Calibri"/>
          <w:szCs w:val="22"/>
        </w:rPr>
      </w:pPr>
    </w:p>
    <w:p w:rsidR="00EF14D5" w:rsidRDefault="00BA2A66" w:rsidP="006244B4">
      <w:pPr>
        <w:spacing w:before="120"/>
        <w:rPr>
          <w:rFonts w:ascii="Calibri" w:hAnsi="Calibri" w:cs="Calibri"/>
          <w:b/>
          <w:bCs/>
          <w:szCs w:val="22"/>
        </w:rPr>
      </w:pPr>
      <w:r>
        <w:rPr>
          <w:noProof/>
          <w:lang w:val="en-IE" w:eastAsia="en-IE"/>
        </w:rPr>
        <w:lastRenderedPageBreak/>
        <w:pict>
          <v:shape id="_x0000_s1026" type="#_x0000_t75" style="position:absolute;left:0;text-align:left;margin-left:33pt;margin-top:2.9pt;width:379.9pt;height:260.4pt;z-index:-1;mso-position-vertical-relative:page" wrapcoords="-43 0 -43 21538 21600 21538 21600 0 -43 0" o:allowoverlap="f">
            <v:imagedata r:id="rId9" o:title=""/>
            <w10:wrap type="tight" anchory="page"/>
          </v:shape>
        </w:pict>
      </w: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Default="00EF14D5" w:rsidP="001B6370">
      <w:pPr>
        <w:spacing w:before="120"/>
        <w:jc w:val="center"/>
        <w:rPr>
          <w:rFonts w:ascii="Calibri" w:hAnsi="Calibri" w:cs="Calibri"/>
          <w:b/>
          <w:bCs/>
          <w:szCs w:val="22"/>
        </w:rPr>
      </w:pPr>
      <w:r w:rsidRPr="001B6370">
        <w:rPr>
          <w:rFonts w:ascii="Calibri" w:hAnsi="Calibri" w:cs="Calibri"/>
          <w:szCs w:val="22"/>
        </w:rPr>
        <w:t>Figure 1: Increase in connection nodes</w:t>
      </w: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r>
        <w:rPr>
          <w:rFonts w:ascii="Calibri" w:hAnsi="Calibri" w:cs="Calibri"/>
          <w:b/>
          <w:bCs/>
          <w:szCs w:val="22"/>
        </w:rPr>
        <w:t>The context of smart utility networks and the importance of utility networks</w:t>
      </w:r>
    </w:p>
    <w:p w:rsidR="00EF14D5" w:rsidRPr="00895A45" w:rsidRDefault="00EF14D5" w:rsidP="006244B4">
      <w:pPr>
        <w:spacing w:before="120"/>
        <w:rPr>
          <w:rFonts w:ascii="Calibri" w:hAnsi="Calibri" w:cs="Calibri"/>
          <w:szCs w:val="22"/>
        </w:rPr>
      </w:pPr>
      <w:r w:rsidRPr="00895A45">
        <w:rPr>
          <w:rFonts w:ascii="Calibri" w:hAnsi="Calibri" w:cs="Calibri"/>
          <w:szCs w:val="22"/>
        </w:rPr>
        <w:t xml:space="preserve">The importance of </w:t>
      </w:r>
      <w:r>
        <w:rPr>
          <w:rFonts w:ascii="Calibri" w:hAnsi="Calibri" w:cs="Calibri"/>
          <w:szCs w:val="22"/>
        </w:rPr>
        <w:t>smart grids is recognised by the European commission, for instance in mandate M490 on the development of standards for smart grids. It is recognised that increased performance and efficiency of energy grids and also better management of water resources are important issues for sustainable development.</w:t>
      </w:r>
    </w:p>
    <w:p w:rsidR="00EF14D5" w:rsidRDefault="00EF14D5" w:rsidP="006244B4">
      <w:pPr>
        <w:spacing w:before="120"/>
        <w:rPr>
          <w:rFonts w:ascii="Calibri" w:hAnsi="Calibri" w:cs="Calibri"/>
          <w:szCs w:val="22"/>
        </w:rPr>
      </w:pPr>
      <w:r>
        <w:rPr>
          <w:rFonts w:ascii="Calibri" w:hAnsi="Calibri" w:cs="Calibri"/>
          <w:szCs w:val="22"/>
        </w:rPr>
        <w:t>EUTC commissioned a report into the socio-economic benefit of radio spectrum used by utilities to support their operations.  This concluded that the socio-economic value of electricity is 50-150 times the direct price paid by the consumer, and that energy policy objectives for 2020 and beyond could only be delivered cost effectively if adequate radio spectrum is made available to support utility operations</w:t>
      </w:r>
      <w:r>
        <w:rPr>
          <w:rStyle w:val="Appelnotedebasdep"/>
          <w:rFonts w:ascii="Calibri" w:hAnsi="Calibri" w:cs="Calibri"/>
          <w:szCs w:val="22"/>
        </w:rPr>
        <w:footnoteReference w:id="3"/>
      </w:r>
      <w:r>
        <w:rPr>
          <w:rFonts w:ascii="Calibri" w:hAnsi="Calibri" w:cs="Calibri"/>
          <w:szCs w:val="22"/>
        </w:rPr>
        <w:t>.</w:t>
      </w:r>
    </w:p>
    <w:p w:rsidR="00EF14D5" w:rsidRDefault="00EF14D5" w:rsidP="006244B4">
      <w:pPr>
        <w:spacing w:before="120"/>
        <w:rPr>
          <w:rFonts w:ascii="Calibri" w:hAnsi="Calibri" w:cs="Calibri"/>
          <w:b/>
          <w:bCs/>
          <w:szCs w:val="22"/>
        </w:rPr>
      </w:pPr>
    </w:p>
    <w:p w:rsidR="00EF14D5" w:rsidRDefault="00EF14D5" w:rsidP="006244B4">
      <w:pPr>
        <w:spacing w:before="120"/>
        <w:rPr>
          <w:rFonts w:ascii="Calibri" w:hAnsi="Calibri" w:cs="Calibri"/>
          <w:b/>
          <w:bCs/>
          <w:szCs w:val="22"/>
        </w:rPr>
      </w:pPr>
    </w:p>
    <w:p w:rsidR="00EF14D5" w:rsidRPr="002C54BF" w:rsidRDefault="00EF14D5" w:rsidP="006244B4">
      <w:pPr>
        <w:spacing w:before="120"/>
        <w:rPr>
          <w:rFonts w:ascii="Calibri" w:hAnsi="Calibri" w:cs="Calibri"/>
          <w:b/>
          <w:bCs/>
          <w:szCs w:val="22"/>
        </w:rPr>
      </w:pPr>
      <w:r>
        <w:rPr>
          <w:rFonts w:ascii="Calibri" w:hAnsi="Calibri" w:cs="Calibri"/>
          <w:b/>
          <w:bCs/>
          <w:szCs w:val="22"/>
        </w:rPr>
        <w:t>Possible wireless technologies for smart utility “middle mile”</w:t>
      </w:r>
    </w:p>
    <w:p w:rsidR="00EF14D5" w:rsidRDefault="00EF14D5" w:rsidP="006244B4">
      <w:pPr>
        <w:spacing w:before="120"/>
        <w:rPr>
          <w:rFonts w:ascii="Calibri" w:hAnsi="Calibri" w:cs="Calibri"/>
          <w:szCs w:val="22"/>
        </w:rPr>
      </w:pPr>
      <w:r>
        <w:rPr>
          <w:rFonts w:ascii="Calibri" w:hAnsi="Calibri" w:cs="Calibri"/>
          <w:szCs w:val="22"/>
        </w:rPr>
        <w:t>Fixed microwave equipment is already available for L-band manufactured in accordance with existing ETSI specifications (this band was used for microwave fixed links in various countries prior to being allocated to broadcasting).</w:t>
      </w:r>
    </w:p>
    <w:p w:rsidR="00EF14D5" w:rsidRDefault="00EF14D5" w:rsidP="006244B4">
      <w:pPr>
        <w:spacing w:before="120"/>
        <w:rPr>
          <w:rFonts w:ascii="Calibri" w:hAnsi="Calibri" w:cs="Calibri"/>
          <w:szCs w:val="22"/>
        </w:rPr>
      </w:pPr>
      <w:r>
        <w:rPr>
          <w:rFonts w:ascii="Calibri" w:hAnsi="Calibri" w:cs="Calibri"/>
          <w:szCs w:val="22"/>
        </w:rPr>
        <w:t xml:space="preserve">Equipment manufactured to the WiMAX standard is already deployed by utilities in similar bands in a number of countries, most notably the </w:t>
      </w:r>
      <w:smartTag w:uri="urn:schemas-microsoft-com:office:smarttags" w:element="country-region">
        <w:r>
          <w:rPr>
            <w:rFonts w:ascii="Calibri" w:hAnsi="Calibri" w:cs="Calibri"/>
            <w:szCs w:val="22"/>
          </w:rPr>
          <w:t>USA</w:t>
        </w:r>
      </w:smartTag>
      <w:r>
        <w:rPr>
          <w:rFonts w:ascii="Calibri" w:hAnsi="Calibri" w:cs="Calibri"/>
          <w:szCs w:val="22"/>
        </w:rPr>
        <w:t>.  The WiMAX Forum is currently developing a smart utility profile for equipment to be deployed in this band.</w:t>
      </w:r>
    </w:p>
    <w:p w:rsidR="00EF14D5" w:rsidRDefault="00EF14D5" w:rsidP="006244B4">
      <w:pPr>
        <w:rPr>
          <w:rFonts w:ascii="Calibri" w:hAnsi="Calibri" w:cs="Calibri"/>
          <w:szCs w:val="22"/>
        </w:rPr>
      </w:pPr>
    </w:p>
    <w:p w:rsidR="00EF14D5" w:rsidRPr="006F5881" w:rsidRDefault="00EF14D5" w:rsidP="006F5881">
      <w:pPr>
        <w:rPr>
          <w:rFonts w:ascii="Calibri" w:hAnsi="Calibri" w:cs="Calibri"/>
          <w:szCs w:val="22"/>
        </w:rPr>
      </w:pPr>
      <w:r>
        <w:rPr>
          <w:rFonts w:ascii="Calibri" w:hAnsi="Calibri" w:cs="Calibri"/>
          <w:szCs w:val="22"/>
        </w:rPr>
        <w:t>It is anticipated that LTE will be standardised for L-band with a public safety profile more appropriate</w:t>
      </w:r>
      <w:r w:rsidRPr="006F5881">
        <w:rPr>
          <w:rFonts w:ascii="Calibri" w:hAnsi="Calibri" w:cs="Calibri"/>
          <w:szCs w:val="22"/>
          <w:lang w:eastAsia="en-GB"/>
        </w:rPr>
        <w:t xml:space="preserve"> </w:t>
      </w:r>
      <w:r w:rsidRPr="006F5881">
        <w:rPr>
          <w:rFonts w:ascii="Calibri" w:hAnsi="Calibri" w:cs="Calibri"/>
          <w:szCs w:val="22"/>
        </w:rPr>
        <w:t>to utilities than the general commercial profile.</w:t>
      </w:r>
    </w:p>
    <w:p w:rsidR="00EF14D5" w:rsidRPr="00F71EB2" w:rsidRDefault="00EF14D5" w:rsidP="006244B4">
      <w:pPr>
        <w:rPr>
          <w:rFonts w:ascii="Arial" w:hAnsi="Arial" w:cs="Arial"/>
          <w:sz w:val="20"/>
          <w:lang w:eastAsia="en-GB"/>
        </w:rPr>
      </w:pPr>
    </w:p>
    <w:sectPr w:rsidR="00EF14D5" w:rsidRPr="00F71EB2" w:rsidSect="001F486B">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66" w:rsidRDefault="00BA2A66">
      <w:r>
        <w:separator/>
      </w:r>
    </w:p>
  </w:endnote>
  <w:endnote w:type="continuationSeparator" w:id="0">
    <w:p w:rsidR="00BA2A66" w:rsidRDefault="00BA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D5" w:rsidRDefault="00EF14D5">
    <w:pPr>
      <w:pStyle w:val="Pieddepage"/>
    </w:pPr>
    <w:r>
      <w:tab/>
    </w:r>
    <w:r>
      <w:rPr>
        <w:rStyle w:val="Numrodepage"/>
      </w:rPr>
      <w:fldChar w:fldCharType="begin"/>
    </w:r>
    <w:r>
      <w:rPr>
        <w:rStyle w:val="Numrodepage"/>
      </w:rPr>
      <w:instrText xml:space="preserve"> PAGE </w:instrText>
    </w:r>
    <w:r>
      <w:rPr>
        <w:rStyle w:val="Numrodepage"/>
      </w:rPr>
      <w:fldChar w:fldCharType="separate"/>
    </w:r>
    <w:r w:rsidR="00D67441">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66" w:rsidRDefault="00BA2A66">
      <w:r>
        <w:separator/>
      </w:r>
    </w:p>
  </w:footnote>
  <w:footnote w:type="continuationSeparator" w:id="0">
    <w:p w:rsidR="00BA2A66" w:rsidRDefault="00BA2A66">
      <w:r>
        <w:continuationSeparator/>
      </w:r>
    </w:p>
  </w:footnote>
  <w:footnote w:id="1">
    <w:p w:rsidR="00EF14D5" w:rsidRDefault="00EF14D5" w:rsidP="006244B4">
      <w:pPr>
        <w:pStyle w:val="Notedebasdepage"/>
      </w:pPr>
      <w:r>
        <w:rPr>
          <w:rStyle w:val="Appelnotedebasdep"/>
        </w:rPr>
        <w:footnoteRef/>
      </w:r>
      <w:r>
        <w:t xml:space="preserve"> </w:t>
      </w:r>
      <w:r>
        <w:rPr>
          <w:lang w:val="en-IE"/>
        </w:rPr>
        <w:t xml:space="preserve">A major issue with the resilience of general communications networks is their resilience in the case on mains power failure. Owing the fact that mains electricity supply is very reliable in developed countries, the lower access levels of major communications systems will frequently not continue to operate during an extended mains power failure. The reliability of mains electrical power is increasing over </w:t>
      </w:r>
      <w:proofErr w:type="gramStart"/>
      <w:r>
        <w:rPr>
          <w:lang w:val="en-IE"/>
        </w:rPr>
        <w:t>time,</w:t>
      </w:r>
      <w:proofErr w:type="gramEnd"/>
      <w:r>
        <w:rPr>
          <w:lang w:val="en-IE"/>
        </w:rPr>
        <w:t xml:space="preserve"> therefore it will not make business sense for typical consumer and business telecommunication services to increase their power resilience in the access network.</w:t>
      </w:r>
    </w:p>
  </w:footnote>
  <w:footnote w:id="2">
    <w:p w:rsidR="00EF14D5" w:rsidRDefault="00EF14D5" w:rsidP="006244B4">
      <w:pPr>
        <w:pStyle w:val="Notedebasdepage"/>
      </w:pPr>
      <w:r>
        <w:rPr>
          <w:rStyle w:val="Appelnotedebasdep"/>
        </w:rPr>
        <w:footnoteRef/>
      </w:r>
      <w:r>
        <w:t xml:space="preserve"> </w:t>
      </w:r>
      <w:r w:rsidRPr="009B2BE6">
        <w:t xml:space="preserve">The EU 2020 agenda contains targets for Climate change and energy: greenhouse gas emissions 20% (or even 30%, if the conditions are right) lower than 1990, 20% of energy from renewables, 20% increase in energy efficiency - source European Commission, </w:t>
      </w:r>
      <w:hyperlink r:id="rId1" w:tooltip="http://ec.europa.eu/europe2020/reaching-the-goals/targets/index_en.htm" w:history="1">
        <w:r w:rsidRPr="009B2BE6">
          <w:rPr>
            <w:rStyle w:val="Lienhypertexte"/>
          </w:rPr>
          <w:t>http://ec.europa.eu/europe2020/reaching-the-goals/targets/index_en.htm</w:t>
        </w:r>
      </w:hyperlink>
    </w:p>
  </w:footnote>
  <w:footnote w:id="3">
    <w:p w:rsidR="00EF14D5" w:rsidRDefault="00EF14D5" w:rsidP="006244B4">
      <w:pPr>
        <w:pStyle w:val="Notedebasdepage"/>
      </w:pPr>
      <w:r>
        <w:rPr>
          <w:rStyle w:val="Appelnotedebasdep"/>
        </w:rPr>
        <w:footnoteRef/>
      </w:r>
      <w:r>
        <w:t xml:space="preserve"> The Socio-Economic Value of Radio Spectrum used by Utilities in support of their operations:</w:t>
      </w:r>
    </w:p>
    <w:p w:rsidR="00EF14D5" w:rsidRDefault="00EF14D5" w:rsidP="006244B4">
      <w:pPr>
        <w:pStyle w:val="Notedebasdepage"/>
      </w:pPr>
      <w:r>
        <w:t xml:space="preserve">Report by the Joint Radio Company Ltd on behalf of the European Utilities Telecommunications Council: </w:t>
      </w:r>
      <w:r w:rsidRPr="008E543E">
        <w:t>13 January 2012</w:t>
      </w:r>
      <w:r>
        <w:t xml:space="preserve">: </w:t>
      </w:r>
      <w:hyperlink r:id="rId2" w:history="1">
        <w:r w:rsidRPr="004B766E">
          <w:rPr>
            <w:rStyle w:val="Lienhypertexte"/>
          </w:rPr>
          <w:t>http://eutc.org/fileshare/files/375/EUTC_Spectrum_Group_-_Meeting_Documents/Socio-economic_value_of_Spectrum_used_by_utilities.pdf</w:t>
        </w:r>
      </w:hyperlink>
      <w:r>
        <w:t xml:space="preserve"> or see </w:t>
      </w:r>
      <w:hyperlink r:id="rId3" w:history="1">
        <w:r w:rsidRPr="00C12213">
          <w:rPr>
            <w:rStyle w:val="Lienhypertexte"/>
          </w:rPr>
          <w:t>http://www.eutc.org/</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DBB"/>
    <w:multiLevelType w:val="multilevel"/>
    <w:tmpl w:val="DDE079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B76066"/>
    <w:multiLevelType w:val="hybridMultilevel"/>
    <w:tmpl w:val="DE5CF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3A65F0"/>
    <w:multiLevelType w:val="multilevel"/>
    <w:tmpl w:val="EB3878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D41BC3"/>
    <w:multiLevelType w:val="multilevel"/>
    <w:tmpl w:val="4F8AEF6A"/>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6">
    <w:nsid w:val="2D652860"/>
    <w:multiLevelType w:val="hybridMultilevel"/>
    <w:tmpl w:val="27EE2BB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CD62905"/>
    <w:multiLevelType w:val="hybridMultilevel"/>
    <w:tmpl w:val="ADD8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967F4"/>
    <w:multiLevelType w:val="hybridMultilevel"/>
    <w:tmpl w:val="B78CF874"/>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0C17250"/>
    <w:multiLevelType w:val="multilevel"/>
    <w:tmpl w:val="48DA5D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4070571"/>
    <w:multiLevelType w:val="hybridMultilevel"/>
    <w:tmpl w:val="EA3A64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452F57ED"/>
    <w:multiLevelType w:val="hybridMultilevel"/>
    <w:tmpl w:val="D47C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7222E"/>
    <w:multiLevelType w:val="hybridMultilevel"/>
    <w:tmpl w:val="DC402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94C1A20"/>
    <w:multiLevelType w:val="hybridMultilevel"/>
    <w:tmpl w:val="D7685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E3F0425"/>
    <w:multiLevelType w:val="hybridMultilevel"/>
    <w:tmpl w:val="457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D3B22"/>
    <w:multiLevelType w:val="hybridMultilevel"/>
    <w:tmpl w:val="813E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35092B"/>
    <w:multiLevelType w:val="hybridMultilevel"/>
    <w:tmpl w:val="27EE2BB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D5535E7"/>
    <w:multiLevelType w:val="hybridMultilevel"/>
    <w:tmpl w:val="27EE2BB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F71085B"/>
    <w:multiLevelType w:val="hybridMultilevel"/>
    <w:tmpl w:val="835036E6"/>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DD7632"/>
    <w:multiLevelType w:val="multilevel"/>
    <w:tmpl w:val="C5F4B03E"/>
    <w:lvl w:ilvl="0">
      <w:start w:val="1"/>
      <w:numFmt w:val="decimal"/>
      <w:lvlText w:val="●"/>
      <w:lvlJc w:val="left"/>
      <w:pPr>
        <w:tabs>
          <w:tab w:val="num" w:pos="400"/>
        </w:tabs>
        <w:ind w:left="400" w:hanging="400"/>
      </w:pPr>
      <w:rPr>
        <w:rFonts w:ascii="Arial" w:hAnsi="Arial" w:cs="Arial"/>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null="1"/>
      <w:lvlJc w:val="left"/>
      <w:pPr>
        <w:tabs>
          <w:tab w:val="num" w:pos="0"/>
        </w:tabs>
      </w:pPr>
      <w:rPr>
        <w:rFonts w:cs="Times New Roman"/>
        <w:color w:val="000000"/>
      </w:rPr>
    </w:lvl>
    <w:lvl w:ilvl="4">
      <w:start w:val="1"/>
      <w:numFmt w:val="lowerLetter"/>
      <w:lvlText w:null="1"/>
      <w:lvlJc w:val="left"/>
      <w:pPr>
        <w:tabs>
          <w:tab w:val="num" w:pos="0"/>
        </w:tabs>
      </w:pPr>
      <w:rPr>
        <w:rFonts w:cs="Times New Roman"/>
        <w:color w:val="000000"/>
      </w:rPr>
    </w:lvl>
    <w:lvl w:ilvl="5">
      <w:start w:val="1"/>
      <w:numFmt w:val="lowerRoman"/>
      <w:lvlText w:null="1"/>
      <w:lvlJc w:val="left"/>
      <w:pPr>
        <w:tabs>
          <w:tab w:val="num" w:pos="0"/>
        </w:tabs>
      </w:pPr>
      <w:rPr>
        <w:rFonts w:cs="Times New Roman"/>
        <w:color w:val="000000"/>
      </w:rPr>
    </w:lvl>
    <w:lvl w:ilvl="6">
      <w:start w:val="1"/>
      <w:numFmt w:val="decimal"/>
      <w:lvlText w:null="1"/>
      <w:lvlJc w:val="left"/>
      <w:pPr>
        <w:tabs>
          <w:tab w:val="num" w:pos="0"/>
        </w:tabs>
      </w:pPr>
      <w:rPr>
        <w:rFonts w:cs="Times New Roman"/>
        <w:color w:val="000000"/>
      </w:rPr>
    </w:lvl>
    <w:lvl w:ilvl="7">
      <w:start w:val="1"/>
      <w:numFmt w:val="lowerLetter"/>
      <w:lvlText w:null="1"/>
      <w:lvlJc w:val="left"/>
      <w:pPr>
        <w:tabs>
          <w:tab w:val="num" w:pos="0"/>
        </w:tabs>
      </w:pPr>
      <w:rPr>
        <w:rFonts w:cs="Times New Roman"/>
        <w:color w:val="000000"/>
      </w:rPr>
    </w:lvl>
    <w:lvl w:ilvl="8">
      <w:start w:val="1"/>
      <w:numFmt w:val="lowerRoman"/>
      <w:lvlText w:null="1"/>
      <w:lvlJc w:val="left"/>
      <w:pPr>
        <w:tabs>
          <w:tab w:val="num" w:pos="0"/>
        </w:tabs>
      </w:pPr>
      <w:rPr>
        <w:rFonts w:cs="Times New Roman"/>
        <w:color w:val="000000"/>
      </w:rPr>
    </w:lvl>
  </w:abstractNum>
  <w:abstractNum w:abstractNumId="21">
    <w:nsid w:val="7E8172D4"/>
    <w:multiLevelType w:val="multilevel"/>
    <w:tmpl w:val="121866B2"/>
    <w:name w:val="BulletListTemplate"/>
    <w:lvl w:ilvl="0">
      <w:start w:val="1"/>
      <w:numFmt w:val="decimal"/>
      <w:pStyle w:val="BulletList1"/>
      <w:lvlText w:val=""/>
      <w:lvlJc w:val="left"/>
      <w:pPr>
        <w:tabs>
          <w:tab w:val="num" w:pos="400"/>
        </w:tabs>
        <w:ind w:left="400" w:hanging="400"/>
      </w:pPr>
      <w:rPr>
        <w:rFonts w:ascii="Symbol" w:hAnsi="Symbol" w:cs="Times New Roman" w:hint="default"/>
        <w:color w:val="4F2683"/>
      </w:rPr>
    </w:lvl>
    <w:lvl w:ilvl="1">
      <w:start w:val="1"/>
      <w:numFmt w:val="lowerLetter"/>
      <w:pStyle w:val="BulletList2"/>
      <w:lvlText w:val="–"/>
      <w:lvlJc w:val="left"/>
      <w:pPr>
        <w:tabs>
          <w:tab w:val="num" w:pos="800"/>
        </w:tabs>
        <w:ind w:left="800" w:hanging="400"/>
      </w:pPr>
      <w:rPr>
        <w:rFonts w:ascii="Arial" w:hAnsi="Arial" w:cs="Arial"/>
        <w:color w:val="4F2683"/>
      </w:rPr>
    </w:lvl>
    <w:lvl w:ilvl="2">
      <w:start w:val="1"/>
      <w:numFmt w:val="lowerRoman"/>
      <w:pStyle w:val="BulletList3"/>
      <w:lvlText w:val="–"/>
      <w:lvlJc w:val="left"/>
      <w:pPr>
        <w:tabs>
          <w:tab w:val="num" w:pos="1200"/>
        </w:tabs>
        <w:ind w:left="1200" w:hanging="400"/>
      </w:pPr>
      <w:rPr>
        <w:rFonts w:ascii="Arial" w:hAnsi="Arial" w:cs="Arial"/>
        <w:color w:val="4F2683"/>
      </w:rPr>
    </w:lvl>
    <w:lvl w:ilvl="3">
      <w:start w:val="1"/>
      <w:numFmt w:val="decimal"/>
      <w:pStyle w:val="BulletList4"/>
      <w:lvlText w:val="·"/>
      <w:lvlJc w:val="left"/>
      <w:pPr>
        <w:tabs>
          <w:tab w:val="num" w:pos="1360"/>
        </w:tabs>
        <w:ind w:left="1360" w:hanging="340"/>
      </w:pPr>
      <w:rPr>
        <w:rFonts w:ascii="Symbol" w:hAnsi="Symbol" w:cs="Times New Roman" w:hint="default"/>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abstractNumId w:val="5"/>
  </w:num>
  <w:num w:numId="2">
    <w:abstractNumId w:val="4"/>
  </w:num>
  <w:num w:numId="3">
    <w:abstractNumId w:val="19"/>
  </w:num>
  <w:num w:numId="4">
    <w:abstractNumId w:val="3"/>
  </w:num>
  <w:num w:numId="5">
    <w:abstractNumId w:val="18"/>
  </w:num>
  <w:num w:numId="6">
    <w:abstractNumId w:val="8"/>
  </w:num>
  <w:num w:numId="7">
    <w:abstractNumId w:val="11"/>
  </w:num>
  <w:num w:numId="8">
    <w:abstractNumId w:val="21"/>
  </w:num>
  <w:num w:numId="9">
    <w:abstractNumId w:val="20"/>
  </w:num>
  <w:num w:numId="10">
    <w:abstractNumId w:val="15"/>
  </w:num>
  <w:num w:numId="11">
    <w:abstractNumId w:val="1"/>
  </w:num>
  <w:num w:numId="12">
    <w:abstractNumId w:val="14"/>
  </w:num>
  <w:num w:numId="13">
    <w:abstractNumId w:val="0"/>
  </w:num>
  <w:num w:numId="14">
    <w:abstractNumId w:val="7"/>
  </w:num>
  <w:num w:numId="15">
    <w:abstractNumId w:val="9"/>
  </w:num>
  <w:num w:numId="16">
    <w:abstractNumId w:val="2"/>
  </w:num>
  <w:num w:numId="17">
    <w:abstractNumId w:val="17"/>
  </w:num>
  <w:num w:numId="18">
    <w:abstractNumId w:val="10"/>
  </w:num>
  <w:num w:numId="19">
    <w:abstractNumId w:val="16"/>
  </w:num>
  <w:num w:numId="20">
    <w:abstractNumId w:val="6"/>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FE"/>
    <w:rsid w:val="0000468C"/>
    <w:rsid w:val="00007D9B"/>
    <w:rsid w:val="00013802"/>
    <w:rsid w:val="00026B04"/>
    <w:rsid w:val="00030BCD"/>
    <w:rsid w:val="000325D2"/>
    <w:rsid w:val="00035F52"/>
    <w:rsid w:val="0003651F"/>
    <w:rsid w:val="00037C8D"/>
    <w:rsid w:val="00041884"/>
    <w:rsid w:val="00044359"/>
    <w:rsid w:val="00044A3C"/>
    <w:rsid w:val="00045405"/>
    <w:rsid w:val="00051F86"/>
    <w:rsid w:val="00052509"/>
    <w:rsid w:val="000551CA"/>
    <w:rsid w:val="00064716"/>
    <w:rsid w:val="00071C72"/>
    <w:rsid w:val="000734EB"/>
    <w:rsid w:val="00073518"/>
    <w:rsid w:val="00073882"/>
    <w:rsid w:val="000920C6"/>
    <w:rsid w:val="0009446F"/>
    <w:rsid w:val="000969D5"/>
    <w:rsid w:val="000A0B5F"/>
    <w:rsid w:val="000B564E"/>
    <w:rsid w:val="000C0535"/>
    <w:rsid w:val="000C3505"/>
    <w:rsid w:val="000C3777"/>
    <w:rsid w:val="000C54D3"/>
    <w:rsid w:val="000C6E6B"/>
    <w:rsid w:val="000C7509"/>
    <w:rsid w:val="000D6F6C"/>
    <w:rsid w:val="000E15B4"/>
    <w:rsid w:val="000E2358"/>
    <w:rsid w:val="000E7DDA"/>
    <w:rsid w:val="000F2686"/>
    <w:rsid w:val="000F41E6"/>
    <w:rsid w:val="000F56C3"/>
    <w:rsid w:val="00101FF9"/>
    <w:rsid w:val="00104033"/>
    <w:rsid w:val="00104456"/>
    <w:rsid w:val="0011251C"/>
    <w:rsid w:val="00120B0D"/>
    <w:rsid w:val="00130A72"/>
    <w:rsid w:val="0013594A"/>
    <w:rsid w:val="00136F1F"/>
    <w:rsid w:val="001442E7"/>
    <w:rsid w:val="001522F5"/>
    <w:rsid w:val="00152582"/>
    <w:rsid w:val="0015331D"/>
    <w:rsid w:val="00154742"/>
    <w:rsid w:val="00157BB9"/>
    <w:rsid w:val="00163FFF"/>
    <w:rsid w:val="00166E08"/>
    <w:rsid w:val="00167FF5"/>
    <w:rsid w:val="00173E16"/>
    <w:rsid w:val="00180FBA"/>
    <w:rsid w:val="00182B10"/>
    <w:rsid w:val="001861AA"/>
    <w:rsid w:val="00195C6E"/>
    <w:rsid w:val="001B408E"/>
    <w:rsid w:val="001B6370"/>
    <w:rsid w:val="001C28EB"/>
    <w:rsid w:val="001D0E3D"/>
    <w:rsid w:val="001D78AD"/>
    <w:rsid w:val="001E401B"/>
    <w:rsid w:val="001E6757"/>
    <w:rsid w:val="001E7254"/>
    <w:rsid w:val="001F486B"/>
    <w:rsid w:val="001F4F9B"/>
    <w:rsid w:val="001F5CDA"/>
    <w:rsid w:val="002106E4"/>
    <w:rsid w:val="0021306D"/>
    <w:rsid w:val="0021442C"/>
    <w:rsid w:val="002163D5"/>
    <w:rsid w:val="0021643A"/>
    <w:rsid w:val="0023006E"/>
    <w:rsid w:val="0024294F"/>
    <w:rsid w:val="00243910"/>
    <w:rsid w:val="00243B25"/>
    <w:rsid w:val="00243BF7"/>
    <w:rsid w:val="002475DE"/>
    <w:rsid w:val="00251649"/>
    <w:rsid w:val="00263AD8"/>
    <w:rsid w:val="00265949"/>
    <w:rsid w:val="00267FA7"/>
    <w:rsid w:val="002715B7"/>
    <w:rsid w:val="00272780"/>
    <w:rsid w:val="00280329"/>
    <w:rsid w:val="00282D36"/>
    <w:rsid w:val="00283540"/>
    <w:rsid w:val="002848E5"/>
    <w:rsid w:val="0028493E"/>
    <w:rsid w:val="002908B3"/>
    <w:rsid w:val="0029091D"/>
    <w:rsid w:val="00292900"/>
    <w:rsid w:val="002A041E"/>
    <w:rsid w:val="002A1764"/>
    <w:rsid w:val="002A1795"/>
    <w:rsid w:val="002A2445"/>
    <w:rsid w:val="002A5631"/>
    <w:rsid w:val="002B1891"/>
    <w:rsid w:val="002B30AE"/>
    <w:rsid w:val="002B5911"/>
    <w:rsid w:val="002C329C"/>
    <w:rsid w:val="002C54BF"/>
    <w:rsid w:val="002D49A7"/>
    <w:rsid w:val="002D71E0"/>
    <w:rsid w:val="002F14C7"/>
    <w:rsid w:val="002F3AD3"/>
    <w:rsid w:val="0030119D"/>
    <w:rsid w:val="00311FA2"/>
    <w:rsid w:val="0031457E"/>
    <w:rsid w:val="0031494C"/>
    <w:rsid w:val="00315A4E"/>
    <w:rsid w:val="003325F2"/>
    <w:rsid w:val="00334BD7"/>
    <w:rsid w:val="00352663"/>
    <w:rsid w:val="00352A33"/>
    <w:rsid w:val="0035453B"/>
    <w:rsid w:val="00357567"/>
    <w:rsid w:val="003604DD"/>
    <w:rsid w:val="003608DA"/>
    <w:rsid w:val="00363E88"/>
    <w:rsid w:val="003720B7"/>
    <w:rsid w:val="00376FCC"/>
    <w:rsid w:val="003833FC"/>
    <w:rsid w:val="0038645B"/>
    <w:rsid w:val="00387DF1"/>
    <w:rsid w:val="003924A6"/>
    <w:rsid w:val="00392EFA"/>
    <w:rsid w:val="003955D1"/>
    <w:rsid w:val="00395EEB"/>
    <w:rsid w:val="00396C00"/>
    <w:rsid w:val="003A1855"/>
    <w:rsid w:val="003A2158"/>
    <w:rsid w:val="003A56F7"/>
    <w:rsid w:val="003A76DC"/>
    <w:rsid w:val="003C519C"/>
    <w:rsid w:val="003C70FB"/>
    <w:rsid w:val="003D5C6B"/>
    <w:rsid w:val="003D6CD6"/>
    <w:rsid w:val="003E2CE8"/>
    <w:rsid w:val="003E3FF6"/>
    <w:rsid w:val="003E63E9"/>
    <w:rsid w:val="003E6B6E"/>
    <w:rsid w:val="003E7A62"/>
    <w:rsid w:val="003F117C"/>
    <w:rsid w:val="003F1ED8"/>
    <w:rsid w:val="003F56AE"/>
    <w:rsid w:val="003F73CA"/>
    <w:rsid w:val="00400119"/>
    <w:rsid w:val="00405264"/>
    <w:rsid w:val="00406EDE"/>
    <w:rsid w:val="00413D65"/>
    <w:rsid w:val="00414CD3"/>
    <w:rsid w:val="00424C44"/>
    <w:rsid w:val="004276BD"/>
    <w:rsid w:val="004374FB"/>
    <w:rsid w:val="004431C2"/>
    <w:rsid w:val="0044460B"/>
    <w:rsid w:val="00446050"/>
    <w:rsid w:val="004467A7"/>
    <w:rsid w:val="0044684E"/>
    <w:rsid w:val="00465A9A"/>
    <w:rsid w:val="00473434"/>
    <w:rsid w:val="00475324"/>
    <w:rsid w:val="004760A0"/>
    <w:rsid w:val="00487C8C"/>
    <w:rsid w:val="00490D13"/>
    <w:rsid w:val="00493C2D"/>
    <w:rsid w:val="00493E9B"/>
    <w:rsid w:val="004978F2"/>
    <w:rsid w:val="004A542E"/>
    <w:rsid w:val="004B2289"/>
    <w:rsid w:val="004B2C68"/>
    <w:rsid w:val="004B3224"/>
    <w:rsid w:val="004B33F3"/>
    <w:rsid w:val="004B545E"/>
    <w:rsid w:val="004B766E"/>
    <w:rsid w:val="004C4531"/>
    <w:rsid w:val="004C616B"/>
    <w:rsid w:val="004C7FEC"/>
    <w:rsid w:val="004D56F6"/>
    <w:rsid w:val="004E14C4"/>
    <w:rsid w:val="004E40AB"/>
    <w:rsid w:val="004E7C69"/>
    <w:rsid w:val="004F4457"/>
    <w:rsid w:val="00513191"/>
    <w:rsid w:val="0051443F"/>
    <w:rsid w:val="0052567F"/>
    <w:rsid w:val="005269F8"/>
    <w:rsid w:val="005310A2"/>
    <w:rsid w:val="00533467"/>
    <w:rsid w:val="00533EFB"/>
    <w:rsid w:val="00535496"/>
    <w:rsid w:val="005357E1"/>
    <w:rsid w:val="00552128"/>
    <w:rsid w:val="00554A1A"/>
    <w:rsid w:val="00560319"/>
    <w:rsid w:val="005672A3"/>
    <w:rsid w:val="0058275E"/>
    <w:rsid w:val="00585AD3"/>
    <w:rsid w:val="00592179"/>
    <w:rsid w:val="0059718C"/>
    <w:rsid w:val="005A4073"/>
    <w:rsid w:val="005A4704"/>
    <w:rsid w:val="005B6EE9"/>
    <w:rsid w:val="005B7CD5"/>
    <w:rsid w:val="005D63F4"/>
    <w:rsid w:val="005D64D5"/>
    <w:rsid w:val="005D7C6B"/>
    <w:rsid w:val="005F04B7"/>
    <w:rsid w:val="005F0669"/>
    <w:rsid w:val="005F21FB"/>
    <w:rsid w:val="0060565C"/>
    <w:rsid w:val="00621770"/>
    <w:rsid w:val="00623050"/>
    <w:rsid w:val="006233D2"/>
    <w:rsid w:val="006244B4"/>
    <w:rsid w:val="00625A14"/>
    <w:rsid w:val="0063092C"/>
    <w:rsid w:val="00630D91"/>
    <w:rsid w:val="0063531A"/>
    <w:rsid w:val="00635496"/>
    <w:rsid w:val="00635649"/>
    <w:rsid w:val="00637888"/>
    <w:rsid w:val="00641DCB"/>
    <w:rsid w:val="00645780"/>
    <w:rsid w:val="00646380"/>
    <w:rsid w:val="006464C9"/>
    <w:rsid w:val="006557C2"/>
    <w:rsid w:val="00670D0E"/>
    <w:rsid w:val="006737BC"/>
    <w:rsid w:val="00676578"/>
    <w:rsid w:val="00687ADA"/>
    <w:rsid w:val="00692C4F"/>
    <w:rsid w:val="006A4066"/>
    <w:rsid w:val="006B0348"/>
    <w:rsid w:val="006B0481"/>
    <w:rsid w:val="006B60A9"/>
    <w:rsid w:val="006C0134"/>
    <w:rsid w:val="006C2283"/>
    <w:rsid w:val="006C7BDA"/>
    <w:rsid w:val="006D09BF"/>
    <w:rsid w:val="006D55CA"/>
    <w:rsid w:val="006D7382"/>
    <w:rsid w:val="006E3A98"/>
    <w:rsid w:val="006E5D62"/>
    <w:rsid w:val="006F34DB"/>
    <w:rsid w:val="006F3CAB"/>
    <w:rsid w:val="006F4853"/>
    <w:rsid w:val="006F5098"/>
    <w:rsid w:val="006F5881"/>
    <w:rsid w:val="00705D24"/>
    <w:rsid w:val="00713DF0"/>
    <w:rsid w:val="007165C1"/>
    <w:rsid w:val="00733609"/>
    <w:rsid w:val="007344C4"/>
    <w:rsid w:val="0074642E"/>
    <w:rsid w:val="0075525B"/>
    <w:rsid w:val="00757B16"/>
    <w:rsid w:val="00764E20"/>
    <w:rsid w:val="007750C1"/>
    <w:rsid w:val="00777CDA"/>
    <w:rsid w:val="00781C54"/>
    <w:rsid w:val="007875BD"/>
    <w:rsid w:val="00791C71"/>
    <w:rsid w:val="0079785F"/>
    <w:rsid w:val="007A5D12"/>
    <w:rsid w:val="007B39C9"/>
    <w:rsid w:val="007C0D27"/>
    <w:rsid w:val="007F6913"/>
    <w:rsid w:val="007F74D0"/>
    <w:rsid w:val="008001E5"/>
    <w:rsid w:val="00806DD1"/>
    <w:rsid w:val="008077C2"/>
    <w:rsid w:val="00812116"/>
    <w:rsid w:val="008133C7"/>
    <w:rsid w:val="00815E5A"/>
    <w:rsid w:val="008174B7"/>
    <w:rsid w:val="00823943"/>
    <w:rsid w:val="0083063C"/>
    <w:rsid w:val="00830C41"/>
    <w:rsid w:val="008341B6"/>
    <w:rsid w:val="00836C59"/>
    <w:rsid w:val="00836EF6"/>
    <w:rsid w:val="00841902"/>
    <w:rsid w:val="00841D97"/>
    <w:rsid w:val="008422F9"/>
    <w:rsid w:val="00842D3F"/>
    <w:rsid w:val="00847726"/>
    <w:rsid w:val="008500BA"/>
    <w:rsid w:val="00851D98"/>
    <w:rsid w:val="00853A47"/>
    <w:rsid w:val="00854A8B"/>
    <w:rsid w:val="00873D28"/>
    <w:rsid w:val="0087497D"/>
    <w:rsid w:val="00875AFF"/>
    <w:rsid w:val="00876F55"/>
    <w:rsid w:val="008928CA"/>
    <w:rsid w:val="00895A45"/>
    <w:rsid w:val="008A4D17"/>
    <w:rsid w:val="008A74C6"/>
    <w:rsid w:val="008B3FD2"/>
    <w:rsid w:val="008C24A7"/>
    <w:rsid w:val="008C2A43"/>
    <w:rsid w:val="008C36F4"/>
    <w:rsid w:val="008C46B2"/>
    <w:rsid w:val="008C6A8E"/>
    <w:rsid w:val="008D618E"/>
    <w:rsid w:val="008E543E"/>
    <w:rsid w:val="008E5A59"/>
    <w:rsid w:val="008F3EC9"/>
    <w:rsid w:val="008F5B63"/>
    <w:rsid w:val="00903763"/>
    <w:rsid w:val="00906ACA"/>
    <w:rsid w:val="00907BD3"/>
    <w:rsid w:val="00910D4F"/>
    <w:rsid w:val="00920E14"/>
    <w:rsid w:val="00923C5C"/>
    <w:rsid w:val="0092614E"/>
    <w:rsid w:val="00927DCD"/>
    <w:rsid w:val="00936F9B"/>
    <w:rsid w:val="0093781C"/>
    <w:rsid w:val="0094519C"/>
    <w:rsid w:val="009451F8"/>
    <w:rsid w:val="00946F69"/>
    <w:rsid w:val="009474BE"/>
    <w:rsid w:val="00960772"/>
    <w:rsid w:val="009646A9"/>
    <w:rsid w:val="00967BC6"/>
    <w:rsid w:val="00972C0E"/>
    <w:rsid w:val="00973089"/>
    <w:rsid w:val="00986356"/>
    <w:rsid w:val="00986E1C"/>
    <w:rsid w:val="00992499"/>
    <w:rsid w:val="00995A69"/>
    <w:rsid w:val="009B2BE6"/>
    <w:rsid w:val="009B4341"/>
    <w:rsid w:val="009B60EF"/>
    <w:rsid w:val="009B6890"/>
    <w:rsid w:val="009C3C20"/>
    <w:rsid w:val="009C3F36"/>
    <w:rsid w:val="009C6702"/>
    <w:rsid w:val="009C75A6"/>
    <w:rsid w:val="009D1E77"/>
    <w:rsid w:val="009D4AA4"/>
    <w:rsid w:val="009E3174"/>
    <w:rsid w:val="009E414C"/>
    <w:rsid w:val="009E63A8"/>
    <w:rsid w:val="009F7447"/>
    <w:rsid w:val="00A03F5D"/>
    <w:rsid w:val="00A124A2"/>
    <w:rsid w:val="00A12FAF"/>
    <w:rsid w:val="00A24DD0"/>
    <w:rsid w:val="00A303EE"/>
    <w:rsid w:val="00A30DAB"/>
    <w:rsid w:val="00A33771"/>
    <w:rsid w:val="00A4507C"/>
    <w:rsid w:val="00A50BD9"/>
    <w:rsid w:val="00A52424"/>
    <w:rsid w:val="00A5355A"/>
    <w:rsid w:val="00A54CCD"/>
    <w:rsid w:val="00A65888"/>
    <w:rsid w:val="00A70D1B"/>
    <w:rsid w:val="00A73265"/>
    <w:rsid w:val="00A73C12"/>
    <w:rsid w:val="00A748D4"/>
    <w:rsid w:val="00A8284C"/>
    <w:rsid w:val="00A92CA1"/>
    <w:rsid w:val="00A94412"/>
    <w:rsid w:val="00A94D8F"/>
    <w:rsid w:val="00A979D5"/>
    <w:rsid w:val="00AA0A61"/>
    <w:rsid w:val="00AA0EAC"/>
    <w:rsid w:val="00AA4C1A"/>
    <w:rsid w:val="00AA7E03"/>
    <w:rsid w:val="00AB1915"/>
    <w:rsid w:val="00AC11A6"/>
    <w:rsid w:val="00AD561B"/>
    <w:rsid w:val="00AD65E4"/>
    <w:rsid w:val="00AE2639"/>
    <w:rsid w:val="00AE4CCA"/>
    <w:rsid w:val="00AE7039"/>
    <w:rsid w:val="00AE7D43"/>
    <w:rsid w:val="00B0404B"/>
    <w:rsid w:val="00B05FED"/>
    <w:rsid w:val="00B1055F"/>
    <w:rsid w:val="00B1491E"/>
    <w:rsid w:val="00B15CB9"/>
    <w:rsid w:val="00B15E57"/>
    <w:rsid w:val="00B17697"/>
    <w:rsid w:val="00B17F91"/>
    <w:rsid w:val="00B30689"/>
    <w:rsid w:val="00B36138"/>
    <w:rsid w:val="00B40423"/>
    <w:rsid w:val="00B407E1"/>
    <w:rsid w:val="00B42E2A"/>
    <w:rsid w:val="00B46F0C"/>
    <w:rsid w:val="00B51420"/>
    <w:rsid w:val="00B5254A"/>
    <w:rsid w:val="00B57E61"/>
    <w:rsid w:val="00B7135C"/>
    <w:rsid w:val="00B92756"/>
    <w:rsid w:val="00BA0A55"/>
    <w:rsid w:val="00BA14EB"/>
    <w:rsid w:val="00BA2A66"/>
    <w:rsid w:val="00BB6324"/>
    <w:rsid w:val="00BC25CF"/>
    <w:rsid w:val="00BC3D40"/>
    <w:rsid w:val="00BC7B45"/>
    <w:rsid w:val="00BE5836"/>
    <w:rsid w:val="00C0132F"/>
    <w:rsid w:val="00C120AC"/>
    <w:rsid w:val="00C12213"/>
    <w:rsid w:val="00C1523B"/>
    <w:rsid w:val="00C2062E"/>
    <w:rsid w:val="00C25463"/>
    <w:rsid w:val="00C266C4"/>
    <w:rsid w:val="00C43B12"/>
    <w:rsid w:val="00C52206"/>
    <w:rsid w:val="00C52D34"/>
    <w:rsid w:val="00C544CA"/>
    <w:rsid w:val="00C60DC0"/>
    <w:rsid w:val="00C661E5"/>
    <w:rsid w:val="00C67A07"/>
    <w:rsid w:val="00C714EB"/>
    <w:rsid w:val="00C76F55"/>
    <w:rsid w:val="00C83B1A"/>
    <w:rsid w:val="00C9056B"/>
    <w:rsid w:val="00C92B7A"/>
    <w:rsid w:val="00C95EEE"/>
    <w:rsid w:val="00CB40AB"/>
    <w:rsid w:val="00CC210D"/>
    <w:rsid w:val="00CC7D73"/>
    <w:rsid w:val="00CD55BD"/>
    <w:rsid w:val="00CE041C"/>
    <w:rsid w:val="00CE266A"/>
    <w:rsid w:val="00CF2BCB"/>
    <w:rsid w:val="00CF3E8C"/>
    <w:rsid w:val="00CF597D"/>
    <w:rsid w:val="00D26BC3"/>
    <w:rsid w:val="00D270B0"/>
    <w:rsid w:val="00D27D0D"/>
    <w:rsid w:val="00D42073"/>
    <w:rsid w:val="00D45B3C"/>
    <w:rsid w:val="00D53B4A"/>
    <w:rsid w:val="00D55625"/>
    <w:rsid w:val="00D57CA6"/>
    <w:rsid w:val="00D60F12"/>
    <w:rsid w:val="00D64461"/>
    <w:rsid w:val="00D64ED6"/>
    <w:rsid w:val="00D66585"/>
    <w:rsid w:val="00D67441"/>
    <w:rsid w:val="00D703F4"/>
    <w:rsid w:val="00D71A5F"/>
    <w:rsid w:val="00D7207B"/>
    <w:rsid w:val="00D753FA"/>
    <w:rsid w:val="00D81DF1"/>
    <w:rsid w:val="00D8641A"/>
    <w:rsid w:val="00DA1D5F"/>
    <w:rsid w:val="00DA5242"/>
    <w:rsid w:val="00DB2A7C"/>
    <w:rsid w:val="00DB43F2"/>
    <w:rsid w:val="00DB5471"/>
    <w:rsid w:val="00DB5C70"/>
    <w:rsid w:val="00DB7D53"/>
    <w:rsid w:val="00DC0D4E"/>
    <w:rsid w:val="00DC2D53"/>
    <w:rsid w:val="00DD08FD"/>
    <w:rsid w:val="00DD21EA"/>
    <w:rsid w:val="00DD4B01"/>
    <w:rsid w:val="00DD4B65"/>
    <w:rsid w:val="00DE3331"/>
    <w:rsid w:val="00DE4785"/>
    <w:rsid w:val="00DF0180"/>
    <w:rsid w:val="00DF2A8C"/>
    <w:rsid w:val="00DF4426"/>
    <w:rsid w:val="00DF58FE"/>
    <w:rsid w:val="00DF5F34"/>
    <w:rsid w:val="00E020C4"/>
    <w:rsid w:val="00E113A5"/>
    <w:rsid w:val="00E24FC9"/>
    <w:rsid w:val="00E276E3"/>
    <w:rsid w:val="00E329B1"/>
    <w:rsid w:val="00E33E02"/>
    <w:rsid w:val="00E368C0"/>
    <w:rsid w:val="00E53C2F"/>
    <w:rsid w:val="00E64216"/>
    <w:rsid w:val="00E7304B"/>
    <w:rsid w:val="00E77AC0"/>
    <w:rsid w:val="00E93F5C"/>
    <w:rsid w:val="00E97D84"/>
    <w:rsid w:val="00EA1618"/>
    <w:rsid w:val="00EA4DA5"/>
    <w:rsid w:val="00EA66F2"/>
    <w:rsid w:val="00EA6CE3"/>
    <w:rsid w:val="00EB0C91"/>
    <w:rsid w:val="00EB41AF"/>
    <w:rsid w:val="00EC1253"/>
    <w:rsid w:val="00EC6120"/>
    <w:rsid w:val="00EC7039"/>
    <w:rsid w:val="00ED54E1"/>
    <w:rsid w:val="00ED576A"/>
    <w:rsid w:val="00EE1574"/>
    <w:rsid w:val="00EF14D5"/>
    <w:rsid w:val="00EF3543"/>
    <w:rsid w:val="00F035C6"/>
    <w:rsid w:val="00F07C36"/>
    <w:rsid w:val="00F237CC"/>
    <w:rsid w:val="00F317EF"/>
    <w:rsid w:val="00F36C7D"/>
    <w:rsid w:val="00F463AF"/>
    <w:rsid w:val="00F621BD"/>
    <w:rsid w:val="00F64262"/>
    <w:rsid w:val="00F668D7"/>
    <w:rsid w:val="00F71EB2"/>
    <w:rsid w:val="00F75A86"/>
    <w:rsid w:val="00F9074D"/>
    <w:rsid w:val="00F91E57"/>
    <w:rsid w:val="00FA040B"/>
    <w:rsid w:val="00FB15AC"/>
    <w:rsid w:val="00FB179D"/>
    <w:rsid w:val="00FB51A4"/>
    <w:rsid w:val="00FC0BED"/>
    <w:rsid w:val="00FC3542"/>
    <w:rsid w:val="00FC51F0"/>
    <w:rsid w:val="00FD37CE"/>
    <w:rsid w:val="00FD77F5"/>
    <w:rsid w:val="00FE457E"/>
    <w:rsid w:val="00FE55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2F9"/>
    <w:pPr>
      <w:jc w:val="both"/>
    </w:pPr>
    <w:rPr>
      <w:sz w:val="22"/>
      <w:szCs w:val="24"/>
      <w:lang w:val="en-GB" w:eastAsia="de-DE"/>
    </w:rPr>
  </w:style>
  <w:style w:type="paragraph" w:styleId="Titre1">
    <w:name w:val="heading 1"/>
    <w:basedOn w:val="Normal"/>
    <w:next w:val="Normal"/>
    <w:link w:val="Titre1Car"/>
    <w:uiPriority w:val="99"/>
    <w:qFormat/>
    <w:rsid w:val="00C2062E"/>
    <w:pPr>
      <w:keepNext/>
      <w:numPr>
        <w:numId w:val="1"/>
      </w:numPr>
      <w:spacing w:before="120"/>
      <w:ind w:left="431" w:hanging="431"/>
      <w:outlineLvl w:val="0"/>
    </w:pPr>
    <w:rPr>
      <w:rFonts w:ascii="Arial" w:hAnsi="Arial" w:cs="Arial"/>
      <w:b/>
      <w:bCs/>
      <w:caps/>
      <w:kern w:val="32"/>
    </w:rPr>
  </w:style>
  <w:style w:type="paragraph" w:styleId="Titre2">
    <w:name w:val="heading 2"/>
    <w:basedOn w:val="Normal"/>
    <w:next w:val="Normal"/>
    <w:link w:val="Titre2Car"/>
    <w:uiPriority w:val="99"/>
    <w:qFormat/>
    <w:rsid w:val="00C2062E"/>
    <w:pPr>
      <w:keepNext/>
      <w:numPr>
        <w:ilvl w:val="1"/>
        <w:numId w:val="1"/>
      </w:numPr>
      <w:ind w:left="578" w:hanging="578"/>
      <w:outlineLvl w:val="1"/>
    </w:pPr>
    <w:rPr>
      <w:rFonts w:cs="Arial"/>
      <w:b/>
      <w:bCs/>
      <w:iCs/>
      <w:szCs w:val="28"/>
    </w:rPr>
  </w:style>
  <w:style w:type="paragraph" w:styleId="Titre3">
    <w:name w:val="heading 3"/>
    <w:basedOn w:val="Normal"/>
    <w:next w:val="Normal"/>
    <w:link w:val="Titre3Car"/>
    <w:uiPriority w:val="99"/>
    <w:qFormat/>
    <w:rsid w:val="00C2062E"/>
    <w:pPr>
      <w:keepNext/>
      <w:numPr>
        <w:ilvl w:val="2"/>
        <w:numId w:val="1"/>
      </w:numPr>
      <w:outlineLvl w:val="2"/>
    </w:pPr>
    <w:rPr>
      <w:b/>
    </w:rPr>
  </w:style>
  <w:style w:type="paragraph" w:styleId="Titre4">
    <w:name w:val="heading 4"/>
    <w:basedOn w:val="Normal"/>
    <w:next w:val="Normal"/>
    <w:link w:val="Titre4Car"/>
    <w:uiPriority w:val="99"/>
    <w:qFormat/>
    <w:rsid w:val="00C2062E"/>
    <w:pPr>
      <w:keepNext/>
      <w:numPr>
        <w:ilvl w:val="3"/>
        <w:numId w:val="1"/>
      </w:numPr>
      <w:ind w:left="862" w:hanging="862"/>
      <w:outlineLvl w:val="3"/>
    </w:pPr>
    <w:rPr>
      <w:b/>
      <w:szCs w:val="22"/>
    </w:rPr>
  </w:style>
  <w:style w:type="paragraph" w:styleId="Titre5">
    <w:name w:val="heading 5"/>
    <w:basedOn w:val="Normal"/>
    <w:next w:val="Normal"/>
    <w:link w:val="Titre5Car"/>
    <w:uiPriority w:val="99"/>
    <w:qFormat/>
    <w:rsid w:val="00C2062E"/>
    <w:pPr>
      <w:numPr>
        <w:ilvl w:val="4"/>
        <w:numId w:val="1"/>
      </w:numPr>
      <w:spacing w:before="240" w:after="60"/>
      <w:outlineLvl w:val="4"/>
    </w:pPr>
    <w:rPr>
      <w:b/>
      <w:bCs/>
      <w:iCs/>
      <w:szCs w:val="26"/>
    </w:rPr>
  </w:style>
  <w:style w:type="paragraph" w:styleId="Titre6">
    <w:name w:val="heading 6"/>
    <w:basedOn w:val="Normal"/>
    <w:next w:val="Normal"/>
    <w:link w:val="Titre6Car"/>
    <w:uiPriority w:val="99"/>
    <w:qFormat/>
    <w:rsid w:val="00C2062E"/>
    <w:pPr>
      <w:numPr>
        <w:ilvl w:val="5"/>
        <w:numId w:val="1"/>
      </w:numPr>
      <w:spacing w:after="60"/>
      <w:ind w:left="1151" w:hanging="1151"/>
      <w:outlineLvl w:val="5"/>
    </w:pPr>
    <w:rPr>
      <w:rFonts w:ascii="Verdana" w:hAnsi="Verdana"/>
      <w:bCs/>
      <w:sz w:val="20"/>
      <w:szCs w:val="22"/>
    </w:rPr>
  </w:style>
  <w:style w:type="paragraph" w:styleId="Titre7">
    <w:name w:val="heading 7"/>
    <w:basedOn w:val="Normal"/>
    <w:next w:val="Normal"/>
    <w:link w:val="Titre7Car"/>
    <w:uiPriority w:val="99"/>
    <w:qFormat/>
    <w:rsid w:val="00DE4785"/>
    <w:pPr>
      <w:numPr>
        <w:ilvl w:val="6"/>
        <w:numId w:val="1"/>
      </w:numPr>
      <w:spacing w:before="240" w:after="60"/>
      <w:outlineLvl w:val="6"/>
    </w:pPr>
    <w:rPr>
      <w:rFonts w:ascii="Arial" w:hAnsi="Arial"/>
    </w:rPr>
  </w:style>
  <w:style w:type="paragraph" w:styleId="Titre8">
    <w:name w:val="heading 8"/>
    <w:basedOn w:val="Normal"/>
    <w:next w:val="Normal"/>
    <w:link w:val="Titre8Car"/>
    <w:uiPriority w:val="99"/>
    <w:qFormat/>
    <w:rsid w:val="00DE4785"/>
    <w:pPr>
      <w:numPr>
        <w:ilvl w:val="7"/>
        <w:numId w:val="1"/>
      </w:numPr>
      <w:spacing w:before="240" w:after="60"/>
      <w:outlineLvl w:val="7"/>
    </w:pPr>
    <w:rPr>
      <w:rFonts w:ascii="Arial" w:hAnsi="Arial"/>
      <w:i/>
      <w:iCs/>
    </w:rPr>
  </w:style>
  <w:style w:type="paragraph" w:styleId="Titre9">
    <w:name w:val="heading 9"/>
    <w:basedOn w:val="Normal"/>
    <w:next w:val="Normal"/>
    <w:link w:val="Titre9Car"/>
    <w:uiPriority w:val="99"/>
    <w:qFormat/>
    <w:rsid w:val="00DE4785"/>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76578"/>
    <w:rPr>
      <w:rFonts w:ascii="Cambria" w:hAnsi="Cambria" w:cs="Times New Roman"/>
      <w:b/>
      <w:bCs/>
      <w:kern w:val="32"/>
      <w:sz w:val="32"/>
      <w:szCs w:val="32"/>
      <w:lang w:val="en-GB" w:eastAsia="de-DE"/>
    </w:rPr>
  </w:style>
  <w:style w:type="character" w:customStyle="1" w:styleId="Titre2Car">
    <w:name w:val="Titre 2 Car"/>
    <w:link w:val="Titre2"/>
    <w:uiPriority w:val="99"/>
    <w:semiHidden/>
    <w:locked/>
    <w:rsid w:val="00676578"/>
    <w:rPr>
      <w:rFonts w:ascii="Cambria" w:hAnsi="Cambria" w:cs="Times New Roman"/>
      <w:b/>
      <w:bCs/>
      <w:i/>
      <w:iCs/>
      <w:sz w:val="28"/>
      <w:szCs w:val="28"/>
      <w:lang w:val="en-GB" w:eastAsia="de-DE"/>
    </w:rPr>
  </w:style>
  <w:style w:type="character" w:customStyle="1" w:styleId="Titre3Car">
    <w:name w:val="Titre 3 Car"/>
    <w:link w:val="Titre3"/>
    <w:uiPriority w:val="99"/>
    <w:semiHidden/>
    <w:locked/>
    <w:rsid w:val="00676578"/>
    <w:rPr>
      <w:rFonts w:ascii="Cambria" w:hAnsi="Cambria" w:cs="Times New Roman"/>
      <w:b/>
      <w:bCs/>
      <w:sz w:val="26"/>
      <w:szCs w:val="26"/>
      <w:lang w:val="en-GB" w:eastAsia="de-DE"/>
    </w:rPr>
  </w:style>
  <w:style w:type="character" w:customStyle="1" w:styleId="Titre4Car">
    <w:name w:val="Titre 4 Car"/>
    <w:link w:val="Titre4"/>
    <w:uiPriority w:val="99"/>
    <w:semiHidden/>
    <w:locked/>
    <w:rsid w:val="00676578"/>
    <w:rPr>
      <w:rFonts w:ascii="Calibri" w:hAnsi="Calibri" w:cs="Times New Roman"/>
      <w:b/>
      <w:bCs/>
      <w:sz w:val="28"/>
      <w:szCs w:val="28"/>
      <w:lang w:val="en-GB" w:eastAsia="de-DE"/>
    </w:rPr>
  </w:style>
  <w:style w:type="character" w:customStyle="1" w:styleId="Titre5Car">
    <w:name w:val="Titre 5 Car"/>
    <w:link w:val="Titre5"/>
    <w:uiPriority w:val="99"/>
    <w:semiHidden/>
    <w:locked/>
    <w:rsid w:val="00676578"/>
    <w:rPr>
      <w:rFonts w:ascii="Calibri" w:hAnsi="Calibri" w:cs="Times New Roman"/>
      <w:b/>
      <w:bCs/>
      <w:i/>
      <w:iCs/>
      <w:sz w:val="26"/>
      <w:szCs w:val="26"/>
      <w:lang w:val="en-GB" w:eastAsia="de-DE"/>
    </w:rPr>
  </w:style>
  <w:style w:type="character" w:customStyle="1" w:styleId="Titre6Car">
    <w:name w:val="Titre 6 Car"/>
    <w:link w:val="Titre6"/>
    <w:uiPriority w:val="99"/>
    <w:semiHidden/>
    <w:locked/>
    <w:rsid w:val="00676578"/>
    <w:rPr>
      <w:rFonts w:ascii="Calibri" w:hAnsi="Calibri" w:cs="Times New Roman"/>
      <w:b/>
      <w:bCs/>
      <w:lang w:val="en-GB" w:eastAsia="de-DE"/>
    </w:rPr>
  </w:style>
  <w:style w:type="character" w:customStyle="1" w:styleId="Titre7Car">
    <w:name w:val="Titre 7 Car"/>
    <w:link w:val="Titre7"/>
    <w:uiPriority w:val="99"/>
    <w:semiHidden/>
    <w:locked/>
    <w:rsid w:val="00676578"/>
    <w:rPr>
      <w:rFonts w:ascii="Calibri" w:hAnsi="Calibri" w:cs="Times New Roman"/>
      <w:sz w:val="24"/>
      <w:szCs w:val="24"/>
      <w:lang w:val="en-GB" w:eastAsia="de-DE"/>
    </w:rPr>
  </w:style>
  <w:style w:type="character" w:customStyle="1" w:styleId="Titre8Car">
    <w:name w:val="Titre 8 Car"/>
    <w:link w:val="Titre8"/>
    <w:uiPriority w:val="99"/>
    <w:semiHidden/>
    <w:locked/>
    <w:rsid w:val="00676578"/>
    <w:rPr>
      <w:rFonts w:ascii="Calibri" w:hAnsi="Calibri" w:cs="Times New Roman"/>
      <w:i/>
      <w:iCs/>
      <w:sz w:val="24"/>
      <w:szCs w:val="24"/>
      <w:lang w:val="en-GB" w:eastAsia="de-DE"/>
    </w:rPr>
  </w:style>
  <w:style w:type="character" w:customStyle="1" w:styleId="Titre9Car">
    <w:name w:val="Titre 9 Car"/>
    <w:link w:val="Titre9"/>
    <w:uiPriority w:val="99"/>
    <w:semiHidden/>
    <w:locked/>
    <w:rsid w:val="00676578"/>
    <w:rPr>
      <w:rFonts w:ascii="Cambria" w:hAnsi="Cambria" w:cs="Times New Roman"/>
      <w:lang w:val="en-GB" w:eastAsia="de-DE"/>
    </w:rPr>
  </w:style>
  <w:style w:type="paragraph" w:styleId="Textedebulles">
    <w:name w:val="Balloon Text"/>
    <w:basedOn w:val="Normal"/>
    <w:link w:val="TextedebullesCar"/>
    <w:uiPriority w:val="99"/>
    <w:semiHidden/>
    <w:rsid w:val="00DE4785"/>
    <w:rPr>
      <w:rFonts w:ascii="Tahoma" w:hAnsi="Tahoma" w:cs="Tahoma"/>
      <w:sz w:val="16"/>
      <w:szCs w:val="16"/>
    </w:rPr>
  </w:style>
  <w:style w:type="character" w:customStyle="1" w:styleId="TextedebullesCar">
    <w:name w:val="Texte de bulles Car"/>
    <w:link w:val="Textedebulles"/>
    <w:uiPriority w:val="99"/>
    <w:semiHidden/>
    <w:locked/>
    <w:rsid w:val="00676578"/>
    <w:rPr>
      <w:rFonts w:cs="Times New Roman"/>
      <w:sz w:val="2"/>
      <w:lang w:val="en-GB" w:eastAsia="de-DE"/>
    </w:rPr>
  </w:style>
  <w:style w:type="paragraph" w:styleId="Pieddepage">
    <w:name w:val="footer"/>
    <w:basedOn w:val="Normal"/>
    <w:link w:val="PieddepageCar"/>
    <w:uiPriority w:val="99"/>
    <w:rsid w:val="00DE4785"/>
    <w:pPr>
      <w:tabs>
        <w:tab w:val="center" w:pos="4153"/>
        <w:tab w:val="right" w:pos="8306"/>
      </w:tabs>
    </w:pPr>
  </w:style>
  <w:style w:type="character" w:customStyle="1" w:styleId="PieddepageCar">
    <w:name w:val="Pied de page Car"/>
    <w:link w:val="Pieddepage"/>
    <w:uiPriority w:val="99"/>
    <w:semiHidden/>
    <w:locked/>
    <w:rsid w:val="00676578"/>
    <w:rPr>
      <w:rFonts w:cs="Times New Roman"/>
      <w:sz w:val="24"/>
      <w:szCs w:val="24"/>
      <w:lang w:val="en-GB" w:eastAsia="de-DE"/>
    </w:rPr>
  </w:style>
  <w:style w:type="paragraph" w:styleId="Notedebasdepage">
    <w:name w:val="footnote text"/>
    <w:aliases w:val="ALTS FOOTNOTE,Footnote Text2,Footnote Text11,ALTS FOOTNOTE11,Footnote Text Char111,Footnote Text Char Char Char11,Footnote Text Char1 Char Char Char Char11,Footnote Text Char1 Char Char Char11,ALTS FOOTNOTE2,Char Char Char,f"/>
    <w:basedOn w:val="Normal"/>
    <w:link w:val="NotedebasdepageCar"/>
    <w:uiPriority w:val="99"/>
    <w:rsid w:val="00DE4785"/>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uiPriority w:val="99"/>
    <w:semiHidden/>
    <w:locked/>
    <w:rsid w:val="00676578"/>
    <w:rPr>
      <w:rFonts w:cs="Times New Roman"/>
      <w:sz w:val="20"/>
      <w:szCs w:val="20"/>
      <w:lang w:val="en-GB" w:eastAsia="de-DE"/>
    </w:rPr>
  </w:style>
  <w:style w:type="paragraph" w:styleId="En-tte">
    <w:name w:val="header"/>
    <w:basedOn w:val="Normal"/>
    <w:link w:val="En-tteCar"/>
    <w:uiPriority w:val="99"/>
    <w:rsid w:val="00DE4785"/>
    <w:pPr>
      <w:tabs>
        <w:tab w:val="center" w:pos="4536"/>
        <w:tab w:val="right" w:pos="9072"/>
      </w:tabs>
    </w:pPr>
  </w:style>
  <w:style w:type="character" w:customStyle="1" w:styleId="En-tteCar">
    <w:name w:val="En-tête Car"/>
    <w:link w:val="En-tte"/>
    <w:uiPriority w:val="99"/>
    <w:semiHidden/>
    <w:locked/>
    <w:rsid w:val="00676578"/>
    <w:rPr>
      <w:rFonts w:cs="Times New Roman"/>
      <w:sz w:val="24"/>
      <w:szCs w:val="24"/>
      <w:lang w:val="en-GB" w:eastAsia="de-DE"/>
    </w:rPr>
  </w:style>
  <w:style w:type="character" w:styleId="Numrodepage">
    <w:name w:val="page number"/>
    <w:uiPriority w:val="99"/>
    <w:rsid w:val="00DE4785"/>
    <w:rPr>
      <w:rFonts w:cs="Times New Roman"/>
    </w:rPr>
  </w:style>
  <w:style w:type="table" w:styleId="Grilledutableau">
    <w:name w:val="Table Grid"/>
    <w:basedOn w:val="TableauNormal"/>
    <w:uiPriority w:val="99"/>
    <w:rsid w:val="006C2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Normal"/>
    <w:uiPriority w:val="99"/>
    <w:rsid w:val="00DE4785"/>
    <w:pPr>
      <w:spacing w:before="120"/>
    </w:pPr>
  </w:style>
  <w:style w:type="paragraph" w:customStyle="1" w:styleId="B1">
    <w:name w:val="B1+"/>
    <w:basedOn w:val="Normal"/>
    <w:uiPriority w:val="99"/>
    <w:rsid w:val="00DE4785"/>
    <w:pPr>
      <w:numPr>
        <w:numId w:val="2"/>
      </w:numPr>
      <w:overflowPunct w:val="0"/>
      <w:autoSpaceDE w:val="0"/>
      <w:autoSpaceDN w:val="0"/>
      <w:adjustRightInd w:val="0"/>
      <w:spacing w:after="180"/>
      <w:jc w:val="left"/>
      <w:textAlignment w:val="baseline"/>
    </w:pPr>
    <w:rPr>
      <w:sz w:val="20"/>
      <w:szCs w:val="20"/>
      <w:lang w:eastAsia="en-US"/>
    </w:rPr>
  </w:style>
  <w:style w:type="character" w:styleId="Appelnotedebasdep">
    <w:name w:val="footnote reference"/>
    <w:aliases w:val="Appel note de bas de p,Footnote"/>
    <w:uiPriority w:val="99"/>
    <w:rsid w:val="00DE4785"/>
    <w:rPr>
      <w:rFonts w:cs="Times New Roman"/>
      <w:vertAlign w:val="superscript"/>
    </w:rPr>
  </w:style>
  <w:style w:type="character" w:styleId="Lienhypertexte">
    <w:name w:val="Hyperlink"/>
    <w:uiPriority w:val="99"/>
    <w:rsid w:val="00DE4785"/>
    <w:rPr>
      <w:rFonts w:cs="Times New Roman"/>
      <w:color w:val="0000FF"/>
      <w:u w:val="single"/>
    </w:rPr>
  </w:style>
  <w:style w:type="character" w:styleId="Lienhypertextesuivivisit">
    <w:name w:val="FollowedHyperlink"/>
    <w:uiPriority w:val="99"/>
    <w:rsid w:val="00DE4785"/>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lang w:val="en-GB" w:eastAsia="en-US"/>
    </w:rPr>
  </w:style>
  <w:style w:type="paragraph" w:styleId="Corpsdetexte">
    <w:name w:val="Body Text"/>
    <w:aliases w:val="bt,heading3,Body Text - Level 2,Body,b,(Ctrl Shift B),Body Text Char1 Char,Body Text Char1 Char Char,NoticeText-List,Body Text Char Char Char,BT,GS,Heading 1 text,t1,taten_body"/>
    <w:basedOn w:val="Normal"/>
    <w:link w:val="CorpsdetexteCar"/>
    <w:uiPriority w:val="99"/>
    <w:rsid w:val="0092614E"/>
    <w:pPr>
      <w:spacing w:before="120" w:after="120" w:line="288" w:lineRule="auto"/>
      <w:jc w:val="left"/>
    </w:pPr>
    <w:rPr>
      <w:rFonts w:ascii="Arial" w:hAnsi="Arial"/>
      <w:sz w:val="20"/>
      <w:lang w:eastAsia="en-GB"/>
    </w:rPr>
  </w:style>
  <w:style w:type="character" w:customStyle="1" w:styleId="CorpsdetexteCar">
    <w:name w:val="Corps de texte Car"/>
    <w:aliases w:val="bt Car,heading3 Car,Body Text - Level 2 Car,Body Car,b Car,(Ctrl Shift B) Car,Body Text Char1 Char Car,Body Text Char1 Char Char Car,NoticeText-List Car,Body Text Char Char Char Car,BT Car,GS Car,Heading 1 text Car,t1 Car"/>
    <w:link w:val="Corpsdetexte"/>
    <w:uiPriority w:val="99"/>
    <w:locked/>
    <w:rsid w:val="0092614E"/>
    <w:rPr>
      <w:rFonts w:ascii="Arial" w:hAnsi="Arial" w:cs="Times New Roman"/>
      <w:sz w:val="24"/>
      <w:szCs w:val="24"/>
      <w:lang w:val="en-GB" w:eastAsia="en-GB"/>
    </w:rPr>
  </w:style>
  <w:style w:type="paragraph" w:customStyle="1" w:styleId="FigureCaption">
    <w:name w:val="Figure Caption"/>
    <w:basedOn w:val="Normal"/>
    <w:next w:val="Corpsdetexte"/>
    <w:uiPriority w:val="99"/>
    <w:rsid w:val="0092614E"/>
    <w:pPr>
      <w:keepNext/>
      <w:keepLines/>
      <w:spacing w:before="360" w:after="120" w:line="288" w:lineRule="auto"/>
      <w:jc w:val="left"/>
    </w:pPr>
    <w:rPr>
      <w:rFonts w:ascii="Arial" w:hAnsi="Arial"/>
      <w:b/>
      <w:color w:val="939598"/>
      <w:sz w:val="20"/>
      <w:lang w:eastAsia="en-GB"/>
    </w:rPr>
  </w:style>
  <w:style w:type="character" w:customStyle="1" w:styleId="NotedebasdepageCar">
    <w:name w:val="Note de bas de page Car"/>
    <w:aliases w:val="ALTS FOOTNOTE Car,Footnote Text2 Car,Footnote Text11 Car,ALTS FOOTNOTE11 Car,Footnote Text Char111 Car,Footnote Text Char Char Char11 Car,Footnote Text Char1 Char Char Char Char11 Car,Footnote Text Char1 Char Char Char11 Car"/>
    <w:link w:val="Notedebasdepage"/>
    <w:uiPriority w:val="99"/>
    <w:locked/>
    <w:rsid w:val="00836C59"/>
    <w:rPr>
      <w:rFonts w:cs="Times New Roman"/>
      <w:sz w:val="24"/>
      <w:szCs w:val="24"/>
      <w:lang w:val="en-GB" w:eastAsia="de-DE"/>
    </w:rPr>
  </w:style>
  <w:style w:type="paragraph" w:customStyle="1" w:styleId="BulletList2">
    <w:name w:val="Bullet List 2"/>
    <w:basedOn w:val="BulletList1"/>
    <w:uiPriority w:val="99"/>
    <w:rsid w:val="00836C59"/>
    <w:pPr>
      <w:numPr>
        <w:ilvl w:val="1"/>
      </w:numPr>
      <w:tabs>
        <w:tab w:val="num" w:pos="576"/>
      </w:tabs>
      <w:ind w:left="576" w:hanging="576"/>
    </w:pPr>
  </w:style>
  <w:style w:type="paragraph" w:customStyle="1" w:styleId="BulletList1">
    <w:name w:val="Bullet List 1"/>
    <w:basedOn w:val="Normal"/>
    <w:link w:val="BulletList1Char"/>
    <w:uiPriority w:val="99"/>
    <w:rsid w:val="00836C59"/>
    <w:pPr>
      <w:numPr>
        <w:numId w:val="8"/>
      </w:numPr>
      <w:spacing w:before="120" w:after="120" w:line="287" w:lineRule="auto"/>
      <w:jc w:val="left"/>
    </w:pPr>
    <w:rPr>
      <w:rFonts w:ascii="Arial" w:hAnsi="Arial"/>
      <w:sz w:val="20"/>
      <w:lang w:eastAsia="en-GB"/>
    </w:rPr>
  </w:style>
  <w:style w:type="paragraph" w:customStyle="1" w:styleId="BulletList3">
    <w:name w:val="Bullet List 3"/>
    <w:basedOn w:val="BulletList2"/>
    <w:uiPriority w:val="99"/>
    <w:rsid w:val="00836C59"/>
    <w:pPr>
      <w:numPr>
        <w:ilvl w:val="2"/>
      </w:numPr>
      <w:tabs>
        <w:tab w:val="num" w:pos="720"/>
        <w:tab w:val="num" w:pos="800"/>
      </w:tabs>
      <w:ind w:left="720" w:hanging="720"/>
    </w:pPr>
  </w:style>
  <w:style w:type="paragraph" w:customStyle="1" w:styleId="BulletList4">
    <w:name w:val="Bullet List 4"/>
    <w:basedOn w:val="BulletList3"/>
    <w:uiPriority w:val="99"/>
    <w:rsid w:val="00836C59"/>
    <w:pPr>
      <w:numPr>
        <w:ilvl w:val="3"/>
      </w:numPr>
      <w:tabs>
        <w:tab w:val="num" w:pos="800"/>
        <w:tab w:val="num" w:pos="864"/>
      </w:tabs>
      <w:ind w:left="864" w:hanging="864"/>
    </w:pPr>
  </w:style>
  <w:style w:type="paragraph" w:customStyle="1" w:styleId="BulletList5">
    <w:name w:val="Bullet List 5"/>
    <w:basedOn w:val="BulletList4"/>
    <w:uiPriority w:val="99"/>
    <w:rsid w:val="00836C59"/>
    <w:pPr>
      <w:numPr>
        <w:ilvl w:val="4"/>
      </w:numPr>
      <w:tabs>
        <w:tab w:val="num" w:pos="864"/>
        <w:tab w:val="num" w:pos="1008"/>
      </w:tabs>
      <w:ind w:left="1008" w:hanging="1008"/>
    </w:pPr>
  </w:style>
  <w:style w:type="paragraph" w:customStyle="1" w:styleId="BulletList6">
    <w:name w:val="Bullet List 6"/>
    <w:basedOn w:val="BulletList5"/>
    <w:uiPriority w:val="99"/>
    <w:rsid w:val="00836C59"/>
    <w:pPr>
      <w:numPr>
        <w:ilvl w:val="5"/>
      </w:numPr>
      <w:tabs>
        <w:tab w:val="num" w:pos="1008"/>
        <w:tab w:val="num" w:pos="1152"/>
      </w:tabs>
      <w:ind w:left="1152" w:hanging="1152"/>
    </w:pPr>
  </w:style>
  <w:style w:type="paragraph" w:customStyle="1" w:styleId="BulletList7">
    <w:name w:val="Bullet List 7"/>
    <w:basedOn w:val="BulletList6"/>
    <w:uiPriority w:val="99"/>
    <w:rsid w:val="00836C59"/>
    <w:pPr>
      <w:numPr>
        <w:ilvl w:val="6"/>
      </w:numPr>
      <w:tabs>
        <w:tab w:val="num" w:pos="1152"/>
        <w:tab w:val="num" w:pos="1296"/>
      </w:tabs>
      <w:ind w:left="1296" w:hanging="1296"/>
    </w:pPr>
  </w:style>
  <w:style w:type="paragraph" w:customStyle="1" w:styleId="BulletList8">
    <w:name w:val="Bullet List 8"/>
    <w:basedOn w:val="BulletList7"/>
    <w:uiPriority w:val="99"/>
    <w:rsid w:val="00836C59"/>
    <w:pPr>
      <w:numPr>
        <w:ilvl w:val="7"/>
      </w:numPr>
      <w:tabs>
        <w:tab w:val="num" w:pos="1200"/>
        <w:tab w:val="num" w:pos="1440"/>
      </w:tabs>
      <w:ind w:left="1440" w:hanging="1440"/>
    </w:pPr>
  </w:style>
  <w:style w:type="paragraph" w:customStyle="1" w:styleId="BulletList9">
    <w:name w:val="Bullet List 9"/>
    <w:basedOn w:val="BulletList8"/>
    <w:uiPriority w:val="99"/>
    <w:rsid w:val="00836C59"/>
    <w:pPr>
      <w:numPr>
        <w:ilvl w:val="8"/>
      </w:numPr>
      <w:tabs>
        <w:tab w:val="num" w:pos="1296"/>
        <w:tab w:val="num" w:pos="1584"/>
      </w:tabs>
      <w:ind w:left="1584" w:hanging="1584"/>
    </w:pPr>
  </w:style>
  <w:style w:type="paragraph" w:customStyle="1" w:styleId="AfterTable">
    <w:name w:val="After Table"/>
    <w:basedOn w:val="Corpsdetexte"/>
    <w:next w:val="Corpsdetexte"/>
    <w:uiPriority w:val="99"/>
    <w:rsid w:val="00836C59"/>
    <w:pPr>
      <w:spacing w:before="360"/>
    </w:pPr>
  </w:style>
  <w:style w:type="character" w:customStyle="1" w:styleId="BulletList1Char">
    <w:name w:val="Bullet List 1 Char"/>
    <w:link w:val="BulletList1"/>
    <w:uiPriority w:val="99"/>
    <w:locked/>
    <w:rsid w:val="00836C59"/>
    <w:rPr>
      <w:rFonts w:ascii="Arial" w:hAnsi="Arial" w:cs="Times New Roman"/>
      <w:sz w:val="24"/>
      <w:szCs w:val="24"/>
      <w:lang w:val="en-GB" w:eastAsia="en-GB"/>
    </w:rPr>
  </w:style>
  <w:style w:type="character" w:customStyle="1" w:styleId="st">
    <w:name w:val="st"/>
    <w:uiPriority w:val="99"/>
    <w:rsid w:val="00A12FAF"/>
    <w:rPr>
      <w:rFonts w:cs="Times New Roman"/>
    </w:rPr>
  </w:style>
  <w:style w:type="paragraph" w:customStyle="1" w:styleId="Default">
    <w:name w:val="Default"/>
    <w:uiPriority w:val="99"/>
    <w:rsid w:val="00EA4DA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9E3174"/>
    <w:pPr>
      <w:spacing w:before="100" w:beforeAutospacing="1" w:after="100" w:afterAutospacing="1"/>
      <w:jc w:val="left"/>
    </w:pPr>
    <w:rPr>
      <w:sz w:val="24"/>
      <w:lang w:val="en-US" w:eastAsia="en-US"/>
    </w:rPr>
  </w:style>
  <w:style w:type="paragraph" w:styleId="Paragraphedeliste">
    <w:name w:val="List Paragraph"/>
    <w:basedOn w:val="Normal"/>
    <w:uiPriority w:val="99"/>
    <w:qFormat/>
    <w:rsid w:val="00315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69342">
      <w:marLeft w:val="0"/>
      <w:marRight w:val="0"/>
      <w:marTop w:val="40"/>
      <w:marBottom w:val="40"/>
      <w:divBdr>
        <w:top w:val="none" w:sz="0" w:space="0" w:color="auto"/>
        <w:left w:val="none" w:sz="0" w:space="0" w:color="auto"/>
        <w:bottom w:val="none" w:sz="0" w:space="0" w:color="auto"/>
        <w:right w:val="none" w:sz="0" w:space="0" w:color="auto"/>
      </w:divBdr>
      <w:divsChild>
        <w:div w:id="1782069345">
          <w:marLeft w:val="16"/>
          <w:marRight w:val="16"/>
          <w:marTop w:val="16"/>
          <w:marBottom w:val="16"/>
          <w:divBdr>
            <w:top w:val="none" w:sz="0" w:space="0" w:color="auto"/>
            <w:left w:val="none" w:sz="0" w:space="0" w:color="auto"/>
            <w:bottom w:val="none" w:sz="0" w:space="0" w:color="auto"/>
            <w:right w:val="none" w:sz="0" w:space="0" w:color="auto"/>
          </w:divBdr>
          <w:divsChild>
            <w:div w:id="17820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9343">
      <w:marLeft w:val="0"/>
      <w:marRight w:val="0"/>
      <w:marTop w:val="0"/>
      <w:marBottom w:val="0"/>
      <w:divBdr>
        <w:top w:val="none" w:sz="0" w:space="0" w:color="auto"/>
        <w:left w:val="none" w:sz="0" w:space="0" w:color="auto"/>
        <w:bottom w:val="none" w:sz="0" w:space="0" w:color="auto"/>
        <w:right w:val="none" w:sz="0" w:space="0" w:color="auto"/>
      </w:divBdr>
    </w:div>
    <w:div w:id="1782069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eutc.org/" TargetMode="External"/><Relationship Id="rId2" Type="http://schemas.openxmlformats.org/officeDocument/2006/relationships/hyperlink" Target="http://eutc.org/fileshare/files/375/EUTC_Spectrum_Group_-_Meeting_Documents/Socio-economic_value_of_Spectrum_used_by_utilities.pdf" TargetMode="External"/><Relationship Id="rId1" Type="http://schemas.openxmlformats.org/officeDocument/2006/relationships/hyperlink" Target="http://ec.europa.eu/europe2020/reaching-the-goals/target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1126</Words>
  <Characters>6196</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13</cp:revision>
  <dcterms:created xsi:type="dcterms:W3CDTF">2012-02-28T12:36:00Z</dcterms:created>
  <dcterms:modified xsi:type="dcterms:W3CDTF">2012-02-28T22:31:00Z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