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2044A7" w:rsidRPr="0098621D" w:rsidTr="007F45FC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44A7" w:rsidRPr="0098621D" w:rsidRDefault="002044A7" w:rsidP="007F45FC">
            <w:pPr>
              <w:pStyle w:val="Header2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22425" cy="8318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4A7" w:rsidRPr="0098621D" w:rsidRDefault="002044A7" w:rsidP="007F45FC">
            <w:pPr>
              <w:pStyle w:val="Header2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044A7" w:rsidRPr="00346C62" w:rsidRDefault="002044A7" w:rsidP="00CE056B">
            <w:pPr>
              <w:pStyle w:val="Header2"/>
              <w:tabs>
                <w:tab w:val="clear" w:pos="4536"/>
                <w:tab w:val="right" w:pos="3357"/>
              </w:tabs>
            </w:pPr>
            <w:r>
              <w:tab/>
              <w:t>FM50(12)</w:t>
            </w:r>
            <w:r w:rsidR="007C7832">
              <w:t>040</w:t>
            </w:r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>
              <w:t>FM PT50 – M</w:t>
            </w:r>
            <w:r w:rsidR="00193FA5">
              <w:t>6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lang w:val="en-GB"/>
              </w:rPr>
            </w:pPr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193FA5" w:rsidP="00B317CE">
            <w:pPr>
              <w:pStyle w:val="Header2"/>
            </w:pPr>
            <w:r>
              <w:t>Bologna, 3-5</w:t>
            </w:r>
            <w:r w:rsidR="002044A7">
              <w:t xml:space="preserve"> </w:t>
            </w:r>
            <w:r w:rsidR="00B317CE">
              <w:t>April</w:t>
            </w:r>
            <w:r w:rsidR="002044A7">
              <w:t xml:space="preserve">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lang w:val="en-GB"/>
              </w:rPr>
            </w:pPr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  <w:rPr>
                <w:sz w:val="8"/>
                <w:lang w:val="en-GB"/>
              </w:rPr>
            </w:pPr>
          </w:p>
        </w:tc>
      </w:tr>
      <w:tr w:rsidR="002044A7" w:rsidRPr="0098621D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 w:rsidRPr="0098621D">
              <w:t>Date issued:</w:t>
            </w:r>
            <w:r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B317CE" w:rsidP="000032F1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>28</w:t>
            </w:r>
            <w:r w:rsidR="002044A7">
              <w:rPr>
                <w:lang w:val="en-GB"/>
              </w:rPr>
              <w:t xml:space="preserve"> </w:t>
            </w:r>
            <w:r w:rsidR="000032F1">
              <w:rPr>
                <w:lang w:val="en-GB"/>
              </w:rPr>
              <w:t>March</w:t>
            </w:r>
            <w:r w:rsidR="002044A7">
              <w:rPr>
                <w:lang w:val="en-GB"/>
              </w:rPr>
              <w:t xml:space="preserve"> 2012</w:t>
            </w:r>
          </w:p>
        </w:tc>
      </w:tr>
      <w:tr w:rsidR="002044A7" w:rsidRPr="00B317CE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8D1F9C" w:rsidP="007F45FC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>ECO f</w:t>
            </w:r>
            <w:r w:rsidR="00193FA5">
              <w:rPr>
                <w:lang w:val="en-GB"/>
              </w:rPr>
              <w:t>orum on prioritisation</w:t>
            </w:r>
            <w:r w:rsidR="002044A7">
              <w:rPr>
                <w:lang w:val="en-GB"/>
              </w:rPr>
              <w:t xml:space="preserve"> of criteria (coordinator)</w:t>
            </w:r>
          </w:p>
        </w:tc>
      </w:tr>
      <w:tr w:rsidR="002044A7" w:rsidRPr="00B317CE" w:rsidTr="007F45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98621D" w:rsidRDefault="002044A7" w:rsidP="007F45FC">
            <w:pPr>
              <w:pStyle w:val="Header2"/>
            </w:pPr>
            <w:r w:rsidRPr="0098621D">
              <w:rPr>
                <w:lang w:val="en-GB"/>
              </w:rPr>
              <w:t>Subject:</w:t>
            </w:r>
            <w:r>
              <w:rPr>
                <w:lang w:val="en-GB"/>
              </w:rPr>
              <w:t xml:space="preserve">  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1E0E49" w:rsidRDefault="002044A7" w:rsidP="002044A7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 xml:space="preserve">Report from </w:t>
            </w:r>
            <w:r w:rsidR="008D1F9C">
              <w:rPr>
                <w:lang w:val="en-GB"/>
              </w:rPr>
              <w:t>ECO f</w:t>
            </w:r>
            <w:r>
              <w:rPr>
                <w:lang w:val="en-GB"/>
              </w:rPr>
              <w:t>orum activity</w:t>
            </w:r>
          </w:p>
        </w:tc>
      </w:tr>
      <w:tr w:rsidR="002044A7" w:rsidRPr="00B317CE" w:rsidTr="007F45FC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6D7413" w:rsidRDefault="007C7832" w:rsidP="007F45FC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93.3pt;margin-top:15.15pt;width:36pt;height:21.35pt;z-index:-251658752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<v:textbox>
                    <w:txbxContent>
                      <w:p w:rsidR="002044A7" w:rsidRPr="00254FD9" w:rsidRDefault="002044A7" w:rsidP="002044A7">
                        <w:pPr>
                          <w:spacing w:after="0"/>
                          <w:jc w:val="center"/>
                          <w:rPr>
                            <w:rFonts w:cs="Arial"/>
                            <w:szCs w:val="24"/>
                            <w:lang w:val="de-DE"/>
                          </w:rPr>
                        </w:pPr>
                        <w:r>
                          <w:rPr>
                            <w:rFonts w:cs="Arial"/>
                            <w:szCs w:val="24"/>
                            <w:lang w:val="de-DE"/>
                          </w:rPr>
                          <w:t>N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2044A7" w:rsidRDefault="002044A7" w:rsidP="007F45FC">
            <w:pPr>
              <w:rPr>
                <w:lang w:val="en-GB"/>
              </w:rPr>
            </w:pPr>
            <w:r w:rsidRPr="0016435A">
              <w:rPr>
                <w:lang w:val="en-GB"/>
              </w:rPr>
              <w:t xml:space="preserve">Password protection required? (Y/N) </w:t>
            </w:r>
          </w:p>
          <w:p w:rsidR="002044A7" w:rsidRPr="00DD103C" w:rsidRDefault="002044A7" w:rsidP="007F45FC">
            <w:pPr>
              <w:pStyle w:val="Header1"/>
              <w:rPr>
                <w:lang w:val="en-GB"/>
              </w:rPr>
            </w:pPr>
          </w:p>
        </w:tc>
      </w:tr>
      <w:tr w:rsidR="002044A7" w:rsidRPr="00B317CE" w:rsidTr="007F45FC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4A7" w:rsidRPr="003D778B" w:rsidRDefault="002044A7" w:rsidP="007F45FC">
            <w:pPr>
              <w:pStyle w:val="Header1"/>
            </w:pPr>
          </w:p>
          <w:p w:rsidR="002044A7" w:rsidRPr="0098621D" w:rsidRDefault="002044A7" w:rsidP="007F45FC">
            <w:pPr>
              <w:pStyle w:val="Header1"/>
              <w:rPr>
                <w:sz w:val="8"/>
              </w:rPr>
            </w:pPr>
          </w:p>
        </w:tc>
      </w:tr>
      <w:tr w:rsidR="002044A7" w:rsidTr="007F4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2044A7" w:rsidRPr="000D164A" w:rsidRDefault="002044A7" w:rsidP="007F45FC">
            <w:pPr>
              <w:pStyle w:val="Header2"/>
              <w:rPr>
                <w:rFonts w:cs="Arial"/>
                <w:lang w:val="en-US"/>
              </w:rPr>
            </w:pPr>
            <w:r w:rsidRPr="000D164A">
              <w:rPr>
                <w:rFonts w:cs="Arial"/>
                <w:lang w:val="en-US"/>
              </w:rPr>
              <w:t xml:space="preserve">Summary: </w:t>
            </w:r>
          </w:p>
        </w:tc>
      </w:tr>
      <w:tr w:rsidR="002044A7" w:rsidRPr="00B317CE" w:rsidTr="007F4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426023" w:rsidRPr="00426023" w:rsidRDefault="002044A7" w:rsidP="001248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="00321275"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brief </w:t>
            </w:r>
            <w:r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summary of the activity in </w:t>
            </w:r>
            <w:r w:rsidR="007D5F52">
              <w:rPr>
                <w:rFonts w:ascii="Arial" w:hAnsi="Arial" w:cs="Arial"/>
                <w:sz w:val="20"/>
                <w:szCs w:val="20"/>
                <w:lang w:val="en-US"/>
              </w:rPr>
              <w:t>ECO f</w:t>
            </w:r>
            <w:r w:rsidR="00124892">
              <w:rPr>
                <w:rFonts w:ascii="Arial" w:hAnsi="Arial" w:cs="Arial"/>
                <w:sz w:val="20"/>
                <w:szCs w:val="20"/>
                <w:lang w:val="en-US"/>
              </w:rPr>
              <w:t xml:space="preserve">orum on how to apply the </w:t>
            </w:r>
            <w:proofErr w:type="spellStart"/>
            <w:r w:rsidR="00124892">
              <w:rPr>
                <w:rFonts w:ascii="Arial" w:hAnsi="Arial" w:cs="Arial"/>
                <w:sz w:val="20"/>
                <w:szCs w:val="20"/>
                <w:lang w:val="en-US"/>
              </w:rPr>
              <w:t>prioritisation</w:t>
            </w:r>
            <w:proofErr w:type="spellEnd"/>
            <w:r w:rsidRPr="000D164A">
              <w:rPr>
                <w:rFonts w:ascii="Arial" w:hAnsi="Arial" w:cs="Arial"/>
                <w:sz w:val="20"/>
                <w:szCs w:val="20"/>
                <w:lang w:val="en-US"/>
              </w:rPr>
              <w:t xml:space="preserve"> of criteria</w:t>
            </w:r>
            <w:r w:rsidR="00124892">
              <w:rPr>
                <w:rFonts w:ascii="Arial" w:hAnsi="Arial" w:cs="Arial"/>
                <w:sz w:val="20"/>
                <w:szCs w:val="20"/>
                <w:lang w:val="en-US"/>
              </w:rPr>
              <w:t xml:space="preserve">. The output from the FM PT50 meeting in Mainz and a number of issues to be discussed were presented. However, the activity in the forum was very limited and no actual progress is to be reported. </w:t>
            </w:r>
          </w:p>
        </w:tc>
      </w:tr>
      <w:tr w:rsidR="002044A7" w:rsidTr="007F4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2044A7" w:rsidRPr="000D164A" w:rsidRDefault="002044A7" w:rsidP="007F45FC">
            <w:pPr>
              <w:pStyle w:val="Header2"/>
              <w:rPr>
                <w:rFonts w:cs="Arial"/>
                <w:lang w:val="en-US"/>
              </w:rPr>
            </w:pPr>
            <w:r w:rsidRPr="000D164A">
              <w:rPr>
                <w:rFonts w:cs="Arial"/>
                <w:lang w:val="en-US"/>
              </w:rPr>
              <w:t xml:space="preserve">Proposal: </w:t>
            </w:r>
          </w:p>
        </w:tc>
      </w:tr>
      <w:tr w:rsidR="002044A7" w:rsidRPr="00B317CE" w:rsidTr="00FD0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2044A7" w:rsidRPr="00193FA5" w:rsidRDefault="00193FA5" w:rsidP="005E18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That</w:t>
            </w:r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when assessing the criteria for social and economic benefits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FM PT50 </w:t>
            </w:r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has to take into account the special situation of PMSE applications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as proposed by </w:t>
            </w:r>
            <w:proofErr w:type="spellStart"/>
            <w:r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Sennheiser</w:t>
            </w:r>
            <w:proofErr w:type="spellEnd"/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. PMSE </w:t>
            </w:r>
            <w:r w:rsidR="001248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has </w:t>
            </w:r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lost </w:t>
            </w:r>
            <w:r w:rsidR="005E18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61</w:t>
            </w:r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MHz</w:t>
            </w:r>
            <w:r w:rsidR="005E18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, excluding the duplex gap, the</w:t>
            </w:r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1248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in the </w:t>
            </w:r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800 MHz </w:t>
            </w:r>
            <w:r w:rsidR="001248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range and t</w:t>
            </w:r>
            <w:r w:rsidR="00124892"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his differentiates PMSE from all the other applications which want to have </w:t>
            </w:r>
            <w:r w:rsidR="001248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additional or new spectrum.</w:t>
            </w:r>
            <w:r w:rsidR="004260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D003E" w:rsidRPr="00B317CE" w:rsidTr="00FD0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FE3" w:rsidRDefault="00FD003E" w:rsidP="00FD0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207FE3">
              <w:rPr>
                <w:rFonts w:ascii="Arial" w:hAnsi="Arial" w:cs="Arial"/>
                <w:b/>
                <w:sz w:val="22"/>
                <w:szCs w:val="20"/>
                <w:lang w:val="en-US" w:eastAsia="de-DE"/>
              </w:rPr>
              <w:t>Background:</w:t>
            </w:r>
          </w:p>
          <w:p w:rsidR="00207FE3" w:rsidRDefault="00207FE3" w:rsidP="00FD0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</w:p>
          <w:p w:rsidR="00124892" w:rsidRPr="00EF000C" w:rsidRDefault="00124892" w:rsidP="00124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At its fifth meeting FM PT50 agreed that the</w:t>
            </w:r>
            <w:r w:rsidR="00FD003E" w:rsidRPr="00207F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forum</w:t>
            </w:r>
            <w:r w:rsidR="00FD003E" w:rsidRPr="00207FE3">
              <w:rPr>
                <w:rFonts w:ascii="Arial" w:hAnsi="Arial" w:cs="Arial"/>
                <w:sz w:val="20"/>
                <w:szCs w:val="20"/>
                <w:lang w:val="en-US"/>
              </w:rPr>
              <w:t xml:space="preserve"> activity </w:t>
            </w:r>
            <w:r w:rsidR="00207FE3" w:rsidRPr="00207FE3">
              <w:rPr>
                <w:rFonts w:ascii="Arial" w:hAnsi="Arial" w:cs="Arial"/>
                <w:sz w:val="20"/>
                <w:szCs w:val="20"/>
                <w:lang w:val="en-US"/>
              </w:rPr>
              <w:t xml:space="preserve">should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continue</w:t>
            </w:r>
            <w:r w:rsidR="00FD003E" w:rsidRPr="00207F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order to address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a number of issues that </w:t>
            </w:r>
            <w:r w:rsidR="00193FA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were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raised in Mainz:</w:t>
            </w:r>
          </w:p>
          <w:p w:rsidR="00124892" w:rsidRDefault="00124892" w:rsidP="00124892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Avoiding consideration of the same information under more than criterion.</w:t>
            </w:r>
          </w:p>
          <w:p w:rsidR="00124892" w:rsidRDefault="00124892" w:rsidP="00124892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If available, references to similar concepts used within or outside CEPT. </w:t>
            </w:r>
          </w:p>
          <w:p w:rsidR="00124892" w:rsidRDefault="00124892" w:rsidP="00124892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How does a candidate application meet</w:t>
            </w:r>
            <w:r w:rsidR="00193FA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a non-</w:t>
            </w: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applicable criterion, e.g.:</w:t>
            </w:r>
          </w:p>
          <w:p w:rsidR="00124892" w:rsidRDefault="00124892" w:rsidP="00124892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Compliance with the ECC/DEC</w:t>
            </w:r>
            <w:proofErr w:type="gramStart"/>
            <w:r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/(</w:t>
            </w:r>
            <w:proofErr w:type="gramEnd"/>
            <w:r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03)/02 if the required spectrum is outside the 1479,5-1492 MHz band?</w:t>
            </w:r>
          </w:p>
          <w:p w:rsidR="00124892" w:rsidRDefault="00124892" w:rsidP="00124892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Compliance with the MA02revCO07 special arrangement if the required sp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ectrum is outside the 1452-1479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,</w:t>
            </w:r>
            <w:r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5</w:t>
            </w:r>
            <w:proofErr w:type="gramEnd"/>
            <w:r w:rsidRPr="00A343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MHz band?</w:t>
            </w:r>
          </w:p>
          <w:p w:rsidR="00FD003E" w:rsidRDefault="00124892" w:rsidP="00124892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 w:rsidRPr="001248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Compliance with MA02revCO07 as a tool for cross-border coordination if the required service area is the entire CEPT region?</w:t>
            </w:r>
          </w:p>
          <w:p w:rsidR="001339FF" w:rsidRDefault="001339FF" w:rsidP="00133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</w:p>
          <w:p w:rsidR="00FD003E" w:rsidRPr="001339FF" w:rsidRDefault="001339FF" w:rsidP="00133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</w:pPr>
            <w:r w:rsidRPr="001339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The output from the FM PT</w:t>
            </w: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50 meeting in Mainz</w:t>
            </w:r>
            <w:r w:rsidRPr="001339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concerning </w:t>
            </w:r>
            <w:proofErr w:type="spellStart"/>
            <w:r w:rsidRPr="001339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prioritisation</w:t>
            </w:r>
            <w:proofErr w:type="spellEnd"/>
            <w:r w:rsidRPr="001339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of criteria is presented in the annex.</w:t>
            </w:r>
          </w:p>
        </w:tc>
      </w:tr>
    </w:tbl>
    <w:p w:rsidR="00361DA4" w:rsidRPr="00361DA4" w:rsidRDefault="009E02CE" w:rsidP="00361DA4">
      <w:pPr>
        <w:rPr>
          <w:rFonts w:ascii="Arial" w:hAnsi="Arial" w:cs="Arial"/>
          <w:sz w:val="20"/>
          <w:szCs w:val="20"/>
          <w:lang w:val="en-GB"/>
        </w:rPr>
      </w:pPr>
      <w:r>
        <w:rPr>
          <w:lang w:val="en-US"/>
        </w:rPr>
        <w:br/>
      </w:r>
      <w:bookmarkStart w:id="0" w:name="_GoBack"/>
      <w:bookmarkEnd w:id="0"/>
    </w:p>
    <w:p w:rsidR="0046693A" w:rsidRDefault="0046693A">
      <w:pPr>
        <w:rPr>
          <w:rFonts w:ascii="Arial" w:eastAsia="Times New Roman" w:hAnsi="Arial" w:cs="Arial"/>
          <w:b/>
          <w:color w:val="000000"/>
          <w:sz w:val="20"/>
          <w:szCs w:val="20"/>
          <w:lang w:val="en-US" w:eastAsia="sv-S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sv-SE"/>
        </w:rPr>
        <w:br w:type="page"/>
      </w:r>
    </w:p>
    <w:p w:rsidR="0046693A" w:rsidRPr="00A343A4" w:rsidRDefault="0046693A" w:rsidP="0046693A">
      <w:pPr>
        <w:spacing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sv-S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sv-SE"/>
        </w:rPr>
        <w:lastRenderedPageBreak/>
        <w:t>Annex – Output from the FM PT</w:t>
      </w:r>
      <w:r w:rsidRPr="00EF000C">
        <w:rPr>
          <w:rFonts w:ascii="Arial" w:eastAsia="Times New Roman" w:hAnsi="Arial" w:cs="Arial"/>
          <w:b/>
          <w:color w:val="000000"/>
          <w:sz w:val="20"/>
          <w:szCs w:val="20"/>
          <w:lang w:val="en-US" w:eastAsia="sv-SE"/>
        </w:rPr>
        <w:t>50 meeting in Mainz</w:t>
      </w:r>
    </w:p>
    <w:p w:rsidR="0046693A" w:rsidRPr="00EF000C" w:rsidRDefault="0046693A" w:rsidP="0046693A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The </w:t>
      </w:r>
      <w:proofErr w:type="spellStart"/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prioritisation</w:t>
      </w:r>
      <w:proofErr w:type="spellEnd"/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 of criteria as shown in the table (three categories) was agreed at the FM PT 50 meeting in Mainz, except the second column (factor).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567"/>
        <w:gridCol w:w="6662"/>
      </w:tblGrid>
      <w:tr w:rsidR="0046693A" w:rsidRPr="00EF000C" w:rsidTr="00C3278A"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sv-SE"/>
              </w:rPr>
              <w:t>Priority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sv-SE"/>
              </w:rPr>
              <w:t>[Factor]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sv-SE"/>
              </w:rPr>
              <w:t>No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sv-SE"/>
              </w:rPr>
              <w:t>Criterion</w:t>
            </w:r>
          </w:p>
        </w:tc>
      </w:tr>
      <w:tr w:rsidR="0046693A" w:rsidRPr="00B317CE" w:rsidTr="00C3278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00C" w:rsidRPr="00EF000C" w:rsidRDefault="0046693A" w:rsidP="00C327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High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00C" w:rsidRPr="00EF000C" w:rsidRDefault="0046693A" w:rsidP="00C327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[9]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sv-SE"/>
              </w:rPr>
              <w:t>Extent (maximisation) of social and economic benefits</w:t>
            </w:r>
          </w:p>
        </w:tc>
      </w:tr>
      <w:tr w:rsidR="0046693A" w:rsidRPr="00B317CE" w:rsidTr="00C3278A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Timeframe for availability of equipment on a large scale and for application deployment - status of </w:t>
            </w:r>
            <w:proofErr w:type="spellStart"/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standardisation</w:t>
            </w:r>
            <w:proofErr w:type="spellEnd"/>
          </w:p>
        </w:tc>
      </w:tr>
      <w:tr w:rsidR="0046693A" w:rsidRPr="00B317CE" w:rsidTr="00C3278A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Potential for economy of scale (need and potential for </w:t>
            </w:r>
            <w:proofErr w:type="spellStart"/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harmonisation</w:t>
            </w:r>
            <w:proofErr w:type="spellEnd"/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 xml:space="preserve"> within and outside CEPT)</w:t>
            </w:r>
          </w:p>
        </w:tc>
      </w:tr>
      <w:tr w:rsidR="0046693A" w:rsidRPr="00B317CE" w:rsidTr="00C3278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00C" w:rsidRPr="00EF000C" w:rsidRDefault="0046693A" w:rsidP="00C327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Medium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00C" w:rsidRPr="00EF000C" w:rsidRDefault="0046693A" w:rsidP="00C327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[6]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sv-SE"/>
              </w:rPr>
              <w:t xml:space="preserve">Possibility to share with other applications/uses (frequency, </w:t>
            </w: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spatial, time and/or signal separation)</w:t>
            </w:r>
          </w:p>
        </w:tc>
      </w:tr>
      <w:tr w:rsidR="0046693A" w:rsidRPr="00B317CE" w:rsidTr="00C3278A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Compatibility with the Radio Regulations (Article 5)</w:t>
            </w:r>
          </w:p>
        </w:tc>
      </w:tr>
      <w:tr w:rsidR="0046693A" w:rsidRPr="00EF000C" w:rsidTr="00C3278A"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93A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1b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Compatibility with MA02revCO07</w:t>
            </w:r>
          </w:p>
        </w:tc>
      </w:tr>
      <w:tr w:rsidR="0046693A" w:rsidRPr="00EF000C" w:rsidTr="00C3278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00C" w:rsidRPr="00EF000C" w:rsidRDefault="0046693A" w:rsidP="00C327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v-SE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00C" w:rsidRPr="00EF000C" w:rsidRDefault="0046693A" w:rsidP="00C327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[3]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1c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00C" w:rsidRPr="00EF000C" w:rsidRDefault="0046693A" w:rsidP="00C327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</w:pPr>
            <w:r w:rsidRPr="00EF0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Compatibility with ECC/DEC/(03)/02</w:t>
            </w:r>
          </w:p>
        </w:tc>
      </w:tr>
    </w:tbl>
    <w:p w:rsidR="0046693A" w:rsidRDefault="0046693A" w:rsidP="0046693A"/>
    <w:p w:rsidR="0046693A" w:rsidRDefault="0046693A" w:rsidP="004669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The text below, describing the concept on ho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w to apply the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prioritisation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, was not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 agreed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at the FM PT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50 meeting in Mainz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,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but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was used 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s a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 starting point for discussions in this ECO forum.</w:t>
      </w:r>
    </w:p>
    <w:p w:rsidR="0046693A" w:rsidRPr="00EF000C" w:rsidRDefault="0046693A" w:rsidP="0046693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</w:p>
    <w:p w:rsidR="0046693A" w:rsidRPr="00EF000C" w:rsidRDefault="0046693A" w:rsidP="0046693A">
      <w:pPr>
        <w:pStyle w:val="Paragraphedeliste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A candidate application will be given a mark between 0 and 1 for a single criterion.</w:t>
      </w:r>
    </w:p>
    <w:p w:rsidR="0046693A" w:rsidRPr="00EF000C" w:rsidRDefault="0046693A" w:rsidP="0046693A">
      <w:pPr>
        <w:pStyle w:val="Paragraphedeliste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That mark will then be multiplied by the factor in the table associated with that specific criterion resulting in a number of points. </w:t>
      </w:r>
    </w:p>
    <w:p w:rsidR="0046693A" w:rsidRPr="00EF000C" w:rsidRDefault="0046693A" w:rsidP="0046693A">
      <w:pPr>
        <w:pStyle w:val="Paragraphedeliste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The points for all the criteria will then be added in order to get the total number of points for a candidate application.</w:t>
      </w:r>
    </w:p>
    <w:p w:rsidR="0046693A" w:rsidRPr="00EF000C" w:rsidRDefault="0046693A" w:rsidP="0046693A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Note that criterion 1 is separated in three parts (1a, 1b and 1c), where one is given low priority and two are given medium priority, which will have an additional impact on the calculations. 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br/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br/>
      </w:r>
      <w:r w:rsidRPr="00A343A4">
        <w:rPr>
          <w:rFonts w:ascii="Arial" w:eastAsia="Times New Roman" w:hAnsi="Arial" w:cs="Arial"/>
          <w:bCs/>
          <w:color w:val="000000"/>
          <w:sz w:val="20"/>
          <w:lang w:val="en-US" w:eastAsia="sv-SE"/>
        </w:rPr>
        <w:t>High priority</w:t>
      </w:r>
    </w:p>
    <w:p w:rsidR="0046693A" w:rsidRPr="00A343A4" w:rsidRDefault="0046693A" w:rsidP="0046693A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GB" w:eastAsia="sv-SE"/>
        </w:rPr>
        <w:t>Extent (maximisation) of social and economic benefits will result in a maximum of 9 points.</w:t>
      </w:r>
    </w:p>
    <w:p w:rsidR="0046693A" w:rsidRPr="00A343A4" w:rsidRDefault="0046693A" w:rsidP="0046693A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Timeframe for availability of equipment on a large scale and for application deployment -status of standardization </w:t>
      </w:r>
      <w:r w:rsidRPr="00A343A4">
        <w:rPr>
          <w:rFonts w:ascii="Arial" w:eastAsia="Times New Roman" w:hAnsi="Arial" w:cs="Arial"/>
          <w:color w:val="000000"/>
          <w:sz w:val="20"/>
          <w:szCs w:val="20"/>
          <w:lang w:val="en-GB" w:eastAsia="sv-SE"/>
        </w:rPr>
        <w:t>will result in a maximum of 9 points.</w:t>
      </w:r>
    </w:p>
    <w:p w:rsidR="0046693A" w:rsidRPr="00A343A4" w:rsidRDefault="0046693A" w:rsidP="0046693A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Potential for economy of scale (need and potential for </w:t>
      </w:r>
      <w:proofErr w:type="spellStart"/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harmonisation</w:t>
      </w:r>
      <w:proofErr w:type="spellEnd"/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 within and outside CEPT) </w:t>
      </w:r>
      <w:r w:rsidRPr="00A343A4">
        <w:rPr>
          <w:rFonts w:ascii="Arial" w:eastAsia="Times New Roman" w:hAnsi="Arial" w:cs="Arial"/>
          <w:color w:val="000000"/>
          <w:sz w:val="20"/>
          <w:szCs w:val="20"/>
          <w:lang w:val="en-GB" w:eastAsia="sv-SE"/>
        </w:rPr>
        <w:t>will result in a maximum of 9 points.</w:t>
      </w:r>
    </w:p>
    <w:p w:rsidR="0046693A" w:rsidRPr="00EF000C" w:rsidRDefault="0046693A" w:rsidP="0046693A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bCs/>
          <w:color w:val="000000"/>
          <w:sz w:val="20"/>
          <w:lang w:val="en-US" w:eastAsia="sv-SE"/>
        </w:rPr>
        <w:br/>
        <w:t xml:space="preserve">Medium priority 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(In Mainz, Luxembourg expressed some concerns with respect to the subdivision of the first criterion)</w:t>
      </w:r>
    </w:p>
    <w:p w:rsidR="0046693A" w:rsidRPr="00A343A4" w:rsidRDefault="0046693A" w:rsidP="0046693A">
      <w:pPr>
        <w:pStyle w:val="Paragraphedeliste"/>
        <w:numPr>
          <w:ilvl w:val="0"/>
          <w:numId w:val="2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GB" w:eastAsia="sv-SE"/>
        </w:rPr>
        <w:t xml:space="preserve">Possibility to share with other applications/uses (frequency, </w:t>
      </w:r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spatial, time and/or signal separation) </w:t>
      </w:r>
      <w:r w:rsidRPr="00A343A4">
        <w:rPr>
          <w:rFonts w:ascii="Arial" w:eastAsia="Times New Roman" w:hAnsi="Arial" w:cs="Arial"/>
          <w:color w:val="000000"/>
          <w:sz w:val="20"/>
          <w:szCs w:val="20"/>
          <w:lang w:val="en-GB" w:eastAsia="sv-SE"/>
        </w:rPr>
        <w:t>will result in a maximum of 6 points.</w:t>
      </w:r>
    </w:p>
    <w:p w:rsidR="0046693A" w:rsidRPr="00A343A4" w:rsidRDefault="0046693A" w:rsidP="0046693A">
      <w:pPr>
        <w:pStyle w:val="Paragraphedeliste"/>
        <w:numPr>
          <w:ilvl w:val="0"/>
          <w:numId w:val="2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Compatibility with the Radio Regulations (Article 5) will result in a maximum of 2 points (i.e. 6/3).</w:t>
      </w:r>
    </w:p>
    <w:p w:rsidR="0046693A" w:rsidRPr="00A343A4" w:rsidRDefault="0046693A" w:rsidP="0046693A">
      <w:pPr>
        <w:pStyle w:val="Paragraphedeliste"/>
        <w:numPr>
          <w:ilvl w:val="0"/>
          <w:numId w:val="2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Compatibility with MA02revCO07 will result in a maximum of 2 points (i.e. 6/3).</w:t>
      </w:r>
    </w:p>
    <w:p w:rsidR="0046693A" w:rsidRPr="00EF000C" w:rsidRDefault="0046693A" w:rsidP="0046693A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bCs/>
          <w:color w:val="000000"/>
          <w:sz w:val="20"/>
          <w:lang w:val="en-US" w:eastAsia="sv-SE"/>
        </w:rPr>
        <w:br/>
        <w:t xml:space="preserve">Low priority </w:t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(In Mainz, Luxembourg expressed some concerns with respect to the subdivision of the first criterion)</w:t>
      </w:r>
    </w:p>
    <w:p w:rsidR="0046693A" w:rsidRPr="00A343A4" w:rsidRDefault="0046693A" w:rsidP="0046693A">
      <w:pPr>
        <w:pStyle w:val="Paragraphedeliste"/>
        <w:numPr>
          <w:ilvl w:val="0"/>
          <w:numId w:val="20"/>
        </w:numPr>
        <w:spacing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Compatibility with ECC/DEC</w:t>
      </w:r>
      <w:proofErr w:type="gramStart"/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/(</w:t>
      </w:r>
      <w:proofErr w:type="gramEnd"/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03)/02 will result in a maximum of 1 point (i.e. 3/3).</w:t>
      </w:r>
    </w:p>
    <w:p w:rsidR="0046693A" w:rsidRPr="00A343A4" w:rsidRDefault="0046693A" w:rsidP="0046693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r w:rsidRPr="00A343A4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br/>
      </w:r>
      <w:r w:rsidRPr="00EF000C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>Note: The timing aspect should not be taken into account when considering the criterion related to compatibility with the regulatory framework since it is covered in criterion 4.</w:t>
      </w:r>
    </w:p>
    <w:p w:rsidR="003C2BBB" w:rsidRPr="007B1D96" w:rsidRDefault="003C2BBB">
      <w:pPr>
        <w:rPr>
          <w:b/>
          <w:lang w:val="en-US"/>
        </w:rPr>
      </w:pPr>
    </w:p>
    <w:sectPr w:rsidR="003C2BBB" w:rsidRPr="007B1D96" w:rsidSect="00FD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C39"/>
    <w:multiLevelType w:val="hybridMultilevel"/>
    <w:tmpl w:val="15CEED04"/>
    <w:lvl w:ilvl="0" w:tplc="869C9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1190B"/>
    <w:multiLevelType w:val="hybridMultilevel"/>
    <w:tmpl w:val="8F88C0F2"/>
    <w:lvl w:ilvl="0" w:tplc="FFFFFFFF">
      <w:start w:val="1"/>
      <w:numFmt w:val="decimal"/>
      <w:pStyle w:val="Retraitcorpsdetexte2"/>
      <w:lvlText w:val="(%1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GB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GB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B6A83"/>
    <w:multiLevelType w:val="hybridMultilevel"/>
    <w:tmpl w:val="031CB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6288A"/>
    <w:multiLevelType w:val="hybridMultilevel"/>
    <w:tmpl w:val="D3FC2162"/>
    <w:lvl w:ilvl="0" w:tplc="5D667912">
      <w:start w:val="1"/>
      <w:numFmt w:val="decimal"/>
      <w:pStyle w:val="bodyCha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4C28D7"/>
    <w:multiLevelType w:val="hybridMultilevel"/>
    <w:tmpl w:val="EF82DE6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E72FB4"/>
    <w:multiLevelType w:val="hybridMultilevel"/>
    <w:tmpl w:val="76E80A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77783"/>
    <w:multiLevelType w:val="hybridMultilevel"/>
    <w:tmpl w:val="3FFC26C6"/>
    <w:lvl w:ilvl="0" w:tplc="869C99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A1B97"/>
    <w:multiLevelType w:val="multilevel"/>
    <w:tmpl w:val="2D7C5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0C6990"/>
    <w:multiLevelType w:val="multilevel"/>
    <w:tmpl w:val="EAD6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C4795"/>
    <w:multiLevelType w:val="hybridMultilevel"/>
    <w:tmpl w:val="C91479FE"/>
    <w:lvl w:ilvl="0" w:tplc="86F03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5D36E2"/>
    <w:multiLevelType w:val="hybridMultilevel"/>
    <w:tmpl w:val="43B01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63F60"/>
    <w:multiLevelType w:val="hybridMultilevel"/>
    <w:tmpl w:val="08529E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C20F05"/>
    <w:multiLevelType w:val="multilevel"/>
    <w:tmpl w:val="ABD8F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C72435A"/>
    <w:multiLevelType w:val="multilevel"/>
    <w:tmpl w:val="41F0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11E70"/>
    <w:multiLevelType w:val="hybridMultilevel"/>
    <w:tmpl w:val="F17E26B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EF578E"/>
    <w:multiLevelType w:val="hybridMultilevel"/>
    <w:tmpl w:val="53B269A6"/>
    <w:lvl w:ilvl="0" w:tplc="B6A08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5535E7"/>
    <w:multiLevelType w:val="hybridMultilevel"/>
    <w:tmpl w:val="27EE2B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8A1328"/>
    <w:multiLevelType w:val="hybridMultilevel"/>
    <w:tmpl w:val="4790D6BA"/>
    <w:lvl w:ilvl="0" w:tplc="041D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>
    <w:nsid w:val="72A16C21"/>
    <w:multiLevelType w:val="hybridMultilevel"/>
    <w:tmpl w:val="04A690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F74483"/>
    <w:multiLevelType w:val="hybridMultilevel"/>
    <w:tmpl w:val="2270AB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53D7"/>
    <w:multiLevelType w:val="hybridMultilevel"/>
    <w:tmpl w:val="6692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2613F"/>
    <w:multiLevelType w:val="hybridMultilevel"/>
    <w:tmpl w:val="11B011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3"/>
  </w:num>
  <w:num w:numId="6">
    <w:abstractNumId w:val="7"/>
  </w:num>
  <w:num w:numId="7">
    <w:abstractNumId w:val="3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"/>
  </w:num>
  <w:num w:numId="15">
    <w:abstractNumId w:val="19"/>
  </w:num>
  <w:num w:numId="16">
    <w:abstractNumId w:val="2"/>
  </w:num>
  <w:num w:numId="17">
    <w:abstractNumId w:val="0"/>
  </w:num>
  <w:num w:numId="18">
    <w:abstractNumId w:val="6"/>
  </w:num>
  <w:num w:numId="19">
    <w:abstractNumId w:val="18"/>
  </w:num>
  <w:num w:numId="20">
    <w:abstractNumId w:val="10"/>
  </w:num>
  <w:num w:numId="21">
    <w:abstractNumId w:val="1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8B2A05"/>
    <w:rsid w:val="000032F1"/>
    <w:rsid w:val="00065847"/>
    <w:rsid w:val="000D164A"/>
    <w:rsid w:val="000D7D56"/>
    <w:rsid w:val="00124892"/>
    <w:rsid w:val="001277F4"/>
    <w:rsid w:val="0013071B"/>
    <w:rsid w:val="001339FF"/>
    <w:rsid w:val="0015652D"/>
    <w:rsid w:val="00193FA5"/>
    <w:rsid w:val="001B1797"/>
    <w:rsid w:val="001E5AAE"/>
    <w:rsid w:val="002044A7"/>
    <w:rsid w:val="00207FE3"/>
    <w:rsid w:val="00265036"/>
    <w:rsid w:val="00297770"/>
    <w:rsid w:val="002B3B1E"/>
    <w:rsid w:val="002C2DB7"/>
    <w:rsid w:val="003131FE"/>
    <w:rsid w:val="00321275"/>
    <w:rsid w:val="00345081"/>
    <w:rsid w:val="00361DA4"/>
    <w:rsid w:val="003C2BBB"/>
    <w:rsid w:val="003D7631"/>
    <w:rsid w:val="00426023"/>
    <w:rsid w:val="004416C4"/>
    <w:rsid w:val="0046693A"/>
    <w:rsid w:val="00487B08"/>
    <w:rsid w:val="005C0978"/>
    <w:rsid w:val="005E186E"/>
    <w:rsid w:val="006449B6"/>
    <w:rsid w:val="007A1978"/>
    <w:rsid w:val="007B1D96"/>
    <w:rsid w:val="007C7832"/>
    <w:rsid w:val="007D5F52"/>
    <w:rsid w:val="00843BFC"/>
    <w:rsid w:val="00851CFD"/>
    <w:rsid w:val="008742CF"/>
    <w:rsid w:val="008B2A05"/>
    <w:rsid w:val="008C7EAB"/>
    <w:rsid w:val="008D1F9C"/>
    <w:rsid w:val="008E1BA6"/>
    <w:rsid w:val="00964C56"/>
    <w:rsid w:val="009E02CE"/>
    <w:rsid w:val="009F4812"/>
    <w:rsid w:val="00A17A44"/>
    <w:rsid w:val="00A46155"/>
    <w:rsid w:val="00A650C0"/>
    <w:rsid w:val="00A73F4E"/>
    <w:rsid w:val="00B317CE"/>
    <w:rsid w:val="00BB2C57"/>
    <w:rsid w:val="00BC114E"/>
    <w:rsid w:val="00C43577"/>
    <w:rsid w:val="00C504DC"/>
    <w:rsid w:val="00CE056B"/>
    <w:rsid w:val="00D225D8"/>
    <w:rsid w:val="00D23CED"/>
    <w:rsid w:val="00D60549"/>
    <w:rsid w:val="00DA5149"/>
    <w:rsid w:val="00DB3136"/>
    <w:rsid w:val="00DD6294"/>
    <w:rsid w:val="00E67FD4"/>
    <w:rsid w:val="00E726CD"/>
    <w:rsid w:val="00EB3850"/>
    <w:rsid w:val="00EF2B40"/>
    <w:rsid w:val="00F42935"/>
    <w:rsid w:val="00FB4118"/>
    <w:rsid w:val="00FB67BE"/>
    <w:rsid w:val="00FD003E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Paragraphedeliste">
    <w:name w:val="List Paragraph"/>
    <w:basedOn w:val="Normal"/>
    <w:uiPriority w:val="34"/>
    <w:qFormat/>
    <w:rsid w:val="008B2A05"/>
    <w:pPr>
      <w:ind w:left="720"/>
      <w:contextualSpacing/>
    </w:pPr>
  </w:style>
  <w:style w:type="paragraph" w:customStyle="1" w:styleId="Header2">
    <w:name w:val="Header2"/>
    <w:basedOn w:val="En-tte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customStyle="1" w:styleId="Header1">
    <w:name w:val="Header1"/>
    <w:basedOn w:val="En-tte"/>
    <w:link w:val="HeaderZchnZchn"/>
    <w:rsid w:val="002044A7"/>
    <w:pPr>
      <w:spacing w:before="60"/>
    </w:pPr>
    <w:rPr>
      <w:rFonts w:ascii="Arial" w:eastAsia="Times New Roman" w:hAnsi="Arial" w:cs="Times New Roman"/>
      <w:b/>
      <w:szCs w:val="20"/>
      <w:lang w:val="nb-NO" w:eastAsia="de-DE"/>
    </w:rPr>
  </w:style>
  <w:style w:type="character" w:customStyle="1" w:styleId="HeaderZchnZchn">
    <w:name w:val="Header Zchn Zchn"/>
    <w:link w:val="Header1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20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44A7"/>
  </w:style>
  <w:style w:type="paragraph" w:styleId="Textedebulles">
    <w:name w:val="Balloon Text"/>
    <w:basedOn w:val="Normal"/>
    <w:link w:val="TextedebullesCar"/>
    <w:uiPriority w:val="99"/>
    <w:semiHidden/>
    <w:unhideWhenUsed/>
    <w:rsid w:val="002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4A7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A17A44"/>
    <w:pPr>
      <w:numPr>
        <w:numId w:val="14"/>
      </w:numPr>
      <w:tabs>
        <w:tab w:val="clear" w:pos="0"/>
      </w:tabs>
      <w:spacing w:after="0" w:line="240" w:lineRule="auto"/>
      <w:ind w:left="709" w:firstLine="0"/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Retraitcorpsdetexte2Car">
    <w:name w:val="Retrait corps de texte 2 Car"/>
    <w:basedOn w:val="Policepardfaut"/>
    <w:link w:val="Retraitcorpsdetexte2"/>
    <w:rsid w:val="00A17A44"/>
    <w:rPr>
      <w:rFonts w:ascii="Arial" w:eastAsia="Times New Roman" w:hAnsi="Arial" w:cs="Arial"/>
      <w:sz w:val="24"/>
      <w:szCs w:val="20"/>
      <w:lang w:val="en-GB"/>
    </w:rPr>
  </w:style>
  <w:style w:type="paragraph" w:customStyle="1" w:styleId="bodyChar">
    <w:name w:val="body Char"/>
    <w:basedOn w:val="Normal"/>
    <w:link w:val="bodyCharCar"/>
    <w:rsid w:val="00A17A44"/>
    <w:pPr>
      <w:numPr>
        <w:numId w:val="7"/>
      </w:numPr>
      <w:spacing w:after="0" w:line="360" w:lineRule="auto"/>
      <w:jc w:val="both"/>
    </w:pPr>
    <w:rPr>
      <w:rFonts w:ascii="Arial" w:eastAsia="Times New Roman" w:hAnsi="Arial" w:cs="Times New Roman"/>
      <w:noProof/>
      <w:szCs w:val="24"/>
      <w:lang w:val="en-US"/>
    </w:rPr>
  </w:style>
  <w:style w:type="character" w:customStyle="1" w:styleId="bodyCharCar">
    <w:name w:val="body Char Car"/>
    <w:basedOn w:val="Policepardfaut"/>
    <w:link w:val="bodyChar"/>
    <w:rsid w:val="00A17A44"/>
    <w:rPr>
      <w:rFonts w:ascii="Arial" w:eastAsia="Times New Roman" w:hAnsi="Arial" w:cs="Times New Roman"/>
      <w:noProof/>
      <w:szCs w:val="24"/>
      <w:lang w:val="en-US"/>
    </w:rPr>
  </w:style>
  <w:style w:type="character" w:styleId="lev">
    <w:name w:val="Strong"/>
    <w:basedOn w:val="Policepardfaut"/>
    <w:uiPriority w:val="22"/>
    <w:qFormat/>
    <w:rsid w:val="00124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Paragraphedeliste">
    <w:name w:val="List Paragraph"/>
    <w:basedOn w:val="Normal"/>
    <w:uiPriority w:val="99"/>
    <w:qFormat/>
    <w:rsid w:val="008B2A05"/>
    <w:pPr>
      <w:ind w:left="720"/>
      <w:contextualSpacing/>
    </w:pPr>
  </w:style>
  <w:style w:type="paragraph" w:customStyle="1" w:styleId="Header2">
    <w:name w:val="Header2"/>
    <w:basedOn w:val="En-tte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customStyle="1" w:styleId="Header1">
    <w:name w:val="Header1"/>
    <w:basedOn w:val="En-tte"/>
    <w:link w:val="HeaderZchnZchn"/>
    <w:rsid w:val="002044A7"/>
    <w:pPr>
      <w:spacing w:before="60"/>
    </w:pPr>
    <w:rPr>
      <w:rFonts w:ascii="Arial" w:eastAsia="Times New Roman" w:hAnsi="Arial" w:cs="Times New Roman"/>
      <w:b/>
      <w:szCs w:val="20"/>
      <w:lang w:val="nb-NO" w:eastAsia="de-DE"/>
    </w:rPr>
  </w:style>
  <w:style w:type="character" w:customStyle="1" w:styleId="HeaderZchnZchn">
    <w:name w:val="Header Zchn Zchn"/>
    <w:link w:val="Header1"/>
    <w:rsid w:val="002044A7"/>
    <w:rPr>
      <w:rFonts w:ascii="Arial" w:eastAsia="Times New Roman" w:hAnsi="Arial" w:cs="Times New Roman"/>
      <w:b/>
      <w:szCs w:val="20"/>
      <w:lang w:val="nb-NO"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20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44A7"/>
  </w:style>
  <w:style w:type="paragraph" w:styleId="Textedebulles">
    <w:name w:val="Balloon Text"/>
    <w:basedOn w:val="Normal"/>
    <w:link w:val="TextedebullesCar"/>
    <w:uiPriority w:val="99"/>
    <w:semiHidden/>
    <w:unhideWhenUsed/>
    <w:rsid w:val="002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4A7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A17A44"/>
    <w:pPr>
      <w:numPr>
        <w:numId w:val="14"/>
      </w:numPr>
      <w:tabs>
        <w:tab w:val="clear" w:pos="0"/>
      </w:tabs>
      <w:spacing w:after="0" w:line="240" w:lineRule="auto"/>
      <w:ind w:left="709" w:firstLine="0"/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Retraitcorpsdetexte2Car">
    <w:name w:val="Retrait corps de texte 2 Car"/>
    <w:basedOn w:val="Policepardfaut"/>
    <w:link w:val="Retraitcorpsdetexte2"/>
    <w:rsid w:val="00A17A44"/>
    <w:rPr>
      <w:rFonts w:ascii="Arial" w:eastAsia="Times New Roman" w:hAnsi="Arial" w:cs="Arial"/>
      <w:sz w:val="24"/>
      <w:szCs w:val="20"/>
      <w:lang w:val="en-GB"/>
    </w:rPr>
  </w:style>
  <w:style w:type="paragraph" w:customStyle="1" w:styleId="bodyChar">
    <w:name w:val="body Char"/>
    <w:basedOn w:val="Normal"/>
    <w:link w:val="bodyCharCar"/>
    <w:rsid w:val="00A17A44"/>
    <w:pPr>
      <w:numPr>
        <w:numId w:val="7"/>
      </w:numPr>
      <w:spacing w:after="0" w:line="360" w:lineRule="auto"/>
      <w:jc w:val="both"/>
    </w:pPr>
    <w:rPr>
      <w:rFonts w:ascii="Arial" w:eastAsia="Times New Roman" w:hAnsi="Arial" w:cs="Times New Roman"/>
      <w:noProof/>
      <w:szCs w:val="24"/>
      <w:lang w:val="en-US"/>
    </w:rPr>
  </w:style>
  <w:style w:type="character" w:customStyle="1" w:styleId="bodyCharCar">
    <w:name w:val="body Char Car"/>
    <w:basedOn w:val="Policepardfaut"/>
    <w:link w:val="bodyChar"/>
    <w:rsid w:val="00A17A44"/>
    <w:rPr>
      <w:rFonts w:ascii="Arial" w:eastAsia="Times New Roman" w:hAnsi="Arial" w:cs="Times New Roman"/>
      <w:noProof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03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96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6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525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7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4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7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9878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1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Sweden</dc:creator>
  <cp:lastModifiedBy>DESCHAMPS Benoist</cp:lastModifiedBy>
  <cp:revision>7</cp:revision>
  <dcterms:created xsi:type="dcterms:W3CDTF">2012-03-28T16:02:00Z</dcterms:created>
  <dcterms:modified xsi:type="dcterms:W3CDTF">2012-03-29T04:33:00Z</dcterms:modified>
</cp:coreProperties>
</file>