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4FC" w:rsidRDefault="008A54FC"/>
    <w:p w:rsidR="008A54FC" w:rsidRPr="0010769E" w:rsidRDefault="008A54FC" w:rsidP="008A54FC">
      <w:pPr>
        <w:jc w:val="center"/>
      </w:pPr>
    </w:p>
    <w:p w:rsidR="008A54FC" w:rsidRPr="0010769E" w:rsidRDefault="008A54FC" w:rsidP="008A54FC">
      <w:pPr>
        <w:jc w:val="center"/>
      </w:pPr>
    </w:p>
    <w:p w:rsidR="008A54FC" w:rsidRPr="0010769E" w:rsidRDefault="00755D08" w:rsidP="00755D08">
      <w:pPr>
        <w:jc w:val="right"/>
      </w:pPr>
      <w:r>
        <w:t>FM50(12)044_Annex 4</w:t>
      </w:r>
      <w:bookmarkStart w:id="0" w:name="_GoBack"/>
      <w:bookmarkEnd w:id="0"/>
    </w:p>
    <w:p w:rsidR="008A54FC" w:rsidRPr="0010769E" w:rsidRDefault="008A54FC" w:rsidP="008A54FC"/>
    <w:p w:rsidR="008A54FC" w:rsidRPr="0010769E" w:rsidRDefault="00DF2C67" w:rsidP="008A54FC">
      <w:pPr>
        <w:jc w:val="center"/>
        <w:rPr>
          <w:b/>
          <w:sz w:val="24"/>
        </w:rPr>
      </w:pPr>
      <w:r>
        <w:rPr>
          <w:b/>
          <w:noProof/>
          <w:sz w:val="24"/>
          <w:szCs w:val="20"/>
          <w:lang w:val="fr-FR" w:eastAsia="fr-FR"/>
        </w:rPr>
        <mc:AlternateContent>
          <mc:Choice Requires="wps">
            <w:drawing>
              <wp:anchor distT="0" distB="0" distL="114300" distR="114300" simplePos="0" relativeHeight="251656192" behindDoc="0" locked="0" layoutInCell="1" allowOverlap="1">
                <wp:simplePos x="0" y="0"/>
                <wp:positionH relativeFrom="page">
                  <wp:posOffset>0</wp:posOffset>
                </wp:positionH>
                <wp:positionV relativeFrom="page">
                  <wp:posOffset>1714500</wp:posOffset>
                </wp:positionV>
                <wp:extent cx="7560310" cy="1628140"/>
                <wp:effectExtent l="0" t="0" r="0" b="0"/>
                <wp:wrapNone/>
                <wp:docPr id="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1628140"/>
                        </a:xfrm>
                        <a:prstGeom prst="rect">
                          <a:avLst/>
                        </a:prstGeom>
                        <a:solidFill>
                          <a:srgbClr val="887E6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53945" w:rsidRPr="00080D86" w:rsidRDefault="00F53945" w:rsidP="008A54FC">
                            <w:pPr>
                              <w:rPr>
                                <w:sz w:val="68"/>
                              </w:rPr>
                            </w:pPr>
                            <w:r w:rsidRPr="00080D86">
                              <w:rPr>
                                <w:color w:val="FFFFFF"/>
                                <w:sz w:val="68"/>
                              </w:rPr>
                              <w:t xml:space="preserve">ECC Report </w:t>
                            </w:r>
                            <w:r>
                              <w:rPr>
                                <w:color w:val="57433E"/>
                                <w:sz w:val="68"/>
                              </w:rPr>
                              <w:t>&lt;No&gt;</w:t>
                            </w:r>
                          </w:p>
                        </w:txbxContent>
                      </wps:txbx>
                      <wps:bodyPr rot="0" vert="horz" wrap="square" lIns="2880000" tIns="540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0;margin-top:135pt;width:595.3pt;height:128.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" fillcolor="#887e6e" stroked="f">
                <v:textbox inset="80mm,15mm">
                  <w:txbxContent>
                    <w:p w:rsidR="00F53945" w:rsidRPr="00080D86" w:rsidRDefault="00F53945" w:rsidP="008A54FC">
                      <w:pPr>
                        <w:rPr>
                          <w:sz w:val="68"/>
                        </w:rPr>
                      </w:pPr>
                      <w:r w:rsidRPr="00080D86">
                        <w:rPr>
                          <w:color w:val="FFFFFF"/>
                          <w:sz w:val="68"/>
                        </w:rPr>
                        <w:t xml:space="preserve">ECC Report </w:t>
                      </w:r>
                      <w:r>
                        <w:rPr>
                          <w:color w:val="57433E"/>
                          <w:sz w:val="68"/>
                        </w:rPr>
                        <w:t>&lt;No&gt;</w:t>
                      </w:r>
                    </w:p>
                  </w:txbxContent>
                </v:textbox>
                <w10:wrap anchorx="page" anchory="page"/>
              </v:shape>
            </w:pict>
          </mc:Fallback>
        </mc:AlternateContent>
      </w:r>
      <w:r>
        <w:rPr>
          <w:b/>
          <w:noProof/>
          <w:sz w:val="24"/>
          <w:szCs w:val="20"/>
          <w:lang w:val="fr-FR" w:eastAsia="fr-FR"/>
        </w:rPr>
        <mc:AlternateContent>
          <mc:Choice Requires="wpg">
            <w:drawing>
              <wp:anchor distT="0" distB="0" distL="114300" distR="114300" simplePos="0" relativeHeight="251657216" behindDoc="0" locked="0" layoutInCell="1" allowOverlap="1">
                <wp:simplePos x="0" y="0"/>
                <wp:positionH relativeFrom="page">
                  <wp:posOffset>828040</wp:posOffset>
                </wp:positionH>
                <wp:positionV relativeFrom="paragraph">
                  <wp:posOffset>97790</wp:posOffset>
                </wp:positionV>
                <wp:extent cx="1703705" cy="1564640"/>
                <wp:effectExtent l="0" t="104140" r="0" b="20320"/>
                <wp:wrapNone/>
                <wp:docPr id="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3705" cy="1564640"/>
                          <a:chOff x="431" y="2744"/>
                          <a:chExt cx="2683" cy="2464"/>
                        </a:xfrm>
                      </wpg:grpSpPr>
                      <wps:wsp>
                        <wps:cNvPr id="9" name="Line 11"/>
                        <wps:cNvCnPr/>
                        <wps:spPr bwMode="auto">
                          <a:xfrm rot="2700000">
                            <a:off x="1265" y="2646"/>
                            <a:ext cx="14" cy="1682"/>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0" name="Line 12"/>
                        <wps:cNvCnPr/>
                        <wps:spPr bwMode="auto">
                          <a:xfrm rot="2700000" flipH="1">
                            <a:off x="574" y="4478"/>
                            <a:ext cx="1431" cy="0"/>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1" name="Line 13"/>
                        <wps:cNvCnPr/>
                        <wps:spPr bwMode="auto">
                          <a:xfrm rot="2700000" flipH="1">
                            <a:off x="2352" y="3653"/>
                            <a:ext cx="1" cy="1555"/>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2" name="Line 14"/>
                        <wps:cNvCnPr/>
                        <wps:spPr bwMode="auto">
                          <a:xfrm rot="2700000" flipH="1">
                            <a:off x="1566" y="3520"/>
                            <a:ext cx="1548" cy="1"/>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3" name="Line 15"/>
                        <wps:cNvCnPr/>
                        <wps:spPr bwMode="auto">
                          <a:xfrm>
                            <a:off x="1797" y="2744"/>
                            <a:ext cx="1" cy="2340"/>
                          </a:xfrm>
                          <a:prstGeom prst="line">
                            <a:avLst/>
                          </a:prstGeom>
                          <a:noFill/>
                          <a:ln w="196850">
                            <a:solidFill>
                              <a:srgbClr val="887E6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8" o:spid="_x0000_s1026" style="position:absolute;margin-left:65.2pt;margin-top:7.7pt;width:134.15pt;height:123.2pt;z-index:251657216;mso-position-horizontal-relative:page" coordorigin="431,2744" coordsize="2683,2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">
                <v:line id="Line 11" o:spid="_x0000_s1027" style="position:absolute;rotation:45;visibility:visible;mso-wrap-style:square" from="1265,2646" to="1279,4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Xr5MQAAADaAAAADwAAAGRycy9kb3ducmV2LnhtbESPT2vCQBTE74V+h+UVvNVNK4YYXaUU&#10;xT940Va8PrLPJJh9G3ZXjd/eFQo9DjPzG2Yy60wjruR8bVnBRz8BQVxYXXOp4Pdn8Z6B8AFZY2OZ&#10;FNzJw2z6+jLBXNsb7+i6D6WIEPY5KqhCaHMpfVGRQd+3LXH0TtYZDFG6UmqHtwg3jfxMklQarDku&#10;VNjSd0XFeX8xCpbZdp4ei1G9QZdmh8VlfdwMhkr13rqvMYhAXfgP/7VXWsEInlfiDZDT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NevkxAAAANoAAAAPAAAAAAAAAAAA&#10;AAAAAKECAABkcnMvZG93bnJldi54bWxQSwUGAAAAAAQABAD5AAAAkgMAAAAA&#10;" strokecolor="#d2232a" strokeweight="15pt"/>
                <v:line id="Line 12" o:spid="_x0000_s1028" style="position:absolute;rotation:-45;flip:x;visibility:visible;mso-wrap-style:square" from="574,4478" to="2005,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VgDcEAAADbAAAADwAAAGRycy9kb3ducmV2LnhtbESPQYvCQAyF74L/YYjgTacKylIdRQRB&#10;T7quHrzFTmyrnUzpjFr//eawsLeE9/Lel/mydZV6URNKzwZGwwQUceZtybmB089m8AUqRGSLlWcy&#10;8KEAy0W3M8fU+jd/0+sYcyUhHFI0UMRYp1qHrCCHYehrYtFuvnEYZW1ybRt8S7ir9DhJptphydJQ&#10;YE3rgrLH8ekM0JXO9xsRHibTy8TlH73bhL0x/V67moGK1MZ/89/11gq+0MsvMoBe/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hWANwQAAANsAAAAPAAAAAAAAAAAAAAAA&#10;AKECAABkcnMvZG93bnJldi54bWxQSwUGAAAAAAQABAD5AAAAjwMAAAAA&#10;" strokecolor="#d2232a" strokeweight="15pt"/>
                <v:line id="Line 13" o:spid="_x0000_s1029" style="position:absolute;rotation:-45;flip:x;visibility:visible;mso-wrap-style:square" from="2352,3653" to="2353,5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2/9sMAAADbAAAADwAAAGRycy9kb3ducmV2LnhtbERPTWvCQBC9C/0PyxR6EbOxBZE0q1ih&#10;RQ8FY4t4HLLTJDQ7G3fXmP77riB4m8f7nHw5mFb05HxjWcE0SUEQl1Y3XCn4/nqfzEH4gKyxtUwK&#10;/sjDcvEwyjHT9sIF9ftQiRjCPkMFdQhdJqUvazLoE9sRR+7HOoMhQldJ7fASw00rn9N0Jg02HBtq&#10;7GhdU/m7PxsFZ3dC9zF+w8PusArt8aXY9p+FUk+Pw+oVRKAh3MU390bH+VO4/hIPkI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ydv/bDAAAA2wAAAA8AAAAAAAAAAAAA&#10;AAAAoQIAAGRycy9kb3ducmV2LnhtbFBLBQYAAAAABAAEAPkAAACRAwAAAAA=&#10;" strokecolor="white" strokeweight="15pt"/>
                <v:line id="Line 14" o:spid="_x0000_s1030" style="position:absolute;rotation:-45;flip:x;visibility:visible;mso-wrap-style:square" from="1566,3520" to="3114,3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8hgcMAAADbAAAADwAAAGRycy9kb3ducmV2LnhtbERPTWvCQBC9F/wPywheitnUgpQ0q2hB&#10;aQ9CY4t4HLLTJJidjbtrTP+9WxB6m8f7nHw5mFb05HxjWcFTkoIgLq1uuFLw/bWZvoDwAVlja5kU&#10;/JKH5WL0kGOm7ZUL6vehEjGEfYYK6hC6TEpf1mTQJ7YjjtyPdQZDhK6S2uE1hptWztJ0Lg02HBtq&#10;7OitpvK0vxgFF3dGt31c4+HzsArt8bn46HeFUpPxsHoFEWgI/+K7+13H+TP4+yUeIB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xPIYHDAAAA2wAAAA8AAAAAAAAAAAAA&#10;AAAAoQIAAGRycy9kb3ducmV2LnhtbFBLBQYAAAAABAAEAPkAAACRAwAAAAA=&#10;" strokecolor="white" strokeweight="15pt"/>
                <v:line id="Line 15" o:spid="_x0000_s1031" style="position:absolute;visibility:visible;mso-wrap-style:square" from="1797,2744" to="1798,5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3PThcEAAADbAAAADwAAAGRycy9kb3ducmV2LnhtbERPTWvCQBC9C/0PyxR6000tiE1dJUgD&#10;3rSa0OuQnWZDs7Npdk3iv3cLhd7m8T5ns5tsKwbqfeNYwfMiAUFcOd1wraC45PM1CB+QNbaOScGN&#10;POy2D7MNptqN/EHDOdQihrBPUYEJoUul9JUhi37hOuLIfbneYoiwr6XucYzhtpXLJFlJiw3HBoMd&#10;7Q1V3+erVZBlyWe7L8r8uNTm/VT+4Ou4Xin19DhlbyACTeFf/Oc+6Dj/BX5/iQfI7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rc9OFwQAAANsAAAAPAAAAAAAAAAAAAAAA&#10;AKECAABkcnMvZG93bnJldi54bWxQSwUGAAAAAAQABAD5AAAAjwMAAAAA&#10;" strokecolor="#887e6e" strokeweight="15.5pt"/>
                <w10:wrap anchorx="page"/>
              </v:group>
            </w:pict>
          </mc:Fallback>
        </mc:AlternateContent>
      </w:r>
    </w:p>
    <w:p w:rsidR="008A54FC" w:rsidRPr="0010769E" w:rsidRDefault="008A54FC" w:rsidP="008A54FC">
      <w:pPr>
        <w:jc w:val="center"/>
        <w:rPr>
          <w:b/>
          <w:sz w:val="24"/>
        </w:rPr>
      </w:pPr>
    </w:p>
    <w:p w:rsidR="008A54FC" w:rsidRPr="0010769E" w:rsidRDefault="008A54FC" w:rsidP="008A54FC">
      <w:pPr>
        <w:jc w:val="center"/>
        <w:rPr>
          <w:b/>
          <w:sz w:val="24"/>
        </w:rPr>
      </w:pPr>
    </w:p>
    <w:p w:rsidR="008A54FC" w:rsidRPr="0010769E" w:rsidRDefault="008A54FC" w:rsidP="008A54FC">
      <w:pPr>
        <w:jc w:val="center"/>
        <w:rPr>
          <w:b/>
          <w:sz w:val="24"/>
        </w:rPr>
      </w:pPr>
    </w:p>
    <w:p w:rsidR="008A54FC" w:rsidRPr="0010769E" w:rsidRDefault="008A54FC" w:rsidP="008A54FC">
      <w:pPr>
        <w:jc w:val="center"/>
        <w:rPr>
          <w:b/>
          <w:sz w:val="24"/>
        </w:rPr>
      </w:pPr>
    </w:p>
    <w:p w:rsidR="008A54FC" w:rsidRPr="0010769E" w:rsidRDefault="008A54FC" w:rsidP="008A54FC">
      <w:pPr>
        <w:jc w:val="center"/>
        <w:rPr>
          <w:b/>
          <w:sz w:val="24"/>
        </w:rPr>
      </w:pPr>
    </w:p>
    <w:p w:rsidR="008A54FC" w:rsidRPr="0010769E" w:rsidRDefault="008A54FC" w:rsidP="008A54FC">
      <w:pPr>
        <w:jc w:val="center"/>
        <w:rPr>
          <w:b/>
          <w:sz w:val="24"/>
        </w:rPr>
      </w:pPr>
    </w:p>
    <w:p w:rsidR="008A54FC" w:rsidRPr="0010769E" w:rsidRDefault="008A54FC" w:rsidP="008A54FC">
      <w:pPr>
        <w:jc w:val="center"/>
        <w:rPr>
          <w:b/>
          <w:sz w:val="24"/>
        </w:rPr>
      </w:pPr>
    </w:p>
    <w:p w:rsidR="008A54FC" w:rsidRPr="0010769E" w:rsidRDefault="008A54FC" w:rsidP="008A54FC">
      <w:pPr>
        <w:jc w:val="center"/>
        <w:rPr>
          <w:b/>
          <w:sz w:val="24"/>
        </w:rPr>
      </w:pPr>
    </w:p>
    <w:p w:rsidR="008A54FC" w:rsidRPr="0010769E" w:rsidRDefault="008A54FC" w:rsidP="008A54FC">
      <w:pPr>
        <w:jc w:val="center"/>
        <w:rPr>
          <w:b/>
          <w:sz w:val="24"/>
        </w:rPr>
      </w:pPr>
    </w:p>
    <w:p w:rsidR="008A54FC" w:rsidRPr="0010769E" w:rsidRDefault="008A54FC" w:rsidP="008A54FC">
      <w:pPr>
        <w:jc w:val="center"/>
        <w:rPr>
          <w:b/>
          <w:sz w:val="24"/>
        </w:rPr>
      </w:pPr>
    </w:p>
    <w:p w:rsidR="008A54FC" w:rsidRPr="0010769E" w:rsidRDefault="008A54FC" w:rsidP="008A54FC">
      <w:pPr>
        <w:rPr>
          <w:b/>
          <w:sz w:val="24"/>
        </w:rPr>
      </w:pPr>
    </w:p>
    <w:p w:rsidR="008A54FC" w:rsidRPr="0010769E" w:rsidRDefault="008A54FC" w:rsidP="008A54FC">
      <w:pPr>
        <w:jc w:val="center"/>
        <w:rPr>
          <w:b/>
          <w:sz w:val="24"/>
        </w:rPr>
      </w:pPr>
    </w:p>
    <w:bookmarkStart w:id="1" w:name="Text7"/>
    <w:p w:rsidR="008A54FC" w:rsidRPr="005A00E5" w:rsidRDefault="000E42F5" w:rsidP="009E47EB">
      <w:pPr>
        <w:pStyle w:val="Reporttitledescription"/>
      </w:pPr>
      <w:r>
        <w:fldChar w:fldCharType="begin">
          <w:ffData>
            <w:name w:val="Text7"/>
            <w:enabled/>
            <w:calcOnExit w:val="0"/>
            <w:textInput>
              <w:default w:val="Report title (Arial 12pt)"/>
            </w:textInput>
          </w:ffData>
        </w:fldChar>
      </w:r>
      <w:r>
        <w:instrText xml:space="preserve"> FORMTEXT </w:instrText>
      </w:r>
      <w:r>
        <w:fldChar w:fldCharType="separate"/>
      </w:r>
      <w:r>
        <w:rPr>
          <w:noProof/>
        </w:rPr>
        <w:t>Report title (Arial 12pt)</w:t>
      </w:r>
      <w:r>
        <w:fldChar w:fldCharType="end"/>
      </w:r>
      <w:bookmarkEnd w:id="1"/>
      <w:r w:rsidR="008A54FC" w:rsidRPr="005A00E5">
        <w:t xml:space="preserve"> </w:t>
      </w:r>
    </w:p>
    <w:bookmarkStart w:id="2" w:name="Text8"/>
    <w:p w:rsidR="008A54FC" w:rsidRPr="005A00E5" w:rsidRDefault="00A95ACB" w:rsidP="008A54FC">
      <w:pPr>
        <w:pStyle w:val="Reporttitledescription"/>
        <w:rPr>
          <w:b/>
          <w:sz w:val="18"/>
        </w:rPr>
      </w:pPr>
      <w:r>
        <w:rPr>
          <w:b/>
          <w:sz w:val="18"/>
        </w:rPr>
        <w:fldChar w:fldCharType="begin">
          <w:ffData>
            <w:name w:val="Text8"/>
            <w:enabled/>
            <w:calcOnExit w:val="0"/>
            <w:textInput>
              <w:default w:val="Month YYYY (Arial 9pt bold)"/>
            </w:textInput>
          </w:ffData>
        </w:fldChar>
      </w:r>
      <w:r>
        <w:rPr>
          <w:b/>
          <w:sz w:val="18"/>
        </w:rPr>
        <w:instrText xml:space="preserve"> FORMTEXT </w:instrText>
      </w:r>
      <w:r>
        <w:rPr>
          <w:b/>
          <w:sz w:val="18"/>
        </w:rPr>
      </w:r>
      <w:r>
        <w:rPr>
          <w:b/>
          <w:sz w:val="18"/>
        </w:rPr>
        <w:fldChar w:fldCharType="separate"/>
      </w:r>
      <w:r>
        <w:rPr>
          <w:b/>
          <w:noProof/>
          <w:sz w:val="18"/>
        </w:rPr>
        <w:t>Month YYYY (Arial 9pt bold)</w:t>
      </w:r>
      <w:r>
        <w:rPr>
          <w:b/>
          <w:sz w:val="18"/>
        </w:rPr>
        <w:fldChar w:fldCharType="end"/>
      </w:r>
      <w:bookmarkEnd w:id="2"/>
      <w:r w:rsidR="000E42F5">
        <w:rPr>
          <w:b/>
          <w:sz w:val="18"/>
        </w:rPr>
        <w:tab/>
      </w:r>
    </w:p>
    <w:p w:rsidR="008A54FC" w:rsidRPr="00FE1795" w:rsidRDefault="00DF2C67" w:rsidP="008A54FC">
      <w:pPr>
        <w:pStyle w:val="Lastupdated"/>
      </w:pPr>
      <w:r>
        <w:rPr>
          <w:bCs w:val="0"/>
          <w:noProof/>
          <w:szCs w:val="20"/>
          <w:lang w:val="fr-FR" w:eastAsia="fr-FR"/>
        </w:rPr>
        <mc:AlternateContent>
          <mc:Choice Requires="wps">
            <w:drawing>
              <wp:anchor distT="0" distB="0" distL="114300" distR="114300" simplePos="0" relativeHeight="251655168" behindDoc="0" locked="0" layoutInCell="1" allowOverlap="1">
                <wp:simplePos x="0" y="0"/>
                <wp:positionH relativeFrom="page">
                  <wp:posOffset>3810</wp:posOffset>
                </wp:positionH>
                <wp:positionV relativeFrom="page">
                  <wp:posOffset>9803765</wp:posOffset>
                </wp:positionV>
                <wp:extent cx="7560310" cy="179705"/>
                <wp:effectExtent l="3810" t="0" r="5080" b="0"/>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79705"/>
                        </a:xfrm>
                        <a:prstGeom prst="rect">
                          <a:avLst/>
                        </a:prstGeom>
                        <a:solidFill>
                          <a:srgbClr val="887E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3pt;margin-top:771.95pt;width:595.3pt;height:14.1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" fillcolor="#887e6e" stroked="f">
                <v:textbox inset=",15mm"/>
                <w10:wrap anchorx="page" anchory="page"/>
              </v:rect>
            </w:pict>
          </mc:Fallback>
        </mc:AlternateContent>
      </w:r>
      <w:bookmarkStart w:id="3" w:name="Text3"/>
      <w:r w:rsidR="00A95ACB">
        <w:fldChar w:fldCharType="begin">
          <w:ffData>
            <w:name w:val="Text3"/>
            <w:enabled/>
            <w:calcOnExit w:val="0"/>
            <w:textInput>
              <w:default w:val="(last updated: Month YYYY) (Arial 9pt) "/>
            </w:textInput>
          </w:ffData>
        </w:fldChar>
      </w:r>
      <w:r w:rsidR="00A95ACB">
        <w:instrText xml:space="preserve"> FORMTEXT </w:instrText>
      </w:r>
      <w:r w:rsidR="00A95ACB">
        <w:fldChar w:fldCharType="separate"/>
      </w:r>
      <w:r w:rsidR="00A95ACB">
        <w:rPr>
          <w:noProof/>
        </w:rPr>
        <w:t xml:space="preserve">(last updated: Month YYYY) (Arial 9pt) </w:t>
      </w:r>
      <w:r w:rsidR="00A95ACB">
        <w:fldChar w:fldCharType="end"/>
      </w:r>
      <w:bookmarkEnd w:id="3"/>
    </w:p>
    <w:p w:rsidR="008A54FC" w:rsidRDefault="008A54FC">
      <w:pPr>
        <w:rPr>
          <w:lang w:val="en-GB"/>
        </w:rPr>
        <w:sectPr w:rsidR="008A54FC">
          <w:headerReference w:type="even" r:id="rId9"/>
          <w:headerReference w:type="default" r:id="rId10"/>
          <w:headerReference w:type="first" r:id="rId11"/>
          <w:pgSz w:w="11907" w:h="16840" w:code="9"/>
          <w:pgMar w:top="1440" w:right="1134" w:bottom="1440" w:left="1134" w:header="709" w:footer="709" w:gutter="0"/>
          <w:cols w:space="708"/>
          <w:titlePg/>
          <w:docGrid w:linePitch="360"/>
        </w:sectPr>
      </w:pPr>
    </w:p>
    <w:p w:rsidR="008A54FC" w:rsidRDefault="008A54FC" w:rsidP="00F53945">
      <w:pPr>
        <w:pStyle w:val="Titre1"/>
      </w:pPr>
      <w:bookmarkStart w:id="4" w:name="_Toc310326611"/>
      <w:r>
        <w:lastRenderedPageBreak/>
        <w:t>Executive summary (style: heading 1)</w:t>
      </w:r>
      <w:bookmarkEnd w:id="4"/>
    </w:p>
    <w:p w:rsidR="00A95ACB" w:rsidRDefault="00A95ACB" w:rsidP="008A54FC">
      <w:pPr>
        <w:pStyle w:val="ECCParagraph"/>
      </w:pPr>
      <w:r>
        <w:t>Body text (style: ECC Paragraph)</w:t>
      </w:r>
    </w:p>
    <w:p w:rsidR="008A54FC" w:rsidRDefault="00A95ACB" w:rsidP="008A54FC">
      <w:pPr>
        <w:pStyle w:val="ECCParagraph"/>
      </w:pPr>
      <w:r>
        <w:t>(</w:t>
      </w:r>
      <w:proofErr w:type="gramStart"/>
      <w:r>
        <w:t>advice</w:t>
      </w:r>
      <w:proofErr w:type="gramEnd"/>
      <w:r>
        <w:t>: t</w:t>
      </w:r>
      <w:r w:rsidR="008A54FC">
        <w:t>he Executive Summary should provide a short and concise explanation on the purpose of the respective ECC Report and should clearly indicate the covered subjects to which it applies. In addition, it should clearly explain the application of the document.</w:t>
      </w:r>
      <w:r>
        <w:t>)</w:t>
      </w:r>
      <w:r w:rsidR="008A54FC">
        <w:t xml:space="preserve"> </w:t>
      </w:r>
    </w:p>
    <w:p w:rsidR="008A54FC" w:rsidRDefault="008A54FC" w:rsidP="008A54FC">
      <w:r>
        <w:br w:type="page"/>
      </w:r>
    </w:p>
    <w:p w:rsidR="008A54FC" w:rsidRPr="009B4646" w:rsidRDefault="00DF2C67" w:rsidP="008A54FC">
      <w:pPr>
        <w:rPr>
          <w:b/>
          <w:color w:val="FFFFFF"/>
        </w:rPr>
      </w:pPr>
      <w:r>
        <w:rPr>
          <w:b/>
          <w:noProof/>
          <w:color w:val="FFFFFF"/>
          <w:szCs w:val="20"/>
          <w:lang w:val="fr-FR" w:eastAsia="fr-FR"/>
        </w:rPr>
        <w:lastRenderedPageBreak/>
        <mc:AlternateContent>
          <mc:Choice Requires="wps">
            <w:drawing>
              <wp:anchor distT="0" distB="0" distL="114300" distR="114300" simplePos="0" relativeHeight="251658240" behindDoc="1" locked="0" layoutInCell="1" allowOverlap="1" wp14:anchorId="73FA8C23" wp14:editId="6DDF1CF0">
                <wp:simplePos x="0" y="0"/>
                <wp:positionH relativeFrom="page">
                  <wp:posOffset>0</wp:posOffset>
                </wp:positionH>
                <wp:positionV relativeFrom="page">
                  <wp:posOffset>900430</wp:posOffset>
                </wp:positionV>
                <wp:extent cx="7560310" cy="720090"/>
                <wp:effectExtent l="0" t="0" r="0" b="5080"/>
                <wp:wrapNone/>
                <wp:docPr id="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0;margin-top:70.9pt;width:595.3pt;height:56.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" fillcolor="#b0a696" stroked="f">
                <w10:wrap anchorx="page" anchory="page"/>
              </v:rect>
            </w:pict>
          </mc:Fallback>
        </mc:AlternateContent>
      </w:r>
    </w:p>
    <w:p w:rsidR="008B70CD" w:rsidRDefault="008B70CD" w:rsidP="008A54FC">
      <w:pPr>
        <w:rPr>
          <w:b/>
          <w:color w:val="FFFFFF"/>
          <w:szCs w:val="20"/>
        </w:rPr>
      </w:pPr>
    </w:p>
    <w:p w:rsidR="008A54FC" w:rsidRDefault="00763BA3" w:rsidP="008A54FC">
      <w:pPr>
        <w:rPr>
          <w:b/>
          <w:color w:val="FFFFFF"/>
          <w:szCs w:val="20"/>
        </w:rPr>
      </w:pPr>
      <w:r>
        <w:rPr>
          <w:b/>
          <w:color w:val="FFFFFF"/>
          <w:szCs w:val="20"/>
        </w:rPr>
        <w:t>TABLE OF CONTENTS</w:t>
      </w:r>
    </w:p>
    <w:p w:rsidR="00067793" w:rsidRDefault="00067793" w:rsidP="008A54FC">
      <w:pPr>
        <w:rPr>
          <w:b/>
          <w:color w:val="FFFFFF"/>
          <w:szCs w:val="20"/>
        </w:rPr>
      </w:pPr>
    </w:p>
    <w:p w:rsidR="00067793" w:rsidRPr="009B4646" w:rsidRDefault="00067793" w:rsidP="008A54FC">
      <w:pPr>
        <w:rPr>
          <w:b/>
          <w:color w:val="FFFFFF"/>
          <w:szCs w:val="20"/>
        </w:rPr>
      </w:pPr>
    </w:p>
    <w:p w:rsidR="008A54FC" w:rsidRDefault="008A54FC">
      <w:pPr>
        <w:rPr>
          <w:lang w:val="en-GB"/>
        </w:rPr>
      </w:pPr>
    </w:p>
    <w:p w:rsidR="00550D79" w:rsidRDefault="008A54FC">
      <w:pPr>
        <w:pStyle w:val="TM1"/>
        <w:rPr>
          <w:rFonts w:asciiTheme="minorHAnsi" w:eastAsiaTheme="minorEastAsia" w:hAnsiTheme="minorHAnsi" w:cstheme="minorBidi"/>
          <w:b w:val="0"/>
          <w:caps w:val="0"/>
          <w:noProof/>
          <w:sz w:val="22"/>
          <w:szCs w:val="22"/>
          <w:lang w:val="da-DK" w:eastAsia="da-DK"/>
        </w:rPr>
      </w:pPr>
      <w:r>
        <w:rPr>
          <w:caps w:val="0"/>
          <w:lang w:val="en-GB"/>
        </w:rPr>
        <w:fldChar w:fldCharType="begin"/>
      </w:r>
      <w:r>
        <w:rPr>
          <w:caps w:val="0"/>
          <w:lang w:val="en-GB"/>
        </w:rPr>
        <w:instrText xml:space="preserve"> TOC \o "1-4" \h \z \u </w:instrText>
      </w:r>
      <w:r>
        <w:rPr>
          <w:caps w:val="0"/>
          <w:lang w:val="en-GB"/>
        </w:rPr>
        <w:fldChar w:fldCharType="separate"/>
      </w:r>
      <w:hyperlink w:anchor="_Toc310326611" w:history="1">
        <w:r w:rsidR="00550D79" w:rsidRPr="006A5F0C">
          <w:rPr>
            <w:rStyle w:val="Lienhypertexte"/>
            <w:noProof/>
          </w:rPr>
          <w:t>0</w:t>
        </w:r>
        <w:r w:rsidR="00550D79">
          <w:rPr>
            <w:rFonts w:asciiTheme="minorHAnsi" w:eastAsiaTheme="minorEastAsia" w:hAnsiTheme="minorHAnsi" w:cstheme="minorBidi"/>
            <w:b w:val="0"/>
            <w:caps w:val="0"/>
            <w:noProof/>
            <w:sz w:val="22"/>
            <w:szCs w:val="22"/>
            <w:lang w:val="da-DK" w:eastAsia="da-DK"/>
          </w:rPr>
          <w:tab/>
        </w:r>
        <w:r w:rsidR="00550D79" w:rsidRPr="006A5F0C">
          <w:rPr>
            <w:rStyle w:val="Lienhypertexte"/>
            <w:noProof/>
          </w:rPr>
          <w:t>Executive summary (style: heading 1)</w:t>
        </w:r>
        <w:r w:rsidR="00550D79">
          <w:rPr>
            <w:noProof/>
            <w:webHidden/>
          </w:rPr>
          <w:tab/>
        </w:r>
        <w:r w:rsidR="00550D79">
          <w:rPr>
            <w:noProof/>
            <w:webHidden/>
          </w:rPr>
          <w:fldChar w:fldCharType="begin"/>
        </w:r>
        <w:r w:rsidR="00550D79">
          <w:rPr>
            <w:noProof/>
            <w:webHidden/>
          </w:rPr>
          <w:instrText xml:space="preserve"> PAGEREF _Toc310326611 \h </w:instrText>
        </w:r>
        <w:r w:rsidR="00550D79">
          <w:rPr>
            <w:noProof/>
            <w:webHidden/>
          </w:rPr>
        </w:r>
        <w:r w:rsidR="00550D79">
          <w:rPr>
            <w:noProof/>
            <w:webHidden/>
          </w:rPr>
          <w:fldChar w:fldCharType="separate"/>
        </w:r>
        <w:r w:rsidR="00B432D4">
          <w:rPr>
            <w:noProof/>
            <w:webHidden/>
          </w:rPr>
          <w:t>2</w:t>
        </w:r>
        <w:r w:rsidR="00550D79">
          <w:rPr>
            <w:noProof/>
            <w:webHidden/>
          </w:rPr>
          <w:fldChar w:fldCharType="end"/>
        </w:r>
      </w:hyperlink>
    </w:p>
    <w:p w:rsidR="00550D79" w:rsidRDefault="00595E8F">
      <w:pPr>
        <w:pStyle w:val="TM1"/>
        <w:rPr>
          <w:rFonts w:asciiTheme="minorHAnsi" w:eastAsiaTheme="minorEastAsia" w:hAnsiTheme="minorHAnsi" w:cstheme="minorBidi"/>
          <w:b w:val="0"/>
          <w:caps w:val="0"/>
          <w:noProof/>
          <w:sz w:val="22"/>
          <w:szCs w:val="22"/>
          <w:lang w:val="da-DK" w:eastAsia="da-DK"/>
        </w:rPr>
      </w:pPr>
      <w:hyperlink w:anchor="_Toc310326612" w:history="1">
        <w:r w:rsidR="00550D79" w:rsidRPr="006A5F0C">
          <w:rPr>
            <w:rStyle w:val="Lienhypertexte"/>
            <w:noProof/>
          </w:rPr>
          <w:t>1</w:t>
        </w:r>
        <w:r w:rsidR="00550D79">
          <w:rPr>
            <w:rFonts w:asciiTheme="minorHAnsi" w:eastAsiaTheme="minorEastAsia" w:hAnsiTheme="minorHAnsi" w:cstheme="minorBidi"/>
            <w:b w:val="0"/>
            <w:caps w:val="0"/>
            <w:noProof/>
            <w:sz w:val="22"/>
            <w:szCs w:val="22"/>
            <w:lang w:val="da-DK" w:eastAsia="da-DK"/>
          </w:rPr>
          <w:tab/>
        </w:r>
        <w:r w:rsidR="00550D79" w:rsidRPr="006A5F0C">
          <w:rPr>
            <w:rStyle w:val="Lienhypertexte"/>
            <w:noProof/>
          </w:rPr>
          <w:t>Introduction</w:t>
        </w:r>
        <w:r w:rsidR="00550D79">
          <w:rPr>
            <w:noProof/>
            <w:webHidden/>
          </w:rPr>
          <w:tab/>
        </w:r>
        <w:r w:rsidR="00550D79">
          <w:rPr>
            <w:noProof/>
            <w:webHidden/>
          </w:rPr>
          <w:fldChar w:fldCharType="begin"/>
        </w:r>
        <w:r w:rsidR="00550D79">
          <w:rPr>
            <w:noProof/>
            <w:webHidden/>
          </w:rPr>
          <w:instrText xml:space="preserve"> PAGEREF _Toc310326612 \h </w:instrText>
        </w:r>
        <w:r w:rsidR="00550D79">
          <w:rPr>
            <w:noProof/>
            <w:webHidden/>
          </w:rPr>
        </w:r>
        <w:r w:rsidR="00550D79">
          <w:rPr>
            <w:noProof/>
            <w:webHidden/>
          </w:rPr>
          <w:fldChar w:fldCharType="separate"/>
        </w:r>
        <w:r w:rsidR="00B432D4">
          <w:rPr>
            <w:noProof/>
            <w:webHidden/>
          </w:rPr>
          <w:t>4</w:t>
        </w:r>
        <w:r w:rsidR="00550D79">
          <w:rPr>
            <w:noProof/>
            <w:webHidden/>
          </w:rPr>
          <w:fldChar w:fldCharType="end"/>
        </w:r>
      </w:hyperlink>
    </w:p>
    <w:p w:rsidR="00550D79" w:rsidRDefault="00595E8F">
      <w:pPr>
        <w:pStyle w:val="TM1"/>
        <w:rPr>
          <w:rFonts w:asciiTheme="minorHAnsi" w:eastAsiaTheme="minorEastAsia" w:hAnsiTheme="minorHAnsi" w:cstheme="minorBidi"/>
          <w:b w:val="0"/>
          <w:caps w:val="0"/>
          <w:noProof/>
          <w:sz w:val="22"/>
          <w:szCs w:val="22"/>
          <w:lang w:val="da-DK" w:eastAsia="da-DK"/>
        </w:rPr>
      </w:pPr>
      <w:hyperlink w:anchor="_Toc310326613" w:history="1">
        <w:r w:rsidR="00550D79" w:rsidRPr="006A5F0C">
          <w:rPr>
            <w:rStyle w:val="Lienhypertexte"/>
            <w:noProof/>
          </w:rPr>
          <w:t>2</w:t>
        </w:r>
        <w:r w:rsidR="00550D79">
          <w:rPr>
            <w:rFonts w:asciiTheme="minorHAnsi" w:eastAsiaTheme="minorEastAsia" w:hAnsiTheme="minorHAnsi" w:cstheme="minorBidi"/>
            <w:b w:val="0"/>
            <w:caps w:val="0"/>
            <w:noProof/>
            <w:sz w:val="22"/>
            <w:szCs w:val="22"/>
            <w:lang w:val="da-DK" w:eastAsia="da-DK"/>
          </w:rPr>
          <w:tab/>
        </w:r>
        <w:r w:rsidR="00550D79" w:rsidRPr="006A5F0C">
          <w:rPr>
            <w:rStyle w:val="Lienhypertexte"/>
            <w:noProof/>
          </w:rPr>
          <w:t>Definitions (optional section)</w:t>
        </w:r>
        <w:r w:rsidR="00550D79">
          <w:rPr>
            <w:noProof/>
            <w:webHidden/>
          </w:rPr>
          <w:tab/>
        </w:r>
        <w:r w:rsidR="00550D79">
          <w:rPr>
            <w:noProof/>
            <w:webHidden/>
          </w:rPr>
          <w:fldChar w:fldCharType="begin"/>
        </w:r>
        <w:r w:rsidR="00550D79">
          <w:rPr>
            <w:noProof/>
            <w:webHidden/>
          </w:rPr>
          <w:instrText xml:space="preserve"> PAGEREF _Toc310326613 \h </w:instrText>
        </w:r>
        <w:r w:rsidR="00550D79">
          <w:rPr>
            <w:noProof/>
            <w:webHidden/>
          </w:rPr>
        </w:r>
        <w:r w:rsidR="00550D79">
          <w:rPr>
            <w:noProof/>
            <w:webHidden/>
          </w:rPr>
          <w:fldChar w:fldCharType="separate"/>
        </w:r>
        <w:r w:rsidR="00B432D4">
          <w:rPr>
            <w:noProof/>
            <w:webHidden/>
          </w:rPr>
          <w:t>4</w:t>
        </w:r>
        <w:r w:rsidR="00550D79">
          <w:rPr>
            <w:noProof/>
            <w:webHidden/>
          </w:rPr>
          <w:fldChar w:fldCharType="end"/>
        </w:r>
      </w:hyperlink>
    </w:p>
    <w:p w:rsidR="00550D79" w:rsidRDefault="00595E8F">
      <w:pPr>
        <w:pStyle w:val="TM1"/>
        <w:rPr>
          <w:rFonts w:asciiTheme="minorHAnsi" w:eastAsiaTheme="minorEastAsia" w:hAnsiTheme="minorHAnsi" w:cstheme="minorBidi"/>
          <w:b w:val="0"/>
          <w:caps w:val="0"/>
          <w:noProof/>
          <w:sz w:val="22"/>
          <w:szCs w:val="22"/>
          <w:lang w:val="da-DK" w:eastAsia="da-DK"/>
        </w:rPr>
      </w:pPr>
      <w:hyperlink w:anchor="_Toc310326614" w:history="1">
        <w:r w:rsidR="00550D79" w:rsidRPr="006A5F0C">
          <w:rPr>
            <w:rStyle w:val="Lienhypertexte"/>
            <w:noProof/>
          </w:rPr>
          <w:t>3</w:t>
        </w:r>
        <w:r w:rsidR="00550D79">
          <w:rPr>
            <w:rFonts w:asciiTheme="minorHAnsi" w:eastAsiaTheme="minorEastAsia" w:hAnsiTheme="minorHAnsi" w:cstheme="minorBidi"/>
            <w:b w:val="0"/>
            <w:caps w:val="0"/>
            <w:noProof/>
            <w:sz w:val="22"/>
            <w:szCs w:val="22"/>
            <w:lang w:val="da-DK" w:eastAsia="da-DK"/>
          </w:rPr>
          <w:tab/>
        </w:r>
        <w:r w:rsidR="00550D79" w:rsidRPr="006A5F0C">
          <w:rPr>
            <w:rStyle w:val="Lienhypertexte"/>
            <w:noProof/>
          </w:rPr>
          <w:t>heading (style: Heading 1)</w:t>
        </w:r>
        <w:r w:rsidR="00550D79">
          <w:rPr>
            <w:noProof/>
            <w:webHidden/>
          </w:rPr>
          <w:tab/>
        </w:r>
        <w:r w:rsidR="00550D79">
          <w:rPr>
            <w:noProof/>
            <w:webHidden/>
          </w:rPr>
          <w:fldChar w:fldCharType="begin"/>
        </w:r>
        <w:r w:rsidR="00550D79">
          <w:rPr>
            <w:noProof/>
            <w:webHidden/>
          </w:rPr>
          <w:instrText xml:space="preserve"> PAGEREF _Toc310326614 \h </w:instrText>
        </w:r>
        <w:r w:rsidR="00550D79">
          <w:rPr>
            <w:noProof/>
            <w:webHidden/>
          </w:rPr>
        </w:r>
        <w:r w:rsidR="00550D79">
          <w:rPr>
            <w:noProof/>
            <w:webHidden/>
          </w:rPr>
          <w:fldChar w:fldCharType="separate"/>
        </w:r>
        <w:r w:rsidR="00B432D4">
          <w:rPr>
            <w:noProof/>
            <w:webHidden/>
          </w:rPr>
          <w:t>4</w:t>
        </w:r>
        <w:r w:rsidR="00550D79">
          <w:rPr>
            <w:noProof/>
            <w:webHidden/>
          </w:rPr>
          <w:fldChar w:fldCharType="end"/>
        </w:r>
      </w:hyperlink>
    </w:p>
    <w:p w:rsidR="00550D79" w:rsidRDefault="00595E8F">
      <w:pPr>
        <w:pStyle w:val="TM2"/>
        <w:rPr>
          <w:rFonts w:asciiTheme="minorHAnsi" w:eastAsiaTheme="minorEastAsia" w:hAnsiTheme="minorHAnsi" w:cstheme="minorBidi"/>
          <w:noProof/>
          <w:sz w:val="22"/>
          <w:szCs w:val="22"/>
          <w:lang w:val="da-DK" w:eastAsia="da-DK"/>
        </w:rPr>
      </w:pPr>
      <w:hyperlink w:anchor="_Toc310326615" w:history="1">
        <w:r w:rsidR="00550D79" w:rsidRPr="006A5F0C">
          <w:rPr>
            <w:rStyle w:val="Lienhypertexte"/>
            <w:noProof/>
          </w:rPr>
          <w:t>3.1</w:t>
        </w:r>
        <w:r w:rsidR="00550D79">
          <w:rPr>
            <w:rFonts w:asciiTheme="minorHAnsi" w:eastAsiaTheme="minorEastAsia" w:hAnsiTheme="minorHAnsi" w:cstheme="minorBidi"/>
            <w:noProof/>
            <w:sz w:val="22"/>
            <w:szCs w:val="22"/>
            <w:lang w:val="da-DK" w:eastAsia="da-DK"/>
          </w:rPr>
          <w:tab/>
        </w:r>
        <w:r w:rsidR="00550D79" w:rsidRPr="006A5F0C">
          <w:rPr>
            <w:rStyle w:val="Lienhypertexte"/>
            <w:noProof/>
          </w:rPr>
          <w:t>Heading 2 (style: heading 2)</w:t>
        </w:r>
        <w:r w:rsidR="00550D79">
          <w:rPr>
            <w:noProof/>
            <w:webHidden/>
          </w:rPr>
          <w:tab/>
        </w:r>
        <w:r w:rsidR="00550D79">
          <w:rPr>
            <w:noProof/>
            <w:webHidden/>
          </w:rPr>
          <w:fldChar w:fldCharType="begin"/>
        </w:r>
        <w:r w:rsidR="00550D79">
          <w:rPr>
            <w:noProof/>
            <w:webHidden/>
          </w:rPr>
          <w:instrText xml:space="preserve"> PAGEREF _Toc310326615 \h </w:instrText>
        </w:r>
        <w:r w:rsidR="00550D79">
          <w:rPr>
            <w:noProof/>
            <w:webHidden/>
          </w:rPr>
        </w:r>
        <w:r w:rsidR="00550D79">
          <w:rPr>
            <w:noProof/>
            <w:webHidden/>
          </w:rPr>
          <w:fldChar w:fldCharType="separate"/>
        </w:r>
        <w:r w:rsidR="00B432D4">
          <w:rPr>
            <w:noProof/>
            <w:webHidden/>
          </w:rPr>
          <w:t>4</w:t>
        </w:r>
        <w:r w:rsidR="00550D79">
          <w:rPr>
            <w:noProof/>
            <w:webHidden/>
          </w:rPr>
          <w:fldChar w:fldCharType="end"/>
        </w:r>
      </w:hyperlink>
    </w:p>
    <w:p w:rsidR="00550D79" w:rsidRDefault="00595E8F">
      <w:pPr>
        <w:pStyle w:val="TM3"/>
        <w:rPr>
          <w:rFonts w:asciiTheme="minorHAnsi" w:eastAsiaTheme="minorEastAsia" w:hAnsiTheme="minorHAnsi" w:cstheme="minorBidi"/>
          <w:noProof/>
          <w:sz w:val="22"/>
          <w:szCs w:val="22"/>
          <w:lang w:val="da-DK" w:eastAsia="da-DK"/>
        </w:rPr>
      </w:pPr>
      <w:hyperlink w:anchor="_Toc310326616" w:history="1">
        <w:r w:rsidR="00550D79" w:rsidRPr="006A5F0C">
          <w:rPr>
            <w:rStyle w:val="Lienhypertexte"/>
            <w:noProof/>
          </w:rPr>
          <w:t>3.1.1</w:t>
        </w:r>
        <w:r w:rsidR="00550D79">
          <w:rPr>
            <w:rFonts w:asciiTheme="minorHAnsi" w:eastAsiaTheme="minorEastAsia" w:hAnsiTheme="minorHAnsi" w:cstheme="minorBidi"/>
            <w:noProof/>
            <w:sz w:val="22"/>
            <w:szCs w:val="22"/>
            <w:lang w:val="da-DK" w:eastAsia="da-DK"/>
          </w:rPr>
          <w:tab/>
        </w:r>
        <w:r w:rsidR="00550D79" w:rsidRPr="006A5F0C">
          <w:rPr>
            <w:rStyle w:val="Lienhypertexte"/>
            <w:noProof/>
          </w:rPr>
          <w:t>Heading 3 (style: Heading 3)</w:t>
        </w:r>
        <w:r w:rsidR="00550D79">
          <w:rPr>
            <w:noProof/>
            <w:webHidden/>
          </w:rPr>
          <w:tab/>
        </w:r>
        <w:r w:rsidR="00550D79">
          <w:rPr>
            <w:noProof/>
            <w:webHidden/>
          </w:rPr>
          <w:fldChar w:fldCharType="begin"/>
        </w:r>
        <w:r w:rsidR="00550D79">
          <w:rPr>
            <w:noProof/>
            <w:webHidden/>
          </w:rPr>
          <w:instrText xml:space="preserve"> PAGEREF _Toc310326616 \h </w:instrText>
        </w:r>
        <w:r w:rsidR="00550D79">
          <w:rPr>
            <w:noProof/>
            <w:webHidden/>
          </w:rPr>
        </w:r>
        <w:r w:rsidR="00550D79">
          <w:rPr>
            <w:noProof/>
            <w:webHidden/>
          </w:rPr>
          <w:fldChar w:fldCharType="separate"/>
        </w:r>
        <w:r w:rsidR="00B432D4">
          <w:rPr>
            <w:noProof/>
            <w:webHidden/>
          </w:rPr>
          <w:t>4</w:t>
        </w:r>
        <w:r w:rsidR="00550D79">
          <w:rPr>
            <w:noProof/>
            <w:webHidden/>
          </w:rPr>
          <w:fldChar w:fldCharType="end"/>
        </w:r>
      </w:hyperlink>
    </w:p>
    <w:p w:rsidR="00550D79" w:rsidRDefault="00595E8F">
      <w:pPr>
        <w:pStyle w:val="TM4"/>
        <w:rPr>
          <w:rFonts w:asciiTheme="minorHAnsi" w:eastAsiaTheme="minorEastAsia" w:hAnsiTheme="minorHAnsi" w:cstheme="minorBidi"/>
          <w:i w:val="0"/>
          <w:noProof/>
          <w:sz w:val="22"/>
          <w:szCs w:val="22"/>
          <w:lang w:val="da-DK" w:eastAsia="da-DK"/>
        </w:rPr>
      </w:pPr>
      <w:hyperlink w:anchor="_Toc310326617" w:history="1">
        <w:r w:rsidR="00550D79" w:rsidRPr="006A5F0C">
          <w:rPr>
            <w:rStyle w:val="Lienhypertexte"/>
            <w:noProof/>
          </w:rPr>
          <w:t>3.1.1.1</w:t>
        </w:r>
        <w:r w:rsidR="00550D79">
          <w:rPr>
            <w:rFonts w:asciiTheme="minorHAnsi" w:eastAsiaTheme="minorEastAsia" w:hAnsiTheme="minorHAnsi" w:cstheme="minorBidi"/>
            <w:i w:val="0"/>
            <w:noProof/>
            <w:sz w:val="22"/>
            <w:szCs w:val="22"/>
            <w:lang w:val="da-DK" w:eastAsia="da-DK"/>
          </w:rPr>
          <w:tab/>
        </w:r>
        <w:r w:rsidR="00550D79" w:rsidRPr="006A5F0C">
          <w:rPr>
            <w:rStyle w:val="Lienhypertexte"/>
            <w:noProof/>
          </w:rPr>
          <w:t>Heading 4 (style: Heading 4)</w:t>
        </w:r>
        <w:r w:rsidR="00550D79">
          <w:rPr>
            <w:noProof/>
            <w:webHidden/>
          </w:rPr>
          <w:tab/>
        </w:r>
        <w:r w:rsidR="00550D79">
          <w:rPr>
            <w:noProof/>
            <w:webHidden/>
          </w:rPr>
          <w:fldChar w:fldCharType="begin"/>
        </w:r>
        <w:r w:rsidR="00550D79">
          <w:rPr>
            <w:noProof/>
            <w:webHidden/>
          </w:rPr>
          <w:instrText xml:space="preserve"> PAGEREF _Toc310326617 \h </w:instrText>
        </w:r>
        <w:r w:rsidR="00550D79">
          <w:rPr>
            <w:noProof/>
            <w:webHidden/>
          </w:rPr>
        </w:r>
        <w:r w:rsidR="00550D79">
          <w:rPr>
            <w:noProof/>
            <w:webHidden/>
          </w:rPr>
          <w:fldChar w:fldCharType="separate"/>
        </w:r>
        <w:r w:rsidR="00B432D4">
          <w:rPr>
            <w:noProof/>
            <w:webHidden/>
          </w:rPr>
          <w:t>4</w:t>
        </w:r>
        <w:r w:rsidR="00550D79">
          <w:rPr>
            <w:noProof/>
            <w:webHidden/>
          </w:rPr>
          <w:fldChar w:fldCharType="end"/>
        </w:r>
      </w:hyperlink>
    </w:p>
    <w:p w:rsidR="00550D79" w:rsidRDefault="00595E8F">
      <w:pPr>
        <w:pStyle w:val="TM2"/>
        <w:rPr>
          <w:rFonts w:asciiTheme="minorHAnsi" w:eastAsiaTheme="minorEastAsia" w:hAnsiTheme="minorHAnsi" w:cstheme="minorBidi"/>
          <w:noProof/>
          <w:sz w:val="22"/>
          <w:szCs w:val="22"/>
          <w:lang w:val="da-DK" w:eastAsia="da-DK"/>
        </w:rPr>
      </w:pPr>
      <w:hyperlink w:anchor="_Toc310326618" w:history="1">
        <w:r w:rsidR="00550D79" w:rsidRPr="006A5F0C">
          <w:rPr>
            <w:rStyle w:val="Lienhypertexte"/>
            <w:noProof/>
          </w:rPr>
          <w:t>3.2</w:t>
        </w:r>
        <w:r w:rsidR="00550D79">
          <w:rPr>
            <w:rFonts w:asciiTheme="minorHAnsi" w:eastAsiaTheme="minorEastAsia" w:hAnsiTheme="minorHAnsi" w:cstheme="minorBidi"/>
            <w:noProof/>
            <w:sz w:val="22"/>
            <w:szCs w:val="22"/>
            <w:lang w:val="da-DK" w:eastAsia="da-DK"/>
          </w:rPr>
          <w:tab/>
        </w:r>
        <w:r w:rsidR="00550D79" w:rsidRPr="006A5F0C">
          <w:rPr>
            <w:rStyle w:val="Lienhypertexte"/>
            <w:noProof/>
          </w:rPr>
          <w:t>Example of bulleted lists</w:t>
        </w:r>
        <w:r w:rsidR="00550D79">
          <w:rPr>
            <w:noProof/>
            <w:webHidden/>
          </w:rPr>
          <w:tab/>
        </w:r>
        <w:r w:rsidR="00550D79">
          <w:rPr>
            <w:noProof/>
            <w:webHidden/>
          </w:rPr>
          <w:fldChar w:fldCharType="begin"/>
        </w:r>
        <w:r w:rsidR="00550D79">
          <w:rPr>
            <w:noProof/>
            <w:webHidden/>
          </w:rPr>
          <w:instrText xml:space="preserve"> PAGEREF _Toc310326618 \h </w:instrText>
        </w:r>
        <w:r w:rsidR="00550D79">
          <w:rPr>
            <w:noProof/>
            <w:webHidden/>
          </w:rPr>
        </w:r>
        <w:r w:rsidR="00550D79">
          <w:rPr>
            <w:noProof/>
            <w:webHidden/>
          </w:rPr>
          <w:fldChar w:fldCharType="separate"/>
        </w:r>
        <w:r w:rsidR="00B432D4">
          <w:rPr>
            <w:noProof/>
            <w:webHidden/>
          </w:rPr>
          <w:t>4</w:t>
        </w:r>
        <w:r w:rsidR="00550D79">
          <w:rPr>
            <w:noProof/>
            <w:webHidden/>
          </w:rPr>
          <w:fldChar w:fldCharType="end"/>
        </w:r>
      </w:hyperlink>
    </w:p>
    <w:p w:rsidR="00550D79" w:rsidRDefault="00595E8F">
      <w:pPr>
        <w:pStyle w:val="TM2"/>
        <w:rPr>
          <w:rFonts w:asciiTheme="minorHAnsi" w:eastAsiaTheme="minorEastAsia" w:hAnsiTheme="minorHAnsi" w:cstheme="minorBidi"/>
          <w:noProof/>
          <w:sz w:val="22"/>
          <w:szCs w:val="22"/>
          <w:lang w:val="da-DK" w:eastAsia="da-DK"/>
        </w:rPr>
      </w:pPr>
      <w:hyperlink w:anchor="_Toc310326619" w:history="1">
        <w:r w:rsidR="00550D79" w:rsidRPr="006A5F0C">
          <w:rPr>
            <w:rStyle w:val="Lienhypertexte"/>
            <w:noProof/>
          </w:rPr>
          <w:t>3.3</w:t>
        </w:r>
        <w:r w:rsidR="00550D79">
          <w:rPr>
            <w:rFonts w:asciiTheme="minorHAnsi" w:eastAsiaTheme="minorEastAsia" w:hAnsiTheme="minorHAnsi" w:cstheme="minorBidi"/>
            <w:noProof/>
            <w:sz w:val="22"/>
            <w:szCs w:val="22"/>
            <w:lang w:val="da-DK" w:eastAsia="da-DK"/>
          </w:rPr>
          <w:tab/>
        </w:r>
        <w:r w:rsidR="00550D79" w:rsidRPr="006A5F0C">
          <w:rPr>
            <w:rStyle w:val="Lienhypertexte"/>
            <w:noProof/>
          </w:rPr>
          <w:t>Example of numbered/bulleted lists</w:t>
        </w:r>
        <w:r w:rsidR="00550D79">
          <w:rPr>
            <w:noProof/>
            <w:webHidden/>
          </w:rPr>
          <w:tab/>
        </w:r>
        <w:r w:rsidR="00550D79">
          <w:rPr>
            <w:noProof/>
            <w:webHidden/>
          </w:rPr>
          <w:fldChar w:fldCharType="begin"/>
        </w:r>
        <w:r w:rsidR="00550D79">
          <w:rPr>
            <w:noProof/>
            <w:webHidden/>
          </w:rPr>
          <w:instrText xml:space="preserve"> PAGEREF _Toc310326619 \h </w:instrText>
        </w:r>
        <w:r w:rsidR="00550D79">
          <w:rPr>
            <w:noProof/>
            <w:webHidden/>
          </w:rPr>
        </w:r>
        <w:r w:rsidR="00550D79">
          <w:rPr>
            <w:noProof/>
            <w:webHidden/>
          </w:rPr>
          <w:fldChar w:fldCharType="separate"/>
        </w:r>
        <w:r w:rsidR="00B432D4">
          <w:rPr>
            <w:noProof/>
            <w:webHidden/>
          </w:rPr>
          <w:t>4</w:t>
        </w:r>
        <w:r w:rsidR="00550D79">
          <w:rPr>
            <w:noProof/>
            <w:webHidden/>
          </w:rPr>
          <w:fldChar w:fldCharType="end"/>
        </w:r>
      </w:hyperlink>
    </w:p>
    <w:p w:rsidR="00550D79" w:rsidRDefault="00595E8F">
      <w:pPr>
        <w:pStyle w:val="TM2"/>
        <w:rPr>
          <w:rFonts w:asciiTheme="minorHAnsi" w:eastAsiaTheme="minorEastAsia" w:hAnsiTheme="minorHAnsi" w:cstheme="minorBidi"/>
          <w:noProof/>
          <w:sz w:val="22"/>
          <w:szCs w:val="22"/>
          <w:lang w:val="da-DK" w:eastAsia="da-DK"/>
        </w:rPr>
      </w:pPr>
      <w:hyperlink w:anchor="_Toc310326620" w:history="1">
        <w:r w:rsidR="00550D79" w:rsidRPr="006A5F0C">
          <w:rPr>
            <w:rStyle w:val="Lienhypertexte"/>
            <w:noProof/>
          </w:rPr>
          <w:t>3.4</w:t>
        </w:r>
        <w:r w:rsidR="00550D79">
          <w:rPr>
            <w:rFonts w:asciiTheme="minorHAnsi" w:eastAsiaTheme="minorEastAsia" w:hAnsiTheme="minorHAnsi" w:cstheme="minorBidi"/>
            <w:noProof/>
            <w:sz w:val="22"/>
            <w:szCs w:val="22"/>
            <w:lang w:val="da-DK" w:eastAsia="da-DK"/>
          </w:rPr>
          <w:tab/>
        </w:r>
        <w:r w:rsidR="00550D79" w:rsidRPr="006A5F0C">
          <w:rPr>
            <w:rStyle w:val="Lienhypertexte"/>
            <w:noProof/>
          </w:rPr>
          <w:t>Example of numbered/lettered lists</w:t>
        </w:r>
        <w:r w:rsidR="00550D79">
          <w:rPr>
            <w:noProof/>
            <w:webHidden/>
          </w:rPr>
          <w:tab/>
        </w:r>
        <w:r w:rsidR="00550D79">
          <w:rPr>
            <w:noProof/>
            <w:webHidden/>
          </w:rPr>
          <w:fldChar w:fldCharType="begin"/>
        </w:r>
        <w:r w:rsidR="00550D79">
          <w:rPr>
            <w:noProof/>
            <w:webHidden/>
          </w:rPr>
          <w:instrText xml:space="preserve"> PAGEREF _Toc310326620 \h </w:instrText>
        </w:r>
        <w:r w:rsidR="00550D79">
          <w:rPr>
            <w:noProof/>
            <w:webHidden/>
          </w:rPr>
        </w:r>
        <w:r w:rsidR="00550D79">
          <w:rPr>
            <w:noProof/>
            <w:webHidden/>
          </w:rPr>
          <w:fldChar w:fldCharType="separate"/>
        </w:r>
        <w:r w:rsidR="00B432D4">
          <w:rPr>
            <w:noProof/>
            <w:webHidden/>
          </w:rPr>
          <w:t>4</w:t>
        </w:r>
        <w:r w:rsidR="00550D79">
          <w:rPr>
            <w:noProof/>
            <w:webHidden/>
          </w:rPr>
          <w:fldChar w:fldCharType="end"/>
        </w:r>
      </w:hyperlink>
    </w:p>
    <w:p w:rsidR="00550D79" w:rsidRDefault="00595E8F">
      <w:pPr>
        <w:pStyle w:val="TM2"/>
        <w:rPr>
          <w:rFonts w:asciiTheme="minorHAnsi" w:eastAsiaTheme="minorEastAsia" w:hAnsiTheme="minorHAnsi" w:cstheme="minorBidi"/>
          <w:noProof/>
          <w:sz w:val="22"/>
          <w:szCs w:val="22"/>
          <w:lang w:val="da-DK" w:eastAsia="da-DK"/>
        </w:rPr>
      </w:pPr>
      <w:hyperlink w:anchor="_Toc310326621" w:history="1">
        <w:r w:rsidR="00550D79" w:rsidRPr="006A5F0C">
          <w:rPr>
            <w:rStyle w:val="Lienhypertexte"/>
            <w:noProof/>
          </w:rPr>
          <w:t>3.5</w:t>
        </w:r>
        <w:r w:rsidR="00550D79">
          <w:rPr>
            <w:rFonts w:asciiTheme="minorHAnsi" w:eastAsiaTheme="minorEastAsia" w:hAnsiTheme="minorHAnsi" w:cstheme="minorBidi"/>
            <w:noProof/>
            <w:sz w:val="22"/>
            <w:szCs w:val="22"/>
            <w:lang w:val="da-DK" w:eastAsia="da-DK"/>
          </w:rPr>
          <w:tab/>
        </w:r>
        <w:r w:rsidR="00550D79" w:rsidRPr="006A5F0C">
          <w:rPr>
            <w:rStyle w:val="Lienhypertexte"/>
            <w:noProof/>
          </w:rPr>
          <w:t>Examples of figures and tables</w:t>
        </w:r>
        <w:r w:rsidR="00550D79">
          <w:rPr>
            <w:noProof/>
            <w:webHidden/>
          </w:rPr>
          <w:tab/>
        </w:r>
        <w:r w:rsidR="00550D79">
          <w:rPr>
            <w:noProof/>
            <w:webHidden/>
          </w:rPr>
          <w:fldChar w:fldCharType="begin"/>
        </w:r>
        <w:r w:rsidR="00550D79">
          <w:rPr>
            <w:noProof/>
            <w:webHidden/>
          </w:rPr>
          <w:instrText xml:space="preserve"> PAGEREF _Toc310326621 \h </w:instrText>
        </w:r>
        <w:r w:rsidR="00550D79">
          <w:rPr>
            <w:noProof/>
            <w:webHidden/>
          </w:rPr>
        </w:r>
        <w:r w:rsidR="00550D79">
          <w:rPr>
            <w:noProof/>
            <w:webHidden/>
          </w:rPr>
          <w:fldChar w:fldCharType="separate"/>
        </w:r>
        <w:r w:rsidR="00B432D4">
          <w:rPr>
            <w:noProof/>
            <w:webHidden/>
          </w:rPr>
          <w:t>4</w:t>
        </w:r>
        <w:r w:rsidR="00550D79">
          <w:rPr>
            <w:noProof/>
            <w:webHidden/>
          </w:rPr>
          <w:fldChar w:fldCharType="end"/>
        </w:r>
      </w:hyperlink>
    </w:p>
    <w:p w:rsidR="00550D79" w:rsidRDefault="00595E8F">
      <w:pPr>
        <w:pStyle w:val="TM1"/>
        <w:rPr>
          <w:rFonts w:asciiTheme="minorHAnsi" w:eastAsiaTheme="minorEastAsia" w:hAnsiTheme="minorHAnsi" w:cstheme="minorBidi"/>
          <w:b w:val="0"/>
          <w:caps w:val="0"/>
          <w:noProof/>
          <w:sz w:val="22"/>
          <w:szCs w:val="22"/>
          <w:lang w:val="da-DK" w:eastAsia="da-DK"/>
        </w:rPr>
      </w:pPr>
      <w:hyperlink w:anchor="_Toc310326622" w:history="1">
        <w:r w:rsidR="00550D79" w:rsidRPr="006A5F0C">
          <w:rPr>
            <w:rStyle w:val="Lienhypertexte"/>
            <w:noProof/>
          </w:rPr>
          <w:t>4</w:t>
        </w:r>
        <w:r w:rsidR="00550D79">
          <w:rPr>
            <w:rFonts w:asciiTheme="minorHAnsi" w:eastAsiaTheme="minorEastAsia" w:hAnsiTheme="minorHAnsi" w:cstheme="minorBidi"/>
            <w:b w:val="0"/>
            <w:caps w:val="0"/>
            <w:noProof/>
            <w:sz w:val="22"/>
            <w:szCs w:val="22"/>
            <w:lang w:val="da-DK" w:eastAsia="da-DK"/>
          </w:rPr>
          <w:tab/>
        </w:r>
        <w:r w:rsidR="00550D79" w:rsidRPr="006A5F0C">
          <w:rPr>
            <w:rStyle w:val="Lienhypertexte"/>
            <w:noProof/>
          </w:rPr>
          <w:t>Conclusions</w:t>
        </w:r>
        <w:r w:rsidR="00550D79">
          <w:rPr>
            <w:noProof/>
            <w:webHidden/>
          </w:rPr>
          <w:tab/>
        </w:r>
        <w:r w:rsidR="00550D79">
          <w:rPr>
            <w:noProof/>
            <w:webHidden/>
          </w:rPr>
          <w:fldChar w:fldCharType="begin"/>
        </w:r>
        <w:r w:rsidR="00550D79">
          <w:rPr>
            <w:noProof/>
            <w:webHidden/>
          </w:rPr>
          <w:instrText xml:space="preserve"> PAGEREF _Toc310326622 \h </w:instrText>
        </w:r>
        <w:r w:rsidR="00550D79">
          <w:rPr>
            <w:noProof/>
            <w:webHidden/>
          </w:rPr>
        </w:r>
        <w:r w:rsidR="00550D79">
          <w:rPr>
            <w:noProof/>
            <w:webHidden/>
          </w:rPr>
          <w:fldChar w:fldCharType="separate"/>
        </w:r>
        <w:r w:rsidR="00B432D4">
          <w:rPr>
            <w:noProof/>
            <w:webHidden/>
          </w:rPr>
          <w:t>4</w:t>
        </w:r>
        <w:r w:rsidR="00550D79">
          <w:rPr>
            <w:noProof/>
            <w:webHidden/>
          </w:rPr>
          <w:fldChar w:fldCharType="end"/>
        </w:r>
      </w:hyperlink>
    </w:p>
    <w:p w:rsidR="00550D79" w:rsidRDefault="00595E8F">
      <w:pPr>
        <w:pStyle w:val="TM1"/>
        <w:rPr>
          <w:rFonts w:asciiTheme="minorHAnsi" w:eastAsiaTheme="minorEastAsia" w:hAnsiTheme="minorHAnsi" w:cstheme="minorBidi"/>
          <w:b w:val="0"/>
          <w:caps w:val="0"/>
          <w:noProof/>
          <w:sz w:val="22"/>
          <w:szCs w:val="22"/>
          <w:lang w:val="da-DK" w:eastAsia="da-DK"/>
        </w:rPr>
      </w:pPr>
      <w:hyperlink w:anchor="_Toc310326623" w:history="1">
        <w:r w:rsidR="00550D79" w:rsidRPr="006A5F0C">
          <w:rPr>
            <w:rStyle w:val="Lienhypertexte"/>
            <w:noProof/>
          </w:rPr>
          <w:t>ANNEX 1: heading (style: ECC annex - heading1)</w:t>
        </w:r>
        <w:r w:rsidR="00550D79">
          <w:rPr>
            <w:noProof/>
            <w:webHidden/>
          </w:rPr>
          <w:tab/>
        </w:r>
        <w:r w:rsidR="00550D79">
          <w:rPr>
            <w:noProof/>
            <w:webHidden/>
          </w:rPr>
          <w:fldChar w:fldCharType="begin"/>
        </w:r>
        <w:r w:rsidR="00550D79">
          <w:rPr>
            <w:noProof/>
            <w:webHidden/>
          </w:rPr>
          <w:instrText xml:space="preserve"> PAGEREF _Toc310326623 \h </w:instrText>
        </w:r>
        <w:r w:rsidR="00550D79">
          <w:rPr>
            <w:noProof/>
            <w:webHidden/>
          </w:rPr>
        </w:r>
        <w:r w:rsidR="00550D79">
          <w:rPr>
            <w:noProof/>
            <w:webHidden/>
          </w:rPr>
          <w:fldChar w:fldCharType="separate"/>
        </w:r>
        <w:r w:rsidR="00B432D4">
          <w:rPr>
            <w:noProof/>
            <w:webHidden/>
          </w:rPr>
          <w:t>4</w:t>
        </w:r>
        <w:r w:rsidR="00550D79">
          <w:rPr>
            <w:noProof/>
            <w:webHidden/>
          </w:rPr>
          <w:fldChar w:fldCharType="end"/>
        </w:r>
      </w:hyperlink>
    </w:p>
    <w:p w:rsidR="00550D79" w:rsidRDefault="00595E8F">
      <w:pPr>
        <w:pStyle w:val="TM1"/>
        <w:rPr>
          <w:rFonts w:asciiTheme="minorHAnsi" w:eastAsiaTheme="minorEastAsia" w:hAnsiTheme="minorHAnsi" w:cstheme="minorBidi"/>
          <w:b w:val="0"/>
          <w:caps w:val="0"/>
          <w:noProof/>
          <w:sz w:val="22"/>
          <w:szCs w:val="22"/>
          <w:lang w:val="da-DK" w:eastAsia="da-DK"/>
        </w:rPr>
      </w:pPr>
      <w:hyperlink w:anchor="_Toc310326624" w:history="1">
        <w:r w:rsidR="00550D79" w:rsidRPr="006A5F0C">
          <w:rPr>
            <w:rStyle w:val="Lienhypertexte"/>
            <w:noProof/>
          </w:rPr>
          <w:t>ANNEX 2: List of reference</w:t>
        </w:r>
        <w:r w:rsidR="00550D79">
          <w:rPr>
            <w:noProof/>
            <w:webHidden/>
          </w:rPr>
          <w:tab/>
        </w:r>
        <w:r w:rsidR="00550D79">
          <w:rPr>
            <w:noProof/>
            <w:webHidden/>
          </w:rPr>
          <w:fldChar w:fldCharType="begin"/>
        </w:r>
        <w:r w:rsidR="00550D79">
          <w:rPr>
            <w:noProof/>
            <w:webHidden/>
          </w:rPr>
          <w:instrText xml:space="preserve"> PAGEREF _Toc310326624 \h </w:instrText>
        </w:r>
        <w:r w:rsidR="00550D79">
          <w:rPr>
            <w:noProof/>
            <w:webHidden/>
          </w:rPr>
        </w:r>
        <w:r w:rsidR="00550D79">
          <w:rPr>
            <w:noProof/>
            <w:webHidden/>
          </w:rPr>
          <w:fldChar w:fldCharType="separate"/>
        </w:r>
        <w:r w:rsidR="00B432D4">
          <w:rPr>
            <w:noProof/>
            <w:webHidden/>
          </w:rPr>
          <w:t>4</w:t>
        </w:r>
        <w:r w:rsidR="00550D79">
          <w:rPr>
            <w:noProof/>
            <w:webHidden/>
          </w:rPr>
          <w:fldChar w:fldCharType="end"/>
        </w:r>
      </w:hyperlink>
    </w:p>
    <w:p w:rsidR="008A54FC" w:rsidRDefault="008A54FC" w:rsidP="008A54FC">
      <w:r>
        <w:rPr>
          <w:caps/>
          <w:lang w:val="en-GB"/>
        </w:rPr>
        <w:fldChar w:fldCharType="end"/>
      </w:r>
    </w:p>
    <w:p w:rsidR="008A54FC" w:rsidRDefault="00DF2C67" w:rsidP="008A54FC">
      <w:r>
        <w:rPr>
          <w:noProof/>
          <w:szCs w:val="20"/>
          <w:lang w:val="fr-FR" w:eastAsia="fr-FR"/>
        </w:rPr>
        <mc:AlternateContent>
          <mc:Choice Requires="wps">
            <w:drawing>
              <wp:anchor distT="0" distB="0" distL="114300" distR="114300" simplePos="0" relativeHeight="251660288" behindDoc="0" locked="0" layoutInCell="1" allowOverlap="1" wp14:anchorId="2366178E" wp14:editId="1EA25983">
                <wp:simplePos x="0" y="0"/>
                <wp:positionH relativeFrom="column">
                  <wp:posOffset>0</wp:posOffset>
                </wp:positionH>
                <wp:positionV relativeFrom="paragraph">
                  <wp:posOffset>158750</wp:posOffset>
                </wp:positionV>
                <wp:extent cx="2628900" cy="1143000"/>
                <wp:effectExtent l="0" t="0" r="16510" b="12700"/>
                <wp:wrapNone/>
                <wp:docPr id="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143000"/>
                        </a:xfrm>
                        <a:prstGeom prst="rect">
                          <a:avLst/>
                        </a:prstGeom>
                        <a:solidFill>
                          <a:srgbClr val="FFFFFF"/>
                        </a:solidFill>
                        <a:ln w="9525">
                          <a:solidFill>
                            <a:srgbClr val="000000"/>
                          </a:solidFill>
                          <a:miter lim="800000"/>
                          <a:headEnd/>
                          <a:tailEnd/>
                        </a:ln>
                      </wps:spPr>
                      <wps:txbx>
                        <w:txbxContent>
                          <w:p w:rsidR="00F53945" w:rsidRPr="00CD53FB" w:rsidRDefault="00F53945">
                            <w:pPr>
                              <w:rPr>
                                <w:b/>
                              </w:rPr>
                            </w:pPr>
                            <w:r w:rsidRPr="00CD53FB">
                              <w:rPr>
                                <w:b/>
                              </w:rPr>
                              <w:t>Note on the Table of Contents (delete after reading)</w:t>
                            </w:r>
                          </w:p>
                          <w:p w:rsidR="00F53945" w:rsidRDefault="00F53945">
                            <w:r>
                              <w:t>This is automatically styled and compiled from the headings, subheadings and page numbers from the document that follows. To update the Table of Contents move cursor within the table and press F9.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27" type="#_x0000_t202" style="position:absolute;margin-left:0;margin-top:12.5pt;width:207pt;height:9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">
                <v:textbox>
                  <w:txbxContent>
                    <w:p w:rsidR="00F53945" w:rsidRPr="00CD53FB" w:rsidRDefault="00F53945">
                      <w:pPr>
                        <w:rPr>
                          <w:b/>
                        </w:rPr>
                      </w:pPr>
                      <w:r w:rsidRPr="00CD53FB">
                        <w:rPr>
                          <w:b/>
                        </w:rPr>
                        <w:t>Note on the Table of Contents (delete after reading)</w:t>
                      </w:r>
                    </w:p>
                    <w:p w:rsidR="00F53945" w:rsidRDefault="00F53945">
                      <w:r>
                        <w:t>This is automatically styled and compiled from the headings, subheadings and page numbers from the document that follows. To update the Table of Contents move cursor within the table and press F9.</w:t>
                      </w:r>
                    </w:p>
                  </w:txbxContent>
                </v:textbox>
              </v:shape>
            </w:pict>
          </mc:Fallback>
        </mc:AlternateContent>
      </w:r>
      <w:r w:rsidR="008A54FC">
        <w:br w:type="page"/>
      </w:r>
    </w:p>
    <w:p w:rsidR="008A54FC" w:rsidRPr="009B4646" w:rsidRDefault="008A54FC" w:rsidP="008A54FC">
      <w:pPr>
        <w:rPr>
          <w:b/>
          <w:color w:val="FFFFFF"/>
          <w:szCs w:val="20"/>
        </w:rPr>
      </w:pPr>
    </w:p>
    <w:p w:rsidR="008B70CD" w:rsidRDefault="008B70CD" w:rsidP="008A54FC">
      <w:pPr>
        <w:rPr>
          <w:b/>
          <w:color w:val="FFFFFF"/>
          <w:szCs w:val="20"/>
        </w:rPr>
      </w:pPr>
    </w:p>
    <w:p w:rsidR="008A54FC" w:rsidRPr="009B4646" w:rsidRDefault="00DF2C67" w:rsidP="008A54FC">
      <w:pPr>
        <w:rPr>
          <w:b/>
          <w:color w:val="FFFFFF"/>
          <w:szCs w:val="20"/>
        </w:rPr>
      </w:pPr>
      <w:r>
        <w:rPr>
          <w:b/>
          <w:noProof/>
          <w:color w:val="FFFFFF"/>
          <w:szCs w:val="20"/>
          <w:lang w:val="fr-FR" w:eastAsia="fr-FR"/>
        </w:rPr>
        <mc:AlternateContent>
          <mc:Choice Requires="wps">
            <w:drawing>
              <wp:anchor distT="0" distB="0" distL="114300" distR="114300" simplePos="0" relativeHeight="251659264" behindDoc="1" locked="0" layoutInCell="1" allowOverlap="1" wp14:anchorId="5550AF89" wp14:editId="136AF669">
                <wp:simplePos x="0" y="0"/>
                <wp:positionH relativeFrom="page">
                  <wp:align>center</wp:align>
                </wp:positionH>
                <wp:positionV relativeFrom="page">
                  <wp:posOffset>900430</wp:posOffset>
                </wp:positionV>
                <wp:extent cx="7560310" cy="720090"/>
                <wp:effectExtent l="0" t="0" r="0" b="5080"/>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0;margin-top:70.9pt;width:595.3pt;height:56.7pt;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" fillcolor="#b0a696" stroked="f">
                <w10:wrap anchorx="page" anchory="page"/>
              </v:rect>
            </w:pict>
          </mc:Fallback>
        </mc:AlternateContent>
      </w:r>
      <w:r w:rsidR="008A54FC" w:rsidRPr="009B4646">
        <w:rPr>
          <w:b/>
          <w:color w:val="FFFFFF"/>
          <w:szCs w:val="20"/>
        </w:rPr>
        <w:t>LIST OF ABBREVIATIONS</w:t>
      </w:r>
    </w:p>
    <w:p w:rsidR="008A54FC" w:rsidRPr="00C95C7C" w:rsidRDefault="008A54FC" w:rsidP="008A54FC">
      <w:pPr>
        <w:rPr>
          <w:b/>
          <w:color w:val="FFFFFF"/>
          <w:szCs w:val="20"/>
        </w:rPr>
      </w:pPr>
    </w:p>
    <w:p w:rsidR="008A54FC" w:rsidRPr="00C95C7C" w:rsidRDefault="008A54FC" w:rsidP="008A54FC">
      <w:pPr>
        <w:rPr>
          <w:b/>
          <w:color w:val="FFFFFF"/>
          <w:szCs w:val="20"/>
        </w:rPr>
      </w:pPr>
    </w:p>
    <w:p w:rsidR="008A54FC" w:rsidRDefault="008A54FC" w:rsidP="008A54FC"/>
    <w:p w:rsidR="00F53945" w:rsidRPr="00117BC0" w:rsidRDefault="00F53945" w:rsidP="00F53945">
      <w:pPr>
        <w:pStyle w:val="Titre1"/>
        <w:numPr>
          <w:ilvl w:val="0"/>
          <w:numId w:val="26"/>
        </w:numPr>
      </w:pPr>
      <w:bookmarkStart w:id="5" w:name="_Toc321318099"/>
      <w:r w:rsidRPr="00117BC0">
        <w:t>Description of the candidate applications, including spectrum needs</w:t>
      </w:r>
      <w:bookmarkEnd w:id="5"/>
    </w:p>
    <w:p w:rsidR="00F53945" w:rsidRDefault="00F53945" w:rsidP="00F53945">
      <w:pPr>
        <w:tabs>
          <w:tab w:val="left" w:pos="1560"/>
        </w:tabs>
        <w:rPr>
          <w:rFonts w:cs="Arial"/>
          <w:i/>
          <w:szCs w:val="20"/>
          <w:highlight w:val="yellow"/>
          <w:lang w:eastAsia="de-DE"/>
        </w:rPr>
      </w:pPr>
      <w:r w:rsidRPr="00661904">
        <w:rPr>
          <w:rFonts w:cs="Arial"/>
          <w:i/>
          <w:szCs w:val="20"/>
          <w:highlight w:val="yellow"/>
          <w:lang w:eastAsia="de-DE"/>
        </w:rPr>
        <w:t>Editorial note</w:t>
      </w:r>
      <w:r>
        <w:rPr>
          <w:rFonts w:cs="Arial"/>
          <w:i/>
          <w:szCs w:val="20"/>
          <w:highlight w:val="yellow"/>
          <w:lang w:eastAsia="de-DE"/>
        </w:rPr>
        <w:t xml:space="preserve"> 1</w:t>
      </w:r>
      <w:r w:rsidRPr="00661904">
        <w:rPr>
          <w:rFonts w:cs="Arial"/>
          <w:i/>
          <w:szCs w:val="20"/>
          <w:highlight w:val="yellow"/>
          <w:lang w:eastAsia="de-DE"/>
        </w:rPr>
        <w:t>:</w:t>
      </w:r>
      <w:r>
        <w:rPr>
          <w:rFonts w:cs="Arial"/>
          <w:i/>
          <w:szCs w:val="20"/>
          <w:highlight w:val="yellow"/>
          <w:lang w:eastAsia="de-DE"/>
        </w:rPr>
        <w:tab/>
        <w:t>N</w:t>
      </w:r>
      <w:r w:rsidRPr="00661904">
        <w:rPr>
          <w:rFonts w:cs="Arial"/>
          <w:i/>
          <w:szCs w:val="20"/>
          <w:highlight w:val="yellow"/>
          <w:lang w:eastAsia="de-DE"/>
        </w:rPr>
        <w:t xml:space="preserve">umbering of </w:t>
      </w:r>
      <w:r>
        <w:rPr>
          <w:rFonts w:cs="Arial"/>
          <w:i/>
          <w:szCs w:val="20"/>
          <w:highlight w:val="yellow"/>
          <w:lang w:eastAsia="de-DE"/>
        </w:rPr>
        <w:t xml:space="preserve">tables, figures, </w:t>
      </w:r>
      <w:r w:rsidRPr="00661904">
        <w:rPr>
          <w:rFonts w:cs="Arial"/>
          <w:i/>
          <w:szCs w:val="20"/>
          <w:highlight w:val="yellow"/>
          <w:lang w:eastAsia="de-DE"/>
        </w:rPr>
        <w:t>annexes</w:t>
      </w:r>
      <w:r>
        <w:rPr>
          <w:rFonts w:cs="Arial"/>
          <w:i/>
          <w:szCs w:val="20"/>
          <w:highlight w:val="yellow"/>
          <w:lang w:eastAsia="de-DE"/>
        </w:rPr>
        <w:t>, and references needs to be verified.</w:t>
      </w:r>
    </w:p>
    <w:p w:rsidR="00F53945" w:rsidRDefault="00F53945" w:rsidP="00F53945">
      <w:pPr>
        <w:rPr>
          <w:i/>
          <w:highlight w:val="yellow"/>
        </w:rPr>
      </w:pPr>
    </w:p>
    <w:p w:rsidR="00F53945" w:rsidRDefault="00F53945" w:rsidP="00F53945">
      <w:pPr>
        <w:ind w:left="1560" w:hanging="1560"/>
        <w:rPr>
          <w:i/>
        </w:rPr>
      </w:pPr>
      <w:r w:rsidRPr="00FD10DF">
        <w:rPr>
          <w:i/>
          <w:highlight w:val="yellow"/>
        </w:rPr>
        <w:t>Editorial note</w:t>
      </w:r>
      <w:r>
        <w:rPr>
          <w:i/>
          <w:highlight w:val="yellow"/>
        </w:rPr>
        <w:t xml:space="preserve"> 2</w:t>
      </w:r>
      <w:r w:rsidRPr="00FD10DF">
        <w:rPr>
          <w:i/>
          <w:highlight w:val="yellow"/>
        </w:rPr>
        <w:t>:</w:t>
      </w:r>
      <w:r>
        <w:rPr>
          <w:i/>
          <w:highlight w:val="yellow"/>
        </w:rPr>
        <w:tab/>
        <w:t xml:space="preserve">The proposals from document 028 by </w:t>
      </w:r>
      <w:smartTag w:uri="urn:schemas-microsoft-com:office:smarttags" w:element="country-region">
        <w:smartTag w:uri="urn:schemas-microsoft-com:office:smarttags" w:element="place">
          <w:r>
            <w:rPr>
              <w:i/>
              <w:highlight w:val="yellow"/>
            </w:rPr>
            <w:t>Germany</w:t>
          </w:r>
        </w:smartTag>
      </w:smartTag>
      <w:r>
        <w:rPr>
          <w:i/>
          <w:highlight w:val="yellow"/>
        </w:rPr>
        <w:t xml:space="preserve"> are not reflected. They should be considered once the content of this section becomes stable.</w:t>
      </w:r>
    </w:p>
    <w:p w:rsidR="00F53945" w:rsidRPr="008056FD" w:rsidRDefault="00F53945" w:rsidP="00F53945">
      <w:pPr>
        <w:rPr>
          <w:i/>
        </w:rPr>
      </w:pPr>
    </w:p>
    <w:p w:rsidR="00F53945" w:rsidRDefault="00F53945" w:rsidP="00F53945">
      <w:pPr>
        <w:pStyle w:val="ECCParagraph"/>
        <w:spacing w:after="120"/>
      </w:pPr>
      <w:r>
        <w:t xml:space="preserve">The </w:t>
      </w:r>
      <w:r w:rsidRPr="008056FD">
        <w:t>following</w:t>
      </w:r>
      <w:r>
        <w:t xml:space="preserve"> candidate applications are considered:</w:t>
      </w:r>
    </w:p>
    <w:p w:rsidR="00F53945" w:rsidRDefault="00F53945" w:rsidP="00F53945">
      <w:pPr>
        <w:pStyle w:val="ECCNumberedBullets"/>
        <w:spacing w:after="120"/>
      </w:pPr>
      <w:r>
        <w:t>Terrestrial broadcasting</w:t>
      </w:r>
    </w:p>
    <w:p w:rsidR="00F53945" w:rsidRDefault="00F53945" w:rsidP="00F53945">
      <w:pPr>
        <w:pStyle w:val="ECCNumberedBullets"/>
        <w:spacing w:after="120"/>
      </w:pPr>
      <w:r>
        <w:t>Mobile broadband</w:t>
      </w:r>
    </w:p>
    <w:p w:rsidR="00F53945" w:rsidRDefault="00F53945" w:rsidP="00F53945">
      <w:pPr>
        <w:pStyle w:val="ECCNumberedBullets"/>
        <w:spacing w:after="120"/>
      </w:pPr>
      <w:r>
        <w:t>Mobile supplemental downlink</w:t>
      </w:r>
      <w:r>
        <w:rPr>
          <w:i/>
        </w:rPr>
        <w:t xml:space="preserve"> </w:t>
      </w:r>
    </w:p>
    <w:p w:rsidR="00F53945" w:rsidRDefault="00F53945" w:rsidP="00F53945">
      <w:pPr>
        <w:pStyle w:val="ECCNumberedBullets"/>
        <w:spacing w:after="120"/>
      </w:pPr>
      <w:r>
        <w:t>Satellite Digital Audio Broadcasting (S-DAB)</w:t>
      </w:r>
    </w:p>
    <w:p w:rsidR="00F53945" w:rsidRDefault="00F53945" w:rsidP="00F53945">
      <w:pPr>
        <w:pStyle w:val="ECCNumberedBullets"/>
        <w:spacing w:after="120"/>
      </w:pPr>
      <w:proofErr w:type="spellStart"/>
      <w:r>
        <w:t>Programme</w:t>
      </w:r>
      <w:proofErr w:type="spellEnd"/>
      <w:r>
        <w:t xml:space="preserve"> Making and Special Events (PMSE)</w:t>
      </w:r>
    </w:p>
    <w:p w:rsidR="00F53945" w:rsidRDefault="00F53945" w:rsidP="00F53945">
      <w:pPr>
        <w:pStyle w:val="ECCNumberedBullets"/>
        <w:spacing w:after="120"/>
      </w:pPr>
      <w:r>
        <w:t>Broadband Public Protection and Disaster Relief (PPDR)</w:t>
      </w:r>
      <w:r w:rsidRPr="000C2B2D">
        <w:t xml:space="preserve"> </w:t>
      </w:r>
      <w:r>
        <w:t>for temporary and local use</w:t>
      </w:r>
    </w:p>
    <w:p w:rsidR="00F53945" w:rsidRDefault="00F53945" w:rsidP="00F53945">
      <w:pPr>
        <w:pStyle w:val="ECCNumberedBullets"/>
        <w:spacing w:after="120"/>
      </w:pPr>
      <w:r>
        <w:rPr>
          <w:bCs/>
        </w:rPr>
        <w:t>Broadband Direct-Air-to-Ground Communications</w:t>
      </w:r>
      <w:r>
        <w:t xml:space="preserve"> (BDA2GC)</w:t>
      </w:r>
    </w:p>
    <w:p w:rsidR="00F53945" w:rsidRDefault="00F53945" w:rsidP="00F53945">
      <w:pPr>
        <w:pStyle w:val="Titre2"/>
      </w:pPr>
      <w:bookmarkStart w:id="6" w:name="_Toc321318100"/>
      <w:r w:rsidRPr="00F53945">
        <w:t>application one: Terrestrial broadcasting</w:t>
      </w:r>
      <w:bookmarkEnd w:id="6"/>
    </w:p>
    <w:p w:rsidR="00F53945" w:rsidRDefault="00F53945" w:rsidP="00F53945">
      <w:pPr>
        <w:pStyle w:val="Titre3"/>
        <w:rPr>
          <w:iCs/>
          <w:caps/>
        </w:rPr>
      </w:pPr>
      <w:bookmarkStart w:id="7" w:name="_Toc321318101"/>
      <w:r>
        <w:t>Description</w:t>
      </w:r>
      <w:bookmarkEnd w:id="7"/>
    </w:p>
    <w:p w:rsidR="00F53945" w:rsidRDefault="00F53945" w:rsidP="00F53945">
      <w:pPr>
        <w:pStyle w:val="ECCParagraph"/>
      </w:pPr>
      <w:r>
        <w:t>Terrestrial broadcasting is a digital terrestrial system for distribution of audio and video content in a one-to-many mode to fixed, portable, handheld and mobile receivers. In many countries terrestrial broadcasting is one of the principal means for access to radio and TV services by the general public.</w:t>
      </w:r>
    </w:p>
    <w:p w:rsidR="00F53945" w:rsidRDefault="00F53945" w:rsidP="00F53945">
      <w:pPr>
        <w:pStyle w:val="ECCParagraph"/>
        <w:spacing w:after="120"/>
      </w:pPr>
      <w:r>
        <w:t>The main features of terrestrial radio and TV services are:</w:t>
      </w:r>
    </w:p>
    <w:p w:rsidR="00F53945" w:rsidRDefault="00F53945" w:rsidP="00F53945">
      <w:pPr>
        <w:numPr>
          <w:ilvl w:val="0"/>
          <w:numId w:val="20"/>
        </w:numPr>
        <w:tabs>
          <w:tab w:val="left" w:pos="426"/>
          <w:tab w:val="left" w:pos="1560"/>
        </w:tabs>
        <w:spacing w:before="120"/>
      </w:pPr>
      <w:r>
        <w:t xml:space="preserve">Universal availability </w:t>
      </w:r>
    </w:p>
    <w:p w:rsidR="00F53945" w:rsidRDefault="00F53945" w:rsidP="00F53945">
      <w:pPr>
        <w:numPr>
          <w:ilvl w:val="1"/>
          <w:numId w:val="19"/>
        </w:numPr>
        <w:tabs>
          <w:tab w:val="left" w:pos="426"/>
          <w:tab w:val="left" w:pos="1560"/>
        </w:tabs>
      </w:pPr>
      <w:r>
        <w:t>coverage often exceeds 98% of the population</w:t>
      </w:r>
    </w:p>
    <w:p w:rsidR="00F53945" w:rsidRDefault="00F53945" w:rsidP="00F53945">
      <w:pPr>
        <w:numPr>
          <w:ilvl w:val="1"/>
          <w:numId w:val="19"/>
        </w:numPr>
        <w:tabs>
          <w:tab w:val="left" w:pos="426"/>
          <w:tab w:val="left" w:pos="1560"/>
        </w:tabs>
      </w:pPr>
      <w:r>
        <w:t>delivery to secondary receivers</w:t>
      </w:r>
    </w:p>
    <w:p w:rsidR="00F53945" w:rsidRDefault="00F53945" w:rsidP="00F53945">
      <w:pPr>
        <w:numPr>
          <w:ilvl w:val="1"/>
          <w:numId w:val="19"/>
        </w:numPr>
        <w:tabs>
          <w:tab w:val="left" w:pos="426"/>
          <w:tab w:val="left" w:pos="1560"/>
        </w:tabs>
      </w:pPr>
      <w:r>
        <w:t>support for services for people with disabilities</w:t>
      </w:r>
    </w:p>
    <w:p w:rsidR="00F53945" w:rsidRDefault="00F53945" w:rsidP="00F53945">
      <w:pPr>
        <w:tabs>
          <w:tab w:val="left" w:pos="426"/>
          <w:tab w:val="left" w:pos="1560"/>
        </w:tabs>
      </w:pPr>
    </w:p>
    <w:p w:rsidR="00F53945" w:rsidRDefault="00F53945" w:rsidP="00F53945">
      <w:pPr>
        <w:pStyle w:val="ECCParBulleted"/>
      </w:pPr>
      <w:r>
        <w:t xml:space="preserve">High </w:t>
      </w:r>
      <w:proofErr w:type="spellStart"/>
      <w:r>
        <w:t>QoS</w:t>
      </w:r>
      <w:proofErr w:type="spellEnd"/>
    </w:p>
    <w:p w:rsidR="00F53945" w:rsidRDefault="00F53945" w:rsidP="00F53945">
      <w:pPr>
        <w:pStyle w:val="ECCParBulleted"/>
        <w:numPr>
          <w:ilvl w:val="0"/>
          <w:numId w:val="21"/>
        </w:numPr>
        <w:ind w:left="680"/>
        <w:jc w:val="left"/>
      </w:pPr>
      <w:r>
        <w:t>predictable and consistent across the whole service area</w:t>
      </w:r>
    </w:p>
    <w:p w:rsidR="00F53945" w:rsidRDefault="00F53945" w:rsidP="00F53945">
      <w:pPr>
        <w:pStyle w:val="ECCParBulleted"/>
        <w:numPr>
          <w:ilvl w:val="0"/>
          <w:numId w:val="21"/>
        </w:numPr>
        <w:ind w:left="680"/>
        <w:jc w:val="left"/>
      </w:pPr>
      <w:r>
        <w:t>independent of the number of simultaneous viewers and listeners</w:t>
      </w:r>
    </w:p>
    <w:p w:rsidR="00F53945" w:rsidRDefault="00F53945" w:rsidP="00F53945">
      <w:pPr>
        <w:pStyle w:val="ECCParBulleted"/>
        <w:numPr>
          <w:ilvl w:val="0"/>
          <w:numId w:val="21"/>
        </w:numPr>
        <w:ind w:left="680"/>
        <w:jc w:val="left"/>
      </w:pPr>
      <w:r>
        <w:t xml:space="preserve">control over </w:t>
      </w:r>
      <w:proofErr w:type="spellStart"/>
      <w:r>
        <w:t>QoS</w:t>
      </w:r>
      <w:proofErr w:type="spellEnd"/>
      <w:r>
        <w:t xml:space="preserve"> and the user experience</w:t>
      </w:r>
    </w:p>
    <w:p w:rsidR="00F53945" w:rsidRDefault="00F53945" w:rsidP="00F53945">
      <w:pPr>
        <w:pStyle w:val="ECCParBulleted"/>
        <w:numPr>
          <w:ilvl w:val="0"/>
          <w:numId w:val="0"/>
        </w:numPr>
        <w:jc w:val="left"/>
      </w:pPr>
    </w:p>
    <w:p w:rsidR="00F53945" w:rsidRDefault="00F53945" w:rsidP="00F53945">
      <w:pPr>
        <w:pStyle w:val="ECCParBulleted"/>
      </w:pPr>
      <w:r>
        <w:t>Efficiency</w:t>
      </w:r>
    </w:p>
    <w:p w:rsidR="00F53945" w:rsidRDefault="00F53945" w:rsidP="00F53945">
      <w:pPr>
        <w:pStyle w:val="ECCParBulleted"/>
        <w:ind w:left="680"/>
        <w:jc w:val="left"/>
      </w:pPr>
      <w:r>
        <w:t>technically and cost efficient delivery to large audiences</w:t>
      </w:r>
    </w:p>
    <w:p w:rsidR="00F53945" w:rsidRDefault="00F53945" w:rsidP="00F53945">
      <w:pPr>
        <w:pStyle w:val="ECCParBulleted"/>
        <w:numPr>
          <w:ilvl w:val="0"/>
          <w:numId w:val="0"/>
        </w:numPr>
        <w:jc w:val="left"/>
      </w:pPr>
    </w:p>
    <w:p w:rsidR="00F53945" w:rsidRDefault="00F53945" w:rsidP="00F53945">
      <w:pPr>
        <w:pStyle w:val="ECCParBulleted"/>
      </w:pPr>
      <w:r>
        <w:t>Flexibility</w:t>
      </w:r>
    </w:p>
    <w:p w:rsidR="00F53945" w:rsidRDefault="00F53945" w:rsidP="00F53945">
      <w:pPr>
        <w:pStyle w:val="ECCParBulleted"/>
        <w:ind w:left="680"/>
        <w:jc w:val="left"/>
      </w:pPr>
      <w:r>
        <w:t>possible delivery to fixed, portable and mobile reception conditions</w:t>
      </w:r>
    </w:p>
    <w:p w:rsidR="00F53945" w:rsidRDefault="00F53945" w:rsidP="00F53945">
      <w:pPr>
        <w:pStyle w:val="ECCParBulleted"/>
        <w:ind w:left="680"/>
        <w:jc w:val="left"/>
      </w:pPr>
      <w:r>
        <w:t>support to free-to-air reception or conditional access, or both</w:t>
      </w:r>
    </w:p>
    <w:p w:rsidR="00F53945" w:rsidRDefault="00F53945" w:rsidP="00F53945">
      <w:pPr>
        <w:pStyle w:val="ECCParBulleted"/>
        <w:ind w:left="680"/>
        <w:jc w:val="left"/>
      </w:pPr>
      <w:r>
        <w:t>supports public service as well as commercial broadcasting model</w:t>
      </w:r>
    </w:p>
    <w:p w:rsidR="00F53945" w:rsidRDefault="00F53945" w:rsidP="00F53945">
      <w:pPr>
        <w:pStyle w:val="ECCParBulleted"/>
        <w:ind w:left="680"/>
        <w:jc w:val="left"/>
      </w:pPr>
      <w:r>
        <w:t>coverage adapted to the service requirements (national, regional or local)</w:t>
      </w:r>
    </w:p>
    <w:p w:rsidR="00F53945" w:rsidRDefault="00F53945" w:rsidP="00F53945">
      <w:pPr>
        <w:pStyle w:val="ECCParBulleted"/>
        <w:numPr>
          <w:ilvl w:val="0"/>
          <w:numId w:val="0"/>
        </w:numPr>
        <w:jc w:val="left"/>
      </w:pPr>
    </w:p>
    <w:p w:rsidR="00F53945" w:rsidRDefault="00F53945" w:rsidP="00F53945">
      <w:pPr>
        <w:pStyle w:val="ECCParBulleted"/>
      </w:pPr>
      <w:r>
        <w:t>Mass market platform</w:t>
      </w:r>
    </w:p>
    <w:p w:rsidR="00F53945" w:rsidRDefault="00F53945" w:rsidP="00F53945">
      <w:pPr>
        <w:pStyle w:val="ECCParBulleted"/>
        <w:ind w:left="680"/>
        <w:jc w:val="left"/>
      </w:pPr>
      <w:r>
        <w:t>widely supported by manufacturers, network operators, broadcasters, regulators and the public</w:t>
      </w:r>
    </w:p>
    <w:p w:rsidR="00F53945" w:rsidRDefault="00F53945" w:rsidP="00F53945">
      <w:pPr>
        <w:pStyle w:val="ECCParBulleted"/>
        <w:numPr>
          <w:ilvl w:val="0"/>
          <w:numId w:val="0"/>
        </w:numPr>
      </w:pPr>
    </w:p>
    <w:p w:rsidR="00F53945" w:rsidRDefault="00F53945" w:rsidP="00F53945">
      <w:pPr>
        <w:pStyle w:val="ECCParBulleted"/>
      </w:pPr>
      <w:r>
        <w:t>Competition</w:t>
      </w:r>
    </w:p>
    <w:p w:rsidR="00F53945" w:rsidRDefault="00F53945" w:rsidP="00F53945">
      <w:pPr>
        <w:pStyle w:val="ECCParBulleted"/>
        <w:ind w:left="680"/>
        <w:jc w:val="left"/>
      </w:pPr>
      <w:r>
        <w:t>promotes competition even in those markets that are dominated by other delivery platforms</w:t>
      </w:r>
    </w:p>
    <w:p w:rsidR="00F53945" w:rsidRDefault="00F53945" w:rsidP="00F53945">
      <w:pPr>
        <w:pStyle w:val="ECCParBulleted"/>
        <w:numPr>
          <w:ilvl w:val="0"/>
          <w:numId w:val="0"/>
        </w:numPr>
        <w:ind w:left="340" w:hanging="340"/>
        <w:jc w:val="left"/>
      </w:pPr>
    </w:p>
    <w:p w:rsidR="00F53945" w:rsidRDefault="00F53945" w:rsidP="00F53945">
      <w:pPr>
        <w:pStyle w:val="ECCParagraph"/>
      </w:pPr>
      <w:r>
        <w:t>Terrestrial broadcasting networks can be implemented by means of different systems, in particular the DAB and DVB families of standards and SDR, as indicated in the table 1 below:</w:t>
      </w:r>
    </w:p>
    <w:p w:rsidR="00F53945" w:rsidRDefault="00F53945" w:rsidP="00F53945">
      <w:pPr>
        <w:pStyle w:val="Lgende"/>
      </w:pPr>
      <w:r>
        <w:t xml:space="preserve">Table </w:t>
      </w:r>
      <w:r>
        <w:fldChar w:fldCharType="begin"/>
      </w:r>
      <w:r>
        <w:instrText xml:space="preserve"> SEQ Table \* ARABIC </w:instrText>
      </w:r>
      <w:r>
        <w:fldChar w:fldCharType="separate"/>
      </w:r>
      <w:r>
        <w:rPr>
          <w:noProof/>
        </w:rPr>
        <w:t>1</w:t>
      </w:r>
      <w:r>
        <w:rPr>
          <w:noProof/>
        </w:rPr>
        <w:fldChar w:fldCharType="end"/>
      </w:r>
      <w:r>
        <w:t xml:space="preserve">: </w:t>
      </w:r>
      <w:r w:rsidRPr="003F5278">
        <w:t>Examples of terrestrial broadcasting systems</w:t>
      </w:r>
    </w:p>
    <w:tbl>
      <w:tblPr>
        <w:tblW w:w="9322"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Grid>
        <w:gridCol w:w="2235"/>
        <w:gridCol w:w="2976"/>
        <w:gridCol w:w="4111"/>
      </w:tblGrid>
      <w:tr w:rsidR="00F53945" w:rsidTr="00F53945">
        <w:trPr>
          <w:tblHeader/>
        </w:trPr>
        <w:tc>
          <w:tcPr>
            <w:tcW w:w="2235" w:type="dxa"/>
            <w:tcBorders>
              <w:right w:val="single" w:sz="8" w:space="0" w:color="FFFFFF"/>
            </w:tcBorders>
            <w:shd w:val="clear" w:color="auto" w:fill="D2232A"/>
            <w:vAlign w:val="center"/>
          </w:tcPr>
          <w:p w:rsidR="00F53945" w:rsidRPr="009D5834" w:rsidRDefault="00F53945" w:rsidP="00F53945">
            <w:pPr>
              <w:spacing w:line="288" w:lineRule="auto"/>
              <w:jc w:val="center"/>
              <w:rPr>
                <w:rFonts w:cs="Arial"/>
                <w:b/>
                <w:color w:val="FFFFFF"/>
              </w:rPr>
            </w:pPr>
            <w:r>
              <w:rPr>
                <w:rFonts w:cs="Arial"/>
                <w:b/>
                <w:color w:val="FFFFFF"/>
              </w:rPr>
              <w:t>System</w:t>
            </w:r>
          </w:p>
        </w:tc>
        <w:tc>
          <w:tcPr>
            <w:tcW w:w="2976" w:type="dxa"/>
            <w:tcBorders>
              <w:left w:val="single" w:sz="8" w:space="0" w:color="FFFFFF"/>
              <w:right w:val="single" w:sz="8" w:space="0" w:color="FFFFFF"/>
            </w:tcBorders>
            <w:shd w:val="clear" w:color="auto" w:fill="D2232A"/>
            <w:vAlign w:val="center"/>
          </w:tcPr>
          <w:p w:rsidR="00F53945" w:rsidRPr="00FE1795" w:rsidRDefault="00F53945" w:rsidP="00F53945">
            <w:pPr>
              <w:spacing w:line="288" w:lineRule="auto"/>
              <w:jc w:val="center"/>
              <w:rPr>
                <w:b/>
                <w:color w:val="FFFFFF"/>
              </w:rPr>
            </w:pPr>
            <w:r w:rsidRPr="003F5278">
              <w:rPr>
                <w:b/>
                <w:color w:val="FFFFFF"/>
              </w:rPr>
              <w:t>Required block/channel bandwidth</w:t>
            </w:r>
          </w:p>
        </w:tc>
        <w:tc>
          <w:tcPr>
            <w:tcW w:w="4111" w:type="dxa"/>
            <w:tcBorders>
              <w:left w:val="single" w:sz="8" w:space="0" w:color="FFFFFF"/>
            </w:tcBorders>
            <w:shd w:val="clear" w:color="auto" w:fill="D2232A"/>
            <w:vAlign w:val="center"/>
          </w:tcPr>
          <w:p w:rsidR="00F53945" w:rsidRPr="00FE1795" w:rsidRDefault="00F53945" w:rsidP="00F53945">
            <w:pPr>
              <w:spacing w:line="288" w:lineRule="auto"/>
              <w:jc w:val="center"/>
              <w:rPr>
                <w:b/>
                <w:color w:val="FFFFFF"/>
              </w:rPr>
            </w:pPr>
            <w:r w:rsidRPr="003F5278">
              <w:rPr>
                <w:b/>
                <w:color w:val="FFFFFF"/>
              </w:rPr>
              <w:t>Related Standards</w:t>
            </w:r>
          </w:p>
        </w:tc>
      </w:tr>
      <w:tr w:rsidR="00F53945" w:rsidTr="00F53945">
        <w:tc>
          <w:tcPr>
            <w:tcW w:w="2235" w:type="dxa"/>
            <w:vAlign w:val="center"/>
          </w:tcPr>
          <w:p w:rsidR="00F53945" w:rsidRDefault="00F53945" w:rsidP="00F53945">
            <w:pPr>
              <w:rPr>
                <w:rFonts w:ascii="Times New Roman" w:hAnsi="Times New Roman"/>
                <w:sz w:val="24"/>
                <w:lang w:val="en-GB" w:eastAsia="fr-FR"/>
              </w:rPr>
            </w:pPr>
            <w:r>
              <w:t>T-DAB</w:t>
            </w:r>
          </w:p>
        </w:tc>
        <w:tc>
          <w:tcPr>
            <w:tcW w:w="2976" w:type="dxa"/>
            <w:vAlign w:val="center"/>
          </w:tcPr>
          <w:p w:rsidR="00F53945" w:rsidRDefault="00F53945" w:rsidP="00F53945">
            <w:pPr>
              <w:rPr>
                <w:rFonts w:ascii="Times New Roman" w:hAnsi="Times New Roman"/>
                <w:sz w:val="24"/>
                <w:lang w:val="en-GB" w:eastAsia="fr-FR"/>
              </w:rPr>
            </w:pPr>
            <w:r>
              <w:t>1.7 MHz</w:t>
            </w:r>
          </w:p>
        </w:tc>
        <w:tc>
          <w:tcPr>
            <w:tcW w:w="4111" w:type="dxa"/>
          </w:tcPr>
          <w:p w:rsidR="00F53945" w:rsidRDefault="00F53945" w:rsidP="00F53945">
            <w:pPr>
              <w:autoSpaceDE w:val="0"/>
              <w:autoSpaceDN w:val="0"/>
              <w:adjustRightInd w:val="0"/>
              <w:ind w:left="175"/>
              <w:rPr>
                <w:rFonts w:ascii="Times New Roman" w:hAnsi="Times New Roman"/>
                <w:sz w:val="24"/>
                <w:lang w:val="en-GB" w:eastAsia="en-GB"/>
              </w:rPr>
            </w:pPr>
            <w:r>
              <w:rPr>
                <w:lang w:eastAsia="en-GB"/>
              </w:rPr>
              <w:t>ETSI – EN 300 401</w:t>
            </w:r>
          </w:p>
          <w:p w:rsidR="00F53945" w:rsidRDefault="00F53945" w:rsidP="00F53945">
            <w:pPr>
              <w:ind w:left="175"/>
              <w:rPr>
                <w:rFonts w:ascii="Times New Roman" w:hAnsi="Times New Roman"/>
                <w:sz w:val="24"/>
                <w:lang w:val="en-GB" w:eastAsia="fr-FR"/>
              </w:rPr>
            </w:pPr>
            <w:r>
              <w:rPr>
                <w:lang w:eastAsia="en-GB"/>
              </w:rPr>
              <w:t>ETSI – TR 101 496-3</w:t>
            </w:r>
          </w:p>
        </w:tc>
      </w:tr>
      <w:tr w:rsidR="00F53945" w:rsidTr="00F53945">
        <w:tc>
          <w:tcPr>
            <w:tcW w:w="2235" w:type="dxa"/>
            <w:vAlign w:val="center"/>
          </w:tcPr>
          <w:p w:rsidR="00F53945" w:rsidRDefault="00F53945" w:rsidP="00F53945">
            <w:pPr>
              <w:rPr>
                <w:rFonts w:ascii="Times New Roman" w:hAnsi="Times New Roman"/>
                <w:sz w:val="24"/>
                <w:lang w:val="en-GB" w:eastAsia="fr-FR"/>
              </w:rPr>
            </w:pPr>
            <w:r>
              <w:t>T-DMB</w:t>
            </w:r>
          </w:p>
        </w:tc>
        <w:tc>
          <w:tcPr>
            <w:tcW w:w="2976" w:type="dxa"/>
            <w:vAlign w:val="center"/>
          </w:tcPr>
          <w:p w:rsidR="00F53945" w:rsidRDefault="00F53945" w:rsidP="00F53945">
            <w:pPr>
              <w:rPr>
                <w:rFonts w:ascii="Times New Roman" w:hAnsi="Times New Roman"/>
                <w:sz w:val="24"/>
                <w:lang w:val="en-GB" w:eastAsia="fr-FR"/>
              </w:rPr>
            </w:pPr>
            <w:r>
              <w:t>1.7 MHz</w:t>
            </w:r>
          </w:p>
        </w:tc>
        <w:tc>
          <w:tcPr>
            <w:tcW w:w="4111" w:type="dxa"/>
          </w:tcPr>
          <w:p w:rsidR="00F53945" w:rsidRDefault="00F53945" w:rsidP="00F53945">
            <w:pPr>
              <w:autoSpaceDE w:val="0"/>
              <w:autoSpaceDN w:val="0"/>
              <w:adjustRightInd w:val="0"/>
              <w:ind w:left="175"/>
              <w:rPr>
                <w:rFonts w:ascii="Times New Roman" w:hAnsi="Times New Roman"/>
                <w:sz w:val="24"/>
                <w:lang w:val="en-GB" w:eastAsia="en-GB"/>
              </w:rPr>
            </w:pPr>
            <w:r>
              <w:rPr>
                <w:lang w:eastAsia="en-GB"/>
              </w:rPr>
              <w:t>ETSI – EN 300 401</w:t>
            </w:r>
          </w:p>
          <w:p w:rsidR="00F53945" w:rsidRDefault="00F53945" w:rsidP="00F53945">
            <w:pPr>
              <w:ind w:left="175"/>
              <w:rPr>
                <w:rFonts w:ascii="Times New Roman" w:hAnsi="Times New Roman"/>
                <w:sz w:val="24"/>
                <w:lang w:val="en-GB" w:eastAsia="fr-FR"/>
              </w:rPr>
            </w:pPr>
            <w:r>
              <w:rPr>
                <w:lang w:eastAsia="en-GB"/>
              </w:rPr>
              <w:t>ETSI – TS 102 428</w:t>
            </w:r>
          </w:p>
        </w:tc>
      </w:tr>
      <w:tr w:rsidR="00F53945" w:rsidTr="00F53945">
        <w:tc>
          <w:tcPr>
            <w:tcW w:w="2235" w:type="dxa"/>
            <w:vAlign w:val="center"/>
          </w:tcPr>
          <w:p w:rsidR="00F53945" w:rsidRDefault="00F53945" w:rsidP="00F53945">
            <w:pPr>
              <w:rPr>
                <w:rFonts w:ascii="Times New Roman" w:hAnsi="Times New Roman"/>
                <w:sz w:val="24"/>
                <w:lang w:val="en-GB" w:eastAsia="fr-FR"/>
              </w:rPr>
            </w:pPr>
            <w:r>
              <w:t>DAB-IP</w:t>
            </w:r>
          </w:p>
        </w:tc>
        <w:tc>
          <w:tcPr>
            <w:tcW w:w="2976" w:type="dxa"/>
            <w:vAlign w:val="center"/>
          </w:tcPr>
          <w:p w:rsidR="00F53945" w:rsidRDefault="00F53945" w:rsidP="00F53945">
            <w:pPr>
              <w:rPr>
                <w:rFonts w:ascii="Times New Roman" w:hAnsi="Times New Roman"/>
                <w:sz w:val="24"/>
                <w:lang w:val="en-GB" w:eastAsia="fr-FR"/>
              </w:rPr>
            </w:pPr>
            <w:r>
              <w:t>1.7 MHz</w:t>
            </w:r>
          </w:p>
        </w:tc>
        <w:tc>
          <w:tcPr>
            <w:tcW w:w="4111" w:type="dxa"/>
          </w:tcPr>
          <w:p w:rsidR="00F53945" w:rsidRDefault="00F53945" w:rsidP="00F53945">
            <w:pPr>
              <w:autoSpaceDE w:val="0"/>
              <w:autoSpaceDN w:val="0"/>
              <w:adjustRightInd w:val="0"/>
              <w:ind w:left="175"/>
              <w:rPr>
                <w:rFonts w:ascii="Times New Roman" w:hAnsi="Times New Roman"/>
                <w:sz w:val="24"/>
                <w:lang w:val="en-GB" w:eastAsia="en-GB"/>
              </w:rPr>
            </w:pPr>
            <w:r>
              <w:rPr>
                <w:lang w:eastAsia="en-GB"/>
              </w:rPr>
              <w:t>ETSI – EN 300 401</w:t>
            </w:r>
          </w:p>
          <w:p w:rsidR="00F53945" w:rsidRDefault="00F53945" w:rsidP="00F53945">
            <w:pPr>
              <w:ind w:left="175"/>
              <w:rPr>
                <w:rFonts w:ascii="Times New Roman" w:hAnsi="Times New Roman"/>
                <w:sz w:val="24"/>
                <w:lang w:val="en-GB" w:eastAsia="fr-FR"/>
              </w:rPr>
            </w:pPr>
            <w:r>
              <w:rPr>
                <w:lang w:eastAsia="en-GB"/>
              </w:rPr>
              <w:t>ETSI - ES 201 735</w:t>
            </w:r>
          </w:p>
        </w:tc>
      </w:tr>
      <w:tr w:rsidR="00F53945" w:rsidTr="00F53945">
        <w:tc>
          <w:tcPr>
            <w:tcW w:w="2235" w:type="dxa"/>
            <w:vAlign w:val="center"/>
          </w:tcPr>
          <w:p w:rsidR="00F53945" w:rsidRDefault="00F53945" w:rsidP="00F53945">
            <w:pPr>
              <w:spacing w:before="40" w:after="40"/>
              <w:rPr>
                <w:rFonts w:ascii="Times New Roman" w:hAnsi="Times New Roman"/>
                <w:sz w:val="24"/>
                <w:lang w:val="en-GB" w:eastAsia="fr-FR"/>
              </w:rPr>
            </w:pPr>
            <w:r>
              <w:t>SDR</w:t>
            </w:r>
          </w:p>
          <w:p w:rsidR="00F53945" w:rsidRDefault="00F53945" w:rsidP="00F53945">
            <w:pPr>
              <w:rPr>
                <w:rFonts w:ascii="Times New Roman" w:hAnsi="Times New Roman"/>
                <w:sz w:val="24"/>
                <w:lang w:val="en-GB" w:eastAsia="fr-FR"/>
              </w:rPr>
            </w:pPr>
            <w:r>
              <w:t>(terrestrial deployment)</w:t>
            </w:r>
          </w:p>
        </w:tc>
        <w:tc>
          <w:tcPr>
            <w:tcW w:w="2976" w:type="dxa"/>
            <w:vAlign w:val="center"/>
          </w:tcPr>
          <w:p w:rsidR="00F53945" w:rsidRDefault="00F53945" w:rsidP="00F53945">
            <w:pPr>
              <w:rPr>
                <w:rFonts w:ascii="Times New Roman" w:hAnsi="Times New Roman"/>
                <w:sz w:val="24"/>
                <w:lang w:val="en-GB" w:eastAsia="fr-FR"/>
              </w:rPr>
            </w:pPr>
            <w:r>
              <w:t>1.7 MHz</w:t>
            </w:r>
          </w:p>
        </w:tc>
        <w:tc>
          <w:tcPr>
            <w:tcW w:w="4111" w:type="dxa"/>
          </w:tcPr>
          <w:p w:rsidR="00F53945" w:rsidRPr="0083513E" w:rsidRDefault="00F53945" w:rsidP="00F53945">
            <w:pPr>
              <w:spacing w:before="40" w:after="40"/>
              <w:ind w:left="175"/>
              <w:rPr>
                <w:rFonts w:ascii="Times New Roman" w:hAnsi="Times New Roman"/>
                <w:sz w:val="24"/>
                <w:lang w:val="fi-FI" w:eastAsia="en-GB"/>
              </w:rPr>
            </w:pPr>
            <w:r w:rsidRPr="0083513E">
              <w:rPr>
                <w:lang w:val="fi-FI" w:eastAsia="en-GB"/>
              </w:rPr>
              <w:t>ETSI - TR 102</w:t>
            </w:r>
            <w:r>
              <w:rPr>
                <w:lang w:val="fi-FI" w:eastAsia="en-GB"/>
              </w:rPr>
              <w:t> </w:t>
            </w:r>
            <w:r w:rsidRPr="0083513E">
              <w:rPr>
                <w:lang w:val="fi-FI" w:eastAsia="en-GB"/>
              </w:rPr>
              <w:t>525</w:t>
            </w:r>
          </w:p>
          <w:p w:rsidR="00F53945" w:rsidRPr="0083513E" w:rsidRDefault="00F53945" w:rsidP="00F53945">
            <w:pPr>
              <w:spacing w:before="40" w:after="40"/>
              <w:ind w:left="175"/>
              <w:rPr>
                <w:lang w:val="fi-FI" w:eastAsia="en-GB"/>
              </w:rPr>
            </w:pPr>
            <w:r>
              <w:rPr>
                <w:lang w:val="fi-FI" w:eastAsia="en-GB"/>
              </w:rPr>
              <w:t>ETSI - TS 3</w:t>
            </w:r>
            <w:r w:rsidRPr="0083513E">
              <w:rPr>
                <w:lang w:val="fi-FI" w:eastAsia="en-GB"/>
              </w:rPr>
              <w:t>02</w:t>
            </w:r>
            <w:r>
              <w:rPr>
                <w:lang w:val="fi-FI" w:eastAsia="en-GB"/>
              </w:rPr>
              <w:t> </w:t>
            </w:r>
            <w:r w:rsidRPr="0083513E">
              <w:rPr>
                <w:lang w:val="fi-FI" w:eastAsia="en-GB"/>
              </w:rPr>
              <w:t>550</w:t>
            </w:r>
          </w:p>
          <w:p w:rsidR="00F53945" w:rsidRPr="0083513E" w:rsidRDefault="00F53945" w:rsidP="00F53945">
            <w:pPr>
              <w:spacing w:before="40" w:after="40"/>
              <w:ind w:left="175"/>
              <w:rPr>
                <w:lang w:val="fi-FI" w:eastAsia="en-GB"/>
              </w:rPr>
            </w:pPr>
            <w:r>
              <w:rPr>
                <w:lang w:val="fi-FI" w:eastAsia="en-GB"/>
              </w:rPr>
              <w:t>ETSI - TS 3</w:t>
            </w:r>
            <w:r w:rsidRPr="0083513E">
              <w:rPr>
                <w:lang w:val="fi-FI" w:eastAsia="en-GB"/>
              </w:rPr>
              <w:t>02 551-1</w:t>
            </w:r>
          </w:p>
          <w:p w:rsidR="00F53945" w:rsidRDefault="00F53945" w:rsidP="00F53945">
            <w:pPr>
              <w:autoSpaceDE w:val="0"/>
              <w:autoSpaceDN w:val="0"/>
              <w:adjustRightInd w:val="0"/>
              <w:ind w:left="175"/>
              <w:rPr>
                <w:rFonts w:ascii="Times New Roman" w:hAnsi="Times New Roman"/>
                <w:sz w:val="24"/>
                <w:lang w:val="en-GB" w:eastAsia="en-GB"/>
              </w:rPr>
            </w:pPr>
            <w:r>
              <w:rPr>
                <w:lang w:eastAsia="en-GB"/>
              </w:rPr>
              <w:t>ETSI - TS 302 551-2</w:t>
            </w:r>
          </w:p>
        </w:tc>
      </w:tr>
      <w:tr w:rsidR="00F53945" w:rsidTr="00F53945">
        <w:tc>
          <w:tcPr>
            <w:tcW w:w="2235" w:type="dxa"/>
            <w:vAlign w:val="center"/>
          </w:tcPr>
          <w:p w:rsidR="00F53945" w:rsidRDefault="00F53945" w:rsidP="00F53945">
            <w:pPr>
              <w:spacing w:before="40" w:after="40"/>
              <w:rPr>
                <w:rFonts w:ascii="Times New Roman" w:hAnsi="Times New Roman"/>
                <w:sz w:val="24"/>
                <w:lang w:val="en-GB" w:eastAsia="fr-FR"/>
              </w:rPr>
            </w:pPr>
            <w:r>
              <w:t>DVB-H</w:t>
            </w:r>
          </w:p>
        </w:tc>
        <w:tc>
          <w:tcPr>
            <w:tcW w:w="2976" w:type="dxa"/>
            <w:vAlign w:val="center"/>
          </w:tcPr>
          <w:p w:rsidR="00F53945" w:rsidRDefault="00F53945" w:rsidP="00F53945">
            <w:pPr>
              <w:spacing w:before="40" w:after="40"/>
              <w:rPr>
                <w:rFonts w:ascii="Times New Roman" w:hAnsi="Times New Roman"/>
                <w:sz w:val="24"/>
                <w:lang w:val="en-GB" w:eastAsia="fr-FR"/>
              </w:rPr>
            </w:pPr>
            <w:r>
              <w:t>5, 6, 7 or 8 MHz</w:t>
            </w:r>
          </w:p>
        </w:tc>
        <w:tc>
          <w:tcPr>
            <w:tcW w:w="4111" w:type="dxa"/>
          </w:tcPr>
          <w:p w:rsidR="00F53945" w:rsidRDefault="00F53945" w:rsidP="00F53945">
            <w:pPr>
              <w:spacing w:before="40" w:after="40"/>
              <w:ind w:left="175"/>
              <w:rPr>
                <w:rFonts w:ascii="Times New Roman" w:hAnsi="Times New Roman"/>
                <w:sz w:val="24"/>
                <w:lang w:val="en-GB" w:eastAsia="fr-FR"/>
              </w:rPr>
            </w:pPr>
            <w:r>
              <w:rPr>
                <w:lang w:eastAsia="en-GB"/>
              </w:rPr>
              <w:t>ETSI – TR 102 377</w:t>
            </w:r>
          </w:p>
        </w:tc>
      </w:tr>
      <w:tr w:rsidR="00F53945" w:rsidRPr="00755D08" w:rsidTr="00F53945">
        <w:tc>
          <w:tcPr>
            <w:tcW w:w="2235" w:type="dxa"/>
            <w:vAlign w:val="center"/>
          </w:tcPr>
          <w:p w:rsidR="00F53945" w:rsidRPr="0083513E" w:rsidRDefault="00F53945" w:rsidP="00F53945">
            <w:pPr>
              <w:rPr>
                <w:rFonts w:ascii="Times New Roman" w:hAnsi="Times New Roman"/>
                <w:sz w:val="24"/>
                <w:lang w:val="fr-FR" w:eastAsia="fr-FR"/>
              </w:rPr>
            </w:pPr>
            <w:r w:rsidRPr="0083513E">
              <w:rPr>
                <w:lang w:val="fr-FR"/>
              </w:rPr>
              <w:t>DVB-T2 Base</w:t>
            </w:r>
            <w:r>
              <w:rPr>
                <w:lang w:val="fr-FR"/>
              </w:rPr>
              <w:br/>
            </w:r>
            <w:r w:rsidRPr="0083513E">
              <w:rPr>
                <w:lang w:val="fr-FR"/>
              </w:rPr>
              <w:t>DVB-T2 Lite</w:t>
            </w:r>
            <w:r>
              <w:rPr>
                <w:lang w:val="fr-FR"/>
              </w:rPr>
              <w:br/>
            </w:r>
            <w:r w:rsidRPr="0083513E">
              <w:rPr>
                <w:lang w:val="fr-FR"/>
              </w:rPr>
              <w:t>DVB-T2 xxx</w:t>
            </w:r>
          </w:p>
        </w:tc>
        <w:tc>
          <w:tcPr>
            <w:tcW w:w="2976" w:type="dxa"/>
            <w:vAlign w:val="center"/>
          </w:tcPr>
          <w:p w:rsidR="00F53945" w:rsidRDefault="00F53945" w:rsidP="00F53945">
            <w:pPr>
              <w:rPr>
                <w:rFonts w:ascii="Times New Roman" w:hAnsi="Times New Roman"/>
                <w:sz w:val="24"/>
                <w:lang w:val="en-GB" w:eastAsia="fr-FR"/>
              </w:rPr>
            </w:pPr>
            <w:r>
              <w:t>1.7, 5, 6, 7, 8 and 10 MHz</w:t>
            </w:r>
          </w:p>
        </w:tc>
        <w:tc>
          <w:tcPr>
            <w:tcW w:w="4111" w:type="dxa"/>
          </w:tcPr>
          <w:p w:rsidR="00F53945" w:rsidRPr="0083513E" w:rsidRDefault="00F53945" w:rsidP="00F53945">
            <w:pPr>
              <w:autoSpaceDE w:val="0"/>
              <w:autoSpaceDN w:val="0"/>
              <w:adjustRightInd w:val="0"/>
              <w:ind w:left="175"/>
              <w:rPr>
                <w:rFonts w:ascii="Times New Roman" w:hAnsi="Times New Roman"/>
                <w:sz w:val="24"/>
                <w:lang w:val="fi-FI" w:eastAsia="fr-FR"/>
              </w:rPr>
            </w:pPr>
            <w:r w:rsidRPr="0083513E">
              <w:rPr>
                <w:lang w:val="fi-FI"/>
              </w:rPr>
              <w:t xml:space="preserve">ETSI </w:t>
            </w:r>
            <w:r>
              <w:rPr>
                <w:lang w:val="fi-FI" w:eastAsia="en-GB"/>
              </w:rPr>
              <w:t>–</w:t>
            </w:r>
            <w:r w:rsidRPr="0083513E">
              <w:rPr>
                <w:lang w:val="fi-FI" w:eastAsia="en-GB"/>
              </w:rPr>
              <w:t xml:space="preserve"> </w:t>
            </w:r>
            <w:r w:rsidRPr="0083513E">
              <w:rPr>
                <w:lang w:val="fi-FI"/>
              </w:rPr>
              <w:t>TR 102 831</w:t>
            </w:r>
          </w:p>
          <w:p w:rsidR="00F53945" w:rsidRPr="0083513E" w:rsidRDefault="00F53945" w:rsidP="00F53945">
            <w:pPr>
              <w:autoSpaceDE w:val="0"/>
              <w:autoSpaceDN w:val="0"/>
              <w:adjustRightInd w:val="0"/>
              <w:ind w:left="175"/>
              <w:rPr>
                <w:lang w:val="fi-FI"/>
              </w:rPr>
            </w:pPr>
            <w:r w:rsidRPr="0083513E">
              <w:rPr>
                <w:lang w:val="fi-FI"/>
              </w:rPr>
              <w:t xml:space="preserve">ETSI </w:t>
            </w:r>
            <w:r>
              <w:rPr>
                <w:lang w:val="fi-FI" w:eastAsia="en-GB"/>
              </w:rPr>
              <w:t>–</w:t>
            </w:r>
            <w:r w:rsidRPr="0083513E">
              <w:rPr>
                <w:lang w:val="fi-FI"/>
              </w:rPr>
              <w:t xml:space="preserve"> EN 302 755</w:t>
            </w:r>
          </w:p>
          <w:p w:rsidR="00F53945" w:rsidRPr="0083513E" w:rsidRDefault="00F53945" w:rsidP="00F53945">
            <w:pPr>
              <w:autoSpaceDE w:val="0"/>
              <w:autoSpaceDN w:val="0"/>
              <w:adjustRightInd w:val="0"/>
              <w:ind w:left="175"/>
              <w:rPr>
                <w:rFonts w:ascii="Times New Roman" w:hAnsi="Times New Roman"/>
                <w:sz w:val="24"/>
                <w:lang w:val="fi-FI" w:eastAsia="en-GB"/>
              </w:rPr>
            </w:pPr>
            <w:r w:rsidRPr="0083513E">
              <w:rPr>
                <w:lang w:val="fi-FI"/>
              </w:rPr>
              <w:t xml:space="preserve">ETSI </w:t>
            </w:r>
            <w:r>
              <w:rPr>
                <w:lang w:val="fi-FI" w:eastAsia="en-GB"/>
              </w:rPr>
              <w:t>–</w:t>
            </w:r>
            <w:r w:rsidRPr="0083513E">
              <w:rPr>
                <w:lang w:val="fi-FI"/>
              </w:rPr>
              <w:t xml:space="preserve"> EN 300 744</w:t>
            </w:r>
          </w:p>
        </w:tc>
      </w:tr>
      <w:tr w:rsidR="00F53945" w:rsidTr="00F53945">
        <w:tc>
          <w:tcPr>
            <w:tcW w:w="2235" w:type="dxa"/>
            <w:vAlign w:val="center"/>
          </w:tcPr>
          <w:p w:rsidR="00F53945" w:rsidRDefault="00F53945" w:rsidP="00F53945">
            <w:pPr>
              <w:rPr>
                <w:rFonts w:ascii="Times New Roman" w:hAnsi="Times New Roman"/>
                <w:sz w:val="24"/>
                <w:lang w:val="en-GB" w:eastAsia="fr-FR"/>
              </w:rPr>
            </w:pPr>
            <w:r>
              <w:t>DVB-SH</w:t>
            </w:r>
            <w:r>
              <w:br/>
              <w:t>(terrestrial component)</w:t>
            </w:r>
          </w:p>
        </w:tc>
        <w:tc>
          <w:tcPr>
            <w:tcW w:w="2976" w:type="dxa"/>
            <w:vAlign w:val="center"/>
          </w:tcPr>
          <w:p w:rsidR="00F53945" w:rsidRDefault="00F53945" w:rsidP="00F53945">
            <w:pPr>
              <w:rPr>
                <w:rFonts w:ascii="Times New Roman" w:hAnsi="Times New Roman"/>
                <w:sz w:val="24"/>
                <w:lang w:val="en-GB" w:eastAsia="fr-FR"/>
              </w:rPr>
            </w:pPr>
            <w:r>
              <w:t>1.7, 5, 6, 7, 8 and 10 MHz</w:t>
            </w:r>
          </w:p>
        </w:tc>
        <w:tc>
          <w:tcPr>
            <w:tcW w:w="4111" w:type="dxa"/>
          </w:tcPr>
          <w:p w:rsidR="00F53945" w:rsidRDefault="00F53945" w:rsidP="00F53945">
            <w:pPr>
              <w:autoSpaceDE w:val="0"/>
              <w:autoSpaceDN w:val="0"/>
              <w:adjustRightInd w:val="0"/>
              <w:ind w:left="175"/>
              <w:rPr>
                <w:rFonts w:ascii="Times New Roman" w:hAnsi="Times New Roman"/>
                <w:sz w:val="24"/>
                <w:lang w:val="en-GB" w:eastAsia="fr-FR"/>
              </w:rPr>
            </w:pPr>
            <w:r>
              <w:t>ETSI – EN 302 583</w:t>
            </w:r>
          </w:p>
          <w:p w:rsidR="00F53945" w:rsidRDefault="00F53945" w:rsidP="00F53945">
            <w:pPr>
              <w:autoSpaceDE w:val="0"/>
              <w:autoSpaceDN w:val="0"/>
              <w:adjustRightInd w:val="0"/>
              <w:ind w:left="175"/>
              <w:rPr>
                <w:rFonts w:ascii="Times New Roman" w:hAnsi="Times New Roman"/>
                <w:sz w:val="24"/>
                <w:lang w:val="en-GB" w:eastAsia="fr-FR"/>
              </w:rPr>
            </w:pPr>
            <w:r>
              <w:t>ETSI – TS 102 594</w:t>
            </w:r>
          </w:p>
        </w:tc>
      </w:tr>
    </w:tbl>
    <w:p w:rsidR="00F53945" w:rsidRDefault="00F53945" w:rsidP="00F53945">
      <w:pPr>
        <w:rPr>
          <w:i/>
        </w:rPr>
      </w:pPr>
    </w:p>
    <w:p w:rsidR="00F53945" w:rsidRPr="009644B7" w:rsidRDefault="00F53945" w:rsidP="00F53945">
      <w:r w:rsidRPr="00452193">
        <w:t xml:space="preserve">Further information about terrestrial broadcasting standards can be found in Annex </w:t>
      </w:r>
      <w:r w:rsidRPr="0051764C">
        <w:t>5</w:t>
      </w:r>
      <w:r w:rsidRPr="00452193">
        <w:t>.</w:t>
      </w:r>
    </w:p>
    <w:p w:rsidR="00F53945" w:rsidRDefault="00F53945" w:rsidP="00F53945">
      <w:pPr>
        <w:pStyle w:val="Titre3"/>
      </w:pPr>
      <w:bookmarkStart w:id="8" w:name="_Toc321318102"/>
      <w:r w:rsidRPr="00EF40DE">
        <w:t>Justification</w:t>
      </w:r>
      <w:bookmarkEnd w:id="8"/>
    </w:p>
    <w:p w:rsidR="00F53945" w:rsidRDefault="00F53945" w:rsidP="00F53945">
      <w:pPr>
        <w:pStyle w:val="ECCParagraph"/>
      </w:pPr>
      <w:r>
        <w:t>Demand for terrestrial broadcasting services both radio and TV is growing in most countries in CEPT. It is reflected in a growing number of radio and TV channels that have come on-air in the recent years</w:t>
      </w:r>
      <w:r>
        <w:rPr>
          <w:rStyle w:val="Appelnotedebasdep"/>
        </w:rPr>
        <w:footnoteReference w:id="1"/>
      </w:r>
      <w:r>
        <w:t xml:space="preserve"> and in a growing viewing and listening time. In additional to national and international services there is an increasing demand for local broadcasting, in particular for local radio programmes.</w:t>
      </w:r>
    </w:p>
    <w:p w:rsidR="00F53945" w:rsidRDefault="00F53945" w:rsidP="00F53945">
      <w:pPr>
        <w:pStyle w:val="ECCParagraph"/>
      </w:pPr>
      <w:r>
        <w:t>While the FM radio is still the most popular radio platform the capacity limits of band II have been reached in many countries and this constrains further developments. Digital radio has been introduced in a number of countries in the VHF band III. However, this band may not be available in all countries and/or may not be sufficient to satisfy the future requirements, in particular for local radio services. This is why the L-band is important for the future development of digital radio in some countries.</w:t>
      </w:r>
    </w:p>
    <w:p w:rsidR="00F53945" w:rsidRDefault="00F53945" w:rsidP="00F53945">
      <w:pPr>
        <w:pStyle w:val="ECCParagraph"/>
      </w:pPr>
      <w:r w:rsidRPr="0083513E">
        <w:t>The L-band will also facilitate the delivery of advanced multimedia services which are provided to the consumers in addition to the traditional radio and TV programmes</w:t>
      </w:r>
      <w:r>
        <w:t>.</w:t>
      </w:r>
    </w:p>
    <w:p w:rsidR="00F53945" w:rsidRDefault="00F53945" w:rsidP="00F53945">
      <w:pPr>
        <w:pStyle w:val="ECCParagraph"/>
      </w:pPr>
      <w:r>
        <w:t xml:space="preserve">Furthermore, there is a growing market demand for non-linear broadcasting services, both audio and video (e.g. time-shifted, personalized, on-demand, interactive and second screen services). L-Band is well suited for the provision of such non-linear services, in particular if terrestrial broadcasting is combined with wireless broadband technologies. </w:t>
      </w:r>
    </w:p>
    <w:p w:rsidR="00F53945" w:rsidRPr="00B62DC7" w:rsidRDefault="00F53945" w:rsidP="00F53945">
      <w:pPr>
        <w:pStyle w:val="ECCParagraph"/>
      </w:pPr>
      <w:r>
        <w:t xml:space="preserve">Joint initiatives </w:t>
      </w:r>
      <w:r w:rsidRPr="00B62DC7">
        <w:t>between broadcasting and mobile industries are emerging that would enable further convergence in order to enable the full range of broadcasting and multimedia services in the future. The L-band offers an opportunity for implementation of such innovative approaches.</w:t>
      </w:r>
    </w:p>
    <w:p w:rsidR="00F53945" w:rsidRDefault="00F53945" w:rsidP="00F53945">
      <w:pPr>
        <w:pStyle w:val="ECCParagraph"/>
      </w:pPr>
      <w:r w:rsidRPr="00B62DC7">
        <w:t>Finally, demand has been expressed for the deployment of the subscription-based radio services in the L-band</w:t>
      </w:r>
      <w:r>
        <w:t xml:space="preserve"> on the basis of the above mentioned SDR specification</w:t>
      </w:r>
      <w:r w:rsidRPr="00B62DC7">
        <w:t xml:space="preserve">. </w:t>
      </w:r>
      <w:r>
        <w:t xml:space="preserve">Implementation </w:t>
      </w:r>
      <w:r w:rsidRPr="00B62DC7">
        <w:t xml:space="preserve">in </w:t>
      </w:r>
      <w:smartTag w:uri="urn:schemas-microsoft-com:office:smarttags" w:element="place">
        <w:r w:rsidRPr="00B62DC7">
          <w:t>Europe</w:t>
        </w:r>
      </w:smartTag>
      <w:r w:rsidRPr="00B62DC7">
        <w:t xml:space="preserve"> would require taking into account the variety of languages, cultural specificities and different coverage that compose the European countries. In this respect, the L band is adequate (see also section 4.1) to </w:t>
      </w:r>
      <w:r w:rsidRPr="00B62DC7">
        <w:lastRenderedPageBreak/>
        <w:t xml:space="preserve">anchor the deployment of national, independent subscription radio services. For instance, the existing regulation offers an option for any country to deploy subscription services according to individual needs, if and when required. This, in turn, would provide scope for further economies of scale through a harmonised use in </w:t>
      </w:r>
      <w:smartTag w:uri="urn:schemas-microsoft-com:office:smarttags" w:element="place">
        <w:r w:rsidRPr="00B62DC7">
          <w:t>Europe</w:t>
        </w:r>
      </w:smartTag>
      <w:r w:rsidRPr="00B62DC7">
        <w:t xml:space="preserve"> and for convergence with other services (notably with free-to-air radio</w:t>
      </w:r>
      <w:r>
        <w:t>).</w:t>
      </w:r>
    </w:p>
    <w:p w:rsidR="00F53945" w:rsidRDefault="00F53945" w:rsidP="00F53945">
      <w:pPr>
        <w:pStyle w:val="ECCParagraph"/>
      </w:pPr>
      <w:r>
        <w:t xml:space="preserve">It should be noted that broadcasting services in L-band have already been implemented in some European countries (see section 1.2.1 and Annex </w:t>
      </w:r>
      <w:r w:rsidRPr="00366DD6">
        <w:t>3</w:t>
      </w:r>
      <w:r>
        <w:t>).</w:t>
      </w:r>
    </w:p>
    <w:p w:rsidR="00F53945" w:rsidRDefault="00F53945" w:rsidP="00F53945">
      <w:pPr>
        <w:pStyle w:val="Titre3"/>
      </w:pPr>
      <w:bookmarkStart w:id="9" w:name="_Toc321318103"/>
      <w:r>
        <w:t>Spectrum requirements</w:t>
      </w:r>
      <w:bookmarkEnd w:id="9"/>
    </w:p>
    <w:p w:rsidR="00F53945" w:rsidRDefault="00F53945" w:rsidP="00F53945">
      <w:pPr>
        <w:pStyle w:val="ECCParagraph"/>
        <w:spacing w:after="0"/>
      </w:pPr>
      <w:r>
        <w:t xml:space="preserve">The spectrum requirement for terrestrial broadcasting applications is </w:t>
      </w:r>
      <w:r w:rsidRPr="00765E18">
        <w:t xml:space="preserve">the frequency band 1452-1479.5 MHz </w:t>
      </w:r>
      <w:r>
        <w:t xml:space="preserve">which </w:t>
      </w:r>
      <w:r w:rsidRPr="00765E18">
        <w:t>allows terrestrial broadcasting to be implemented in those countries where market demand</w:t>
      </w:r>
      <w:r>
        <w:t xml:space="preserve"> </w:t>
      </w:r>
      <w:r w:rsidRPr="00860B7E">
        <w:t>exists.</w:t>
      </w:r>
    </w:p>
    <w:p w:rsidR="00F53945" w:rsidRDefault="00F53945" w:rsidP="00F53945">
      <w:pPr>
        <w:pStyle w:val="Titre2"/>
      </w:pPr>
      <w:r w:rsidRPr="00F53945">
        <w:t>application two: Mobile broadband</w:t>
      </w:r>
    </w:p>
    <w:p w:rsidR="00F53945" w:rsidRDefault="00F53945" w:rsidP="00F53945">
      <w:pPr>
        <w:pStyle w:val="Titre3"/>
      </w:pPr>
      <w:bookmarkStart w:id="10" w:name="_Toc321318105"/>
      <w:r>
        <w:t>Description</w:t>
      </w:r>
      <w:bookmarkEnd w:id="10"/>
    </w:p>
    <w:p w:rsidR="00F53945" w:rsidRDefault="00F53945" w:rsidP="00F53945">
      <w:pPr>
        <w:pStyle w:val="ECCParagraph"/>
      </w:pPr>
      <w:r>
        <w:t xml:space="preserve">Mobile broadband is a terrestrial </w:t>
      </w:r>
      <w:proofErr w:type="spellStart"/>
      <w:r>
        <w:t>radiocommunication</w:t>
      </w:r>
      <w:proofErr w:type="spellEnd"/>
      <w:r>
        <w:t xml:space="preserve"> system that, by means of connected base stations and mobile station devices, is able of communicating in mobile situations in one or two directions providing various services and applications to end users, including mobile internet, e-entertainment, e-education, e-health and e-learning.</w:t>
      </w:r>
    </w:p>
    <w:p w:rsidR="00F53945" w:rsidRDefault="00F53945" w:rsidP="00F53945">
      <w:pPr>
        <w:pStyle w:val="ECCParagraph"/>
      </w:pPr>
      <w:r>
        <w:t xml:space="preserve">The trend in consumer devices with smartphones, tablets and dongles has changed the user behaviour in such a way that the traffic is becoming more IP based and asymmetric in terms of download and upload ratio. Users download more data than they upload. Current spectrum allocations are usually symmetrical for the mobile broadband platform. </w:t>
      </w:r>
    </w:p>
    <w:p w:rsidR="00F53945" w:rsidRDefault="00F53945" w:rsidP="00F53945">
      <w:pPr>
        <w:pStyle w:val="ECCParagraph"/>
      </w:pPr>
      <w:r>
        <w:t xml:space="preserve">Mobile broadband applications could be provided by either FDD (frequency division duplex) with in-band or out-band pairing or TDD (time division duplex) systems. </w:t>
      </w:r>
      <w:r w:rsidRPr="00661904">
        <w:t>In case of FDD systems the maximum of 40 MHz potentially available in the L-band is considered not to be sufficient for a viable eco-system for in-band pairing.</w:t>
      </w:r>
    </w:p>
    <w:p w:rsidR="00F53945" w:rsidRDefault="00F53945" w:rsidP="00F53945">
      <w:pPr>
        <w:pStyle w:val="ECCParagraph"/>
      </w:pPr>
      <w:r>
        <w:t xml:space="preserve">Some examples of mobile broadband systems and their required bandwidths are provided in the table below. Which technology route to take will depend on a variety of factors depending on the operator, the availability of alternative spectrum, geography, demography and local </w:t>
      </w:r>
      <w:proofErr w:type="gramStart"/>
      <w:r>
        <w:t>conditions.</w:t>
      </w:r>
      <w:proofErr w:type="gramEnd"/>
    </w:p>
    <w:p w:rsidR="00F53945" w:rsidRDefault="00F53945" w:rsidP="00F53945">
      <w:pPr>
        <w:pStyle w:val="Lgende"/>
      </w:pPr>
      <w:bookmarkStart w:id="11" w:name="_Ref310935257"/>
      <w:r>
        <w:t xml:space="preserve">Table </w:t>
      </w:r>
      <w:r>
        <w:fldChar w:fldCharType="begin"/>
      </w:r>
      <w:r>
        <w:instrText xml:space="preserve"> SEQ Table \* ARABIC </w:instrText>
      </w:r>
      <w:r>
        <w:fldChar w:fldCharType="separate"/>
      </w:r>
      <w:r>
        <w:rPr>
          <w:noProof/>
        </w:rPr>
        <w:t>2</w:t>
      </w:r>
      <w:r>
        <w:rPr>
          <w:noProof/>
        </w:rPr>
        <w:fldChar w:fldCharType="end"/>
      </w:r>
      <w:r>
        <w:t xml:space="preserve">: </w:t>
      </w:r>
      <w:r w:rsidRPr="00CC38D6">
        <w:t xml:space="preserve">Examples of mobile broadband </w:t>
      </w:r>
      <w:bookmarkEnd w:id="11"/>
      <w:r>
        <w:t>standards</w:t>
      </w:r>
    </w:p>
    <w:tbl>
      <w:tblPr>
        <w:tblW w:w="9322"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Grid>
        <w:gridCol w:w="2235"/>
        <w:gridCol w:w="2976"/>
        <w:gridCol w:w="4111"/>
      </w:tblGrid>
      <w:tr w:rsidR="00F53945" w:rsidTr="00F53945">
        <w:trPr>
          <w:tblHeader/>
        </w:trPr>
        <w:tc>
          <w:tcPr>
            <w:tcW w:w="2235" w:type="dxa"/>
            <w:tcBorders>
              <w:right w:val="single" w:sz="8" w:space="0" w:color="FFFFFF"/>
            </w:tcBorders>
            <w:shd w:val="clear" w:color="auto" w:fill="D2232A"/>
            <w:vAlign w:val="center"/>
          </w:tcPr>
          <w:p w:rsidR="00F53945" w:rsidRPr="009D5834" w:rsidRDefault="00F53945" w:rsidP="00F53945">
            <w:pPr>
              <w:spacing w:line="288" w:lineRule="auto"/>
              <w:jc w:val="center"/>
              <w:rPr>
                <w:rFonts w:cs="Arial"/>
                <w:b/>
                <w:color w:val="FFFFFF"/>
              </w:rPr>
            </w:pPr>
            <w:r>
              <w:rPr>
                <w:rFonts w:cs="Arial"/>
                <w:b/>
                <w:color w:val="FFFFFF"/>
              </w:rPr>
              <w:t>Standard</w:t>
            </w:r>
          </w:p>
        </w:tc>
        <w:tc>
          <w:tcPr>
            <w:tcW w:w="2976" w:type="dxa"/>
            <w:tcBorders>
              <w:left w:val="single" w:sz="8" w:space="0" w:color="FFFFFF"/>
              <w:right w:val="single" w:sz="8" w:space="0" w:color="FFFFFF"/>
            </w:tcBorders>
            <w:shd w:val="clear" w:color="auto" w:fill="D2232A"/>
            <w:vAlign w:val="center"/>
          </w:tcPr>
          <w:p w:rsidR="00F53945" w:rsidRPr="00FE1795" w:rsidRDefault="00F53945" w:rsidP="00F53945">
            <w:pPr>
              <w:spacing w:line="288" w:lineRule="auto"/>
              <w:jc w:val="center"/>
              <w:rPr>
                <w:b/>
                <w:color w:val="FFFFFF"/>
              </w:rPr>
            </w:pPr>
            <w:r w:rsidRPr="003F5278">
              <w:rPr>
                <w:b/>
                <w:color w:val="FFFFFF"/>
              </w:rPr>
              <w:t>Required block/channel bandwidth</w:t>
            </w:r>
            <w:r>
              <w:rPr>
                <w:b/>
                <w:color w:val="FFFFFF"/>
              </w:rPr>
              <w:t xml:space="preserve"> </w:t>
            </w:r>
          </w:p>
        </w:tc>
        <w:tc>
          <w:tcPr>
            <w:tcW w:w="4111" w:type="dxa"/>
            <w:tcBorders>
              <w:left w:val="single" w:sz="8" w:space="0" w:color="FFFFFF"/>
            </w:tcBorders>
            <w:shd w:val="clear" w:color="auto" w:fill="D2232A"/>
            <w:vAlign w:val="center"/>
          </w:tcPr>
          <w:p w:rsidR="00F53945" w:rsidRPr="00FE1795" w:rsidRDefault="00F53945" w:rsidP="00F53945">
            <w:pPr>
              <w:spacing w:line="288" w:lineRule="auto"/>
              <w:jc w:val="center"/>
              <w:rPr>
                <w:b/>
                <w:color w:val="FFFFFF"/>
              </w:rPr>
            </w:pPr>
            <w:r w:rsidRPr="003F5278">
              <w:rPr>
                <w:b/>
                <w:color w:val="FFFFFF"/>
              </w:rPr>
              <w:t xml:space="preserve">Related </w:t>
            </w:r>
            <w:r>
              <w:rPr>
                <w:b/>
                <w:color w:val="FFFFFF"/>
              </w:rPr>
              <w:t>specifications</w:t>
            </w:r>
          </w:p>
        </w:tc>
      </w:tr>
      <w:tr w:rsidR="00F53945" w:rsidRPr="00EC7001" w:rsidTr="00F53945">
        <w:tc>
          <w:tcPr>
            <w:tcW w:w="2235" w:type="dxa"/>
            <w:vAlign w:val="center"/>
          </w:tcPr>
          <w:p w:rsidR="00F53945" w:rsidRPr="00571E2C" w:rsidRDefault="00F53945" w:rsidP="00F53945">
            <w:pPr>
              <w:rPr>
                <w:rFonts w:cs="Arial"/>
                <w:szCs w:val="20"/>
              </w:rPr>
            </w:pPr>
            <w:r w:rsidRPr="00571E2C">
              <w:rPr>
                <w:rFonts w:cs="Arial"/>
                <w:szCs w:val="20"/>
              </w:rPr>
              <w:t>UMTS/HSPA+</w:t>
            </w:r>
          </w:p>
        </w:tc>
        <w:tc>
          <w:tcPr>
            <w:tcW w:w="2976" w:type="dxa"/>
          </w:tcPr>
          <w:p w:rsidR="00F53945" w:rsidRPr="00571E2C" w:rsidRDefault="00F53945" w:rsidP="00F53945">
            <w:pPr>
              <w:rPr>
                <w:rFonts w:cs="Arial"/>
                <w:szCs w:val="20"/>
              </w:rPr>
            </w:pPr>
            <w:r w:rsidRPr="00571E2C">
              <w:rPr>
                <w:rFonts w:cs="Arial"/>
                <w:szCs w:val="20"/>
              </w:rPr>
              <w:t>5,</w:t>
            </w:r>
            <w:r>
              <w:rPr>
                <w:rFonts w:cs="Arial"/>
                <w:szCs w:val="20"/>
              </w:rPr>
              <w:t xml:space="preserve"> </w:t>
            </w:r>
            <w:r w:rsidRPr="00571E2C">
              <w:rPr>
                <w:rFonts w:cs="Arial"/>
                <w:szCs w:val="20"/>
              </w:rPr>
              <w:t xml:space="preserve">10 MHz </w:t>
            </w:r>
            <w:r w:rsidRPr="00571E2C">
              <w:rPr>
                <w:rFonts w:cs="Arial"/>
                <w:szCs w:val="20"/>
              </w:rPr>
              <w:br/>
              <w:t>(in-band carrier aggregation)</w:t>
            </w:r>
          </w:p>
        </w:tc>
        <w:tc>
          <w:tcPr>
            <w:tcW w:w="4111" w:type="dxa"/>
            <w:vAlign w:val="center"/>
          </w:tcPr>
          <w:p w:rsidR="00F53945" w:rsidRPr="00EC7001" w:rsidRDefault="00F53945" w:rsidP="00F53945">
            <w:pPr>
              <w:autoSpaceDE w:val="0"/>
              <w:autoSpaceDN w:val="0"/>
              <w:adjustRightInd w:val="0"/>
              <w:rPr>
                <w:rFonts w:cs="Arial"/>
                <w:szCs w:val="20"/>
                <w:lang w:eastAsia="en-GB"/>
              </w:rPr>
            </w:pPr>
            <w:r w:rsidRPr="00571E2C">
              <w:rPr>
                <w:rFonts w:cs="Arial"/>
                <w:szCs w:val="20"/>
                <w:lang w:val="en-GB" w:eastAsia="en-GB"/>
              </w:rPr>
              <w:t>3GPP Release 6 to 8</w:t>
            </w:r>
          </w:p>
        </w:tc>
      </w:tr>
      <w:tr w:rsidR="00F53945" w:rsidTr="00F53945">
        <w:tc>
          <w:tcPr>
            <w:tcW w:w="2235" w:type="dxa"/>
            <w:vAlign w:val="center"/>
          </w:tcPr>
          <w:p w:rsidR="00F53945" w:rsidRPr="00571E2C" w:rsidRDefault="00F53945" w:rsidP="00F53945">
            <w:pPr>
              <w:rPr>
                <w:rFonts w:cs="Arial"/>
                <w:szCs w:val="20"/>
              </w:rPr>
            </w:pPr>
            <w:r w:rsidRPr="00571E2C">
              <w:rPr>
                <w:rFonts w:cs="Arial"/>
                <w:szCs w:val="20"/>
                <w:lang w:val="en-GB"/>
              </w:rPr>
              <w:t>LTE</w:t>
            </w:r>
          </w:p>
        </w:tc>
        <w:tc>
          <w:tcPr>
            <w:tcW w:w="2976" w:type="dxa"/>
          </w:tcPr>
          <w:p w:rsidR="00F53945" w:rsidRPr="00571E2C" w:rsidRDefault="00F53945" w:rsidP="00F53945">
            <w:pPr>
              <w:rPr>
                <w:rFonts w:cs="Arial"/>
                <w:szCs w:val="20"/>
              </w:rPr>
            </w:pPr>
            <w:r w:rsidRPr="00571E2C">
              <w:rPr>
                <w:rFonts w:cs="Arial"/>
                <w:szCs w:val="20"/>
                <w:lang w:val="en-GB"/>
              </w:rPr>
              <w:t>5, 10</w:t>
            </w:r>
            <w:r w:rsidRPr="00571E2C">
              <w:rPr>
                <w:rFonts w:cs="Arial"/>
                <w:szCs w:val="20"/>
              </w:rPr>
              <w:t>, 15</w:t>
            </w:r>
            <w:r w:rsidRPr="00571E2C">
              <w:rPr>
                <w:rFonts w:cs="Arial"/>
                <w:szCs w:val="20"/>
                <w:lang w:val="en-GB"/>
              </w:rPr>
              <w:t xml:space="preserve"> and 20 MHz</w:t>
            </w:r>
          </w:p>
        </w:tc>
        <w:tc>
          <w:tcPr>
            <w:tcW w:w="4111" w:type="dxa"/>
            <w:vAlign w:val="center"/>
          </w:tcPr>
          <w:p w:rsidR="00F53945" w:rsidRDefault="00F53945" w:rsidP="00F53945">
            <w:pPr>
              <w:autoSpaceDE w:val="0"/>
              <w:autoSpaceDN w:val="0"/>
              <w:adjustRightInd w:val="0"/>
              <w:rPr>
                <w:rFonts w:cs="Arial"/>
                <w:szCs w:val="20"/>
                <w:lang w:eastAsia="en-GB"/>
              </w:rPr>
            </w:pPr>
            <w:r w:rsidRPr="00571E2C">
              <w:rPr>
                <w:rFonts w:cs="Arial"/>
                <w:szCs w:val="20"/>
                <w:lang w:val="en-GB" w:eastAsia="en-GB"/>
              </w:rPr>
              <w:t>3GPP Release 8 and 9</w:t>
            </w:r>
          </w:p>
        </w:tc>
      </w:tr>
      <w:tr w:rsidR="00F53945" w:rsidTr="00F53945">
        <w:tc>
          <w:tcPr>
            <w:tcW w:w="2235" w:type="dxa"/>
            <w:vAlign w:val="center"/>
          </w:tcPr>
          <w:p w:rsidR="00F53945" w:rsidRDefault="00F53945" w:rsidP="00F53945">
            <w:pPr>
              <w:rPr>
                <w:rFonts w:ascii="Times New Roman" w:hAnsi="Times New Roman" w:cs="Arial"/>
                <w:sz w:val="24"/>
                <w:szCs w:val="20"/>
                <w:lang w:val="en-GB" w:eastAsia="fr-FR"/>
              </w:rPr>
            </w:pPr>
            <w:r>
              <w:rPr>
                <w:rFonts w:cs="Arial"/>
                <w:szCs w:val="20"/>
              </w:rPr>
              <w:t>UMTS/HSPA+</w:t>
            </w:r>
          </w:p>
        </w:tc>
        <w:tc>
          <w:tcPr>
            <w:tcW w:w="2976" w:type="dxa"/>
          </w:tcPr>
          <w:p w:rsidR="00F53945" w:rsidRDefault="00F53945" w:rsidP="00F53945">
            <w:pPr>
              <w:rPr>
                <w:rFonts w:ascii="Times New Roman" w:hAnsi="Times New Roman" w:cs="Arial"/>
                <w:sz w:val="24"/>
                <w:szCs w:val="20"/>
                <w:lang w:val="en-GB" w:eastAsia="fr-FR"/>
              </w:rPr>
            </w:pPr>
            <w:r>
              <w:rPr>
                <w:rFonts w:cs="Arial"/>
                <w:szCs w:val="20"/>
              </w:rPr>
              <w:t xml:space="preserve">5,10, 15, 20 MHz </w:t>
            </w:r>
            <w:r>
              <w:rPr>
                <w:rFonts w:cs="Arial"/>
                <w:szCs w:val="20"/>
              </w:rPr>
              <w:br/>
              <w:t>(carrier aggregation across bands)</w:t>
            </w:r>
          </w:p>
        </w:tc>
        <w:tc>
          <w:tcPr>
            <w:tcW w:w="4111" w:type="dxa"/>
            <w:vAlign w:val="center"/>
          </w:tcPr>
          <w:p w:rsidR="00F53945" w:rsidRPr="00EC7001" w:rsidRDefault="00F53945" w:rsidP="00F53945">
            <w:pPr>
              <w:autoSpaceDE w:val="0"/>
              <w:autoSpaceDN w:val="0"/>
              <w:adjustRightInd w:val="0"/>
              <w:rPr>
                <w:rFonts w:ascii="Times New Roman" w:hAnsi="Times New Roman" w:cs="Arial"/>
                <w:sz w:val="24"/>
                <w:szCs w:val="20"/>
                <w:lang w:val="en-GB" w:eastAsia="en-GB"/>
              </w:rPr>
            </w:pPr>
            <w:r w:rsidRPr="00571E2C">
              <w:rPr>
                <w:rFonts w:cs="Arial"/>
                <w:szCs w:val="20"/>
                <w:lang w:eastAsia="en-GB"/>
              </w:rPr>
              <w:t>3GPP Release 9</w:t>
            </w:r>
            <w:r w:rsidRPr="00571E2C">
              <w:rPr>
                <w:rFonts w:cs="Arial"/>
                <w:szCs w:val="20"/>
                <w:lang w:val="en-GB" w:eastAsia="en-GB"/>
              </w:rPr>
              <w:t xml:space="preserve">, </w:t>
            </w:r>
            <w:r w:rsidRPr="00571E2C">
              <w:rPr>
                <w:rFonts w:cs="Arial"/>
                <w:szCs w:val="20"/>
                <w:lang w:eastAsia="en-GB"/>
              </w:rPr>
              <w:t xml:space="preserve">10 </w:t>
            </w:r>
            <w:r w:rsidRPr="00571E2C">
              <w:rPr>
                <w:rFonts w:cs="Arial"/>
                <w:szCs w:val="20"/>
                <w:lang w:val="en-GB" w:eastAsia="en-GB"/>
              </w:rPr>
              <w:t>and beyond</w:t>
            </w:r>
          </w:p>
        </w:tc>
      </w:tr>
      <w:tr w:rsidR="00F53945" w:rsidTr="00F53945">
        <w:tc>
          <w:tcPr>
            <w:tcW w:w="2235" w:type="dxa"/>
            <w:vAlign w:val="center"/>
          </w:tcPr>
          <w:p w:rsidR="00F53945" w:rsidRDefault="00F53945" w:rsidP="00F53945">
            <w:pPr>
              <w:rPr>
                <w:rFonts w:ascii="Times New Roman" w:hAnsi="Times New Roman" w:cs="Arial"/>
                <w:sz w:val="24"/>
                <w:szCs w:val="20"/>
                <w:lang w:val="en-GB" w:eastAsia="fr-FR"/>
              </w:rPr>
            </w:pPr>
            <w:r>
              <w:rPr>
                <w:rFonts w:cs="Arial"/>
                <w:szCs w:val="20"/>
              </w:rPr>
              <w:t>LTE-Advanced</w:t>
            </w:r>
          </w:p>
        </w:tc>
        <w:tc>
          <w:tcPr>
            <w:tcW w:w="2976" w:type="dxa"/>
          </w:tcPr>
          <w:p w:rsidR="00F53945" w:rsidRDefault="00F53945" w:rsidP="00F53945">
            <w:pPr>
              <w:rPr>
                <w:rFonts w:ascii="Times New Roman" w:hAnsi="Times New Roman" w:cs="Arial"/>
                <w:sz w:val="24"/>
                <w:szCs w:val="20"/>
                <w:lang w:val="en-GB" w:eastAsia="fr-FR"/>
              </w:rPr>
            </w:pPr>
            <w:r>
              <w:rPr>
                <w:rFonts w:cs="Arial"/>
                <w:szCs w:val="20"/>
              </w:rPr>
              <w:t xml:space="preserve">1.4, 3, 5, 10 and 20 MHz </w:t>
            </w:r>
            <w:r>
              <w:rPr>
                <w:rFonts w:cs="Arial"/>
                <w:szCs w:val="20"/>
              </w:rPr>
              <w:br/>
              <w:t>(and higher values up to 100 MHz by carrier aggregation</w:t>
            </w:r>
            <w:r w:rsidRPr="00132307">
              <w:rPr>
                <w:rFonts w:cs="Arial"/>
                <w:szCs w:val="20"/>
                <w:lang w:val="en-GB"/>
              </w:rPr>
              <w:t xml:space="preserve"> </w:t>
            </w:r>
            <w:r w:rsidRPr="00661904">
              <w:rPr>
                <w:rFonts w:cs="Arial"/>
                <w:szCs w:val="20"/>
                <w:lang w:val="en-GB"/>
              </w:rPr>
              <w:t>across bands</w:t>
            </w:r>
            <w:r>
              <w:rPr>
                <w:rFonts w:cs="Arial"/>
                <w:szCs w:val="20"/>
              </w:rPr>
              <w:t>)</w:t>
            </w:r>
          </w:p>
        </w:tc>
        <w:tc>
          <w:tcPr>
            <w:tcW w:w="4111" w:type="dxa"/>
            <w:vAlign w:val="center"/>
          </w:tcPr>
          <w:p w:rsidR="00F53945" w:rsidRDefault="00F53945" w:rsidP="00F53945">
            <w:pPr>
              <w:rPr>
                <w:rFonts w:ascii="Times New Roman" w:hAnsi="Times New Roman" w:cs="Arial"/>
                <w:sz w:val="24"/>
                <w:szCs w:val="20"/>
                <w:lang w:val="en-GB" w:eastAsia="fr-FR"/>
              </w:rPr>
            </w:pPr>
            <w:r>
              <w:rPr>
                <w:rFonts w:cs="Arial"/>
                <w:szCs w:val="20"/>
              </w:rPr>
              <w:t xml:space="preserve">3GPP Release 10 </w:t>
            </w:r>
            <w:r w:rsidRPr="00661904">
              <w:rPr>
                <w:rFonts w:cs="Arial"/>
                <w:szCs w:val="20"/>
                <w:lang w:val="en-GB"/>
              </w:rPr>
              <w:t>and beyond</w:t>
            </w:r>
          </w:p>
        </w:tc>
      </w:tr>
      <w:tr w:rsidR="00F53945" w:rsidTr="00F53945">
        <w:tc>
          <w:tcPr>
            <w:tcW w:w="2235" w:type="dxa"/>
            <w:vAlign w:val="center"/>
          </w:tcPr>
          <w:p w:rsidR="00F53945" w:rsidRDefault="00F53945" w:rsidP="00F53945">
            <w:pPr>
              <w:rPr>
                <w:rFonts w:ascii="Times New Roman" w:hAnsi="Times New Roman" w:cs="Arial"/>
                <w:sz w:val="24"/>
                <w:szCs w:val="20"/>
                <w:lang w:val="en-GB" w:eastAsia="fr-FR"/>
              </w:rPr>
            </w:pPr>
            <w:proofErr w:type="spellStart"/>
            <w:r>
              <w:rPr>
                <w:rFonts w:cs="Arial"/>
                <w:szCs w:val="20"/>
              </w:rPr>
              <w:t>WiMAX</w:t>
            </w:r>
            <w:proofErr w:type="spellEnd"/>
          </w:p>
        </w:tc>
        <w:tc>
          <w:tcPr>
            <w:tcW w:w="2976" w:type="dxa"/>
            <w:vAlign w:val="center"/>
          </w:tcPr>
          <w:p w:rsidR="00F53945" w:rsidRDefault="00F53945" w:rsidP="00F53945">
            <w:pPr>
              <w:rPr>
                <w:rFonts w:ascii="Times New Roman" w:hAnsi="Times New Roman" w:cs="Arial"/>
                <w:sz w:val="24"/>
                <w:szCs w:val="20"/>
                <w:lang w:val="en-GB" w:eastAsia="fr-FR"/>
              </w:rPr>
            </w:pPr>
            <w:r>
              <w:rPr>
                <w:rFonts w:cs="Arial"/>
                <w:szCs w:val="20"/>
              </w:rPr>
              <w:t xml:space="preserve">5, 10 MHz </w:t>
            </w:r>
          </w:p>
        </w:tc>
        <w:tc>
          <w:tcPr>
            <w:tcW w:w="4111" w:type="dxa"/>
          </w:tcPr>
          <w:p w:rsidR="00F53945" w:rsidRDefault="00F53945" w:rsidP="00F53945">
            <w:pPr>
              <w:rPr>
                <w:rFonts w:ascii="Times New Roman" w:hAnsi="Times New Roman" w:cs="Arial"/>
                <w:sz w:val="24"/>
                <w:szCs w:val="20"/>
                <w:lang w:val="en-GB" w:eastAsia="fr-FR"/>
              </w:rPr>
            </w:pPr>
            <w:r>
              <w:rPr>
                <w:rFonts w:cs="Arial"/>
                <w:szCs w:val="20"/>
              </w:rPr>
              <w:t>IEEE 802.16-2004</w:t>
            </w:r>
          </w:p>
          <w:p w:rsidR="00F53945" w:rsidRDefault="00F53945" w:rsidP="00F53945">
            <w:pPr>
              <w:rPr>
                <w:rFonts w:ascii="Times New Roman" w:hAnsi="Times New Roman" w:cs="Arial"/>
                <w:sz w:val="24"/>
                <w:szCs w:val="20"/>
                <w:lang w:val="en-GB" w:eastAsia="fr-FR"/>
              </w:rPr>
            </w:pPr>
            <w:r>
              <w:rPr>
                <w:rFonts w:cs="Arial"/>
                <w:szCs w:val="20"/>
              </w:rPr>
              <w:t xml:space="preserve">IEEE 802.16e-2005 </w:t>
            </w:r>
          </w:p>
        </w:tc>
      </w:tr>
      <w:tr w:rsidR="00F53945" w:rsidTr="00F53945">
        <w:tc>
          <w:tcPr>
            <w:tcW w:w="2235" w:type="dxa"/>
            <w:vAlign w:val="center"/>
          </w:tcPr>
          <w:p w:rsidR="00F53945" w:rsidRDefault="00F53945" w:rsidP="00F53945">
            <w:pPr>
              <w:spacing w:before="40" w:after="40"/>
              <w:rPr>
                <w:rFonts w:ascii="Times New Roman" w:hAnsi="Times New Roman" w:cs="Arial"/>
                <w:sz w:val="24"/>
                <w:szCs w:val="20"/>
                <w:lang w:val="en-GB" w:eastAsia="fr-FR"/>
              </w:rPr>
            </w:pPr>
            <w:r>
              <w:rPr>
                <w:rFonts w:cs="Arial"/>
                <w:szCs w:val="20"/>
              </w:rPr>
              <w:t>CDMA </w:t>
            </w:r>
            <w:proofErr w:type="spellStart"/>
            <w:r>
              <w:rPr>
                <w:rFonts w:cs="Arial"/>
                <w:szCs w:val="20"/>
              </w:rPr>
              <w:t>revB</w:t>
            </w:r>
            <w:proofErr w:type="spellEnd"/>
          </w:p>
        </w:tc>
        <w:tc>
          <w:tcPr>
            <w:tcW w:w="2976" w:type="dxa"/>
          </w:tcPr>
          <w:p w:rsidR="00F53945" w:rsidRDefault="00F53945" w:rsidP="00F53945">
            <w:pPr>
              <w:spacing w:before="40" w:after="40"/>
              <w:rPr>
                <w:rFonts w:ascii="Times New Roman" w:hAnsi="Times New Roman" w:cs="Arial"/>
                <w:sz w:val="24"/>
                <w:szCs w:val="20"/>
                <w:lang w:val="en-GB" w:eastAsia="fr-FR"/>
              </w:rPr>
            </w:pPr>
            <w:r>
              <w:rPr>
                <w:rFonts w:cs="Arial"/>
                <w:szCs w:val="20"/>
              </w:rPr>
              <w:t>1.25, 5, 10, 15, 20 MHz (by carrier aggregation, up to 15 carriers)</w:t>
            </w:r>
          </w:p>
        </w:tc>
        <w:tc>
          <w:tcPr>
            <w:tcW w:w="4111" w:type="dxa"/>
          </w:tcPr>
          <w:p w:rsidR="00F53945" w:rsidRDefault="00F53945" w:rsidP="00F53945">
            <w:pPr>
              <w:spacing w:before="40" w:after="40"/>
              <w:rPr>
                <w:rFonts w:ascii="Times New Roman" w:hAnsi="Times New Roman"/>
                <w:sz w:val="24"/>
                <w:lang w:val="en-GB" w:eastAsia="fr-FR"/>
              </w:rPr>
            </w:pPr>
            <w:r>
              <w:t>3GPP2 C.S0024-B</w:t>
            </w:r>
          </w:p>
          <w:p w:rsidR="00F53945" w:rsidRDefault="00F53945" w:rsidP="00F53945">
            <w:pPr>
              <w:spacing w:before="40" w:after="40"/>
              <w:rPr>
                <w:rFonts w:ascii="Times New Roman" w:hAnsi="Times New Roman" w:cs="Arial"/>
                <w:sz w:val="24"/>
                <w:szCs w:val="20"/>
                <w:lang w:val="en-GB" w:eastAsia="fr-FR"/>
              </w:rPr>
            </w:pPr>
            <w:r>
              <w:t>TIA/EIA/IS-856-B. Rev. B</w:t>
            </w:r>
          </w:p>
        </w:tc>
      </w:tr>
    </w:tbl>
    <w:p w:rsidR="00F53945" w:rsidRDefault="00F53945" w:rsidP="00F53945">
      <w:pPr>
        <w:pStyle w:val="ECCTablenote"/>
      </w:pPr>
    </w:p>
    <w:p w:rsidR="00F53945" w:rsidRPr="00B343A3" w:rsidRDefault="00F53945" w:rsidP="00F53945">
      <w:pPr>
        <w:pStyle w:val="ECCTablenote"/>
      </w:pPr>
      <w:r>
        <w:lastRenderedPageBreak/>
        <w:t>M</w:t>
      </w:r>
      <w:r w:rsidRPr="00B343A3">
        <w:t>obile broadband technologies are described in details in</w:t>
      </w:r>
      <w:r>
        <w:t xml:space="preserve"> Annex 6.</w:t>
      </w:r>
    </w:p>
    <w:p w:rsidR="00F53945" w:rsidRDefault="00F53945" w:rsidP="00F53945">
      <w:pPr>
        <w:pStyle w:val="Titre3"/>
      </w:pPr>
      <w:bookmarkStart w:id="12" w:name="_Toc321318106"/>
      <w:r>
        <w:t>Justification</w:t>
      </w:r>
      <w:bookmarkEnd w:id="12"/>
    </w:p>
    <w:p w:rsidR="00F53945" w:rsidRDefault="00F53945" w:rsidP="00F53945">
      <w:pPr>
        <w:pStyle w:val="ECCParagraph"/>
      </w:pPr>
      <w:r w:rsidRPr="008074C7">
        <w:t xml:space="preserve">Within a few </w:t>
      </w:r>
      <w:proofErr w:type="spellStart"/>
      <w:r w:rsidRPr="008074C7">
        <w:t>years time</w:t>
      </w:r>
      <w:proofErr w:type="spellEnd"/>
      <w:r w:rsidRPr="008074C7">
        <w:t xml:space="preserve">, data services </w:t>
      </w:r>
      <w:r>
        <w:t>are expected to</w:t>
      </w:r>
      <w:r w:rsidRPr="008074C7">
        <w:t xml:space="preserve"> be accessed more often from smartphones than from desktop computers</w:t>
      </w:r>
      <w:r>
        <w:t xml:space="preserve"> for the provision of a variety of bandwidth-intensive services </w:t>
      </w:r>
      <w:r w:rsidRPr="00941D37">
        <w:t>(banking, shopping, multimedia content, education, social media</w:t>
      </w:r>
      <w:r>
        <w:t xml:space="preserve">, </w:t>
      </w:r>
      <w:proofErr w:type="gramStart"/>
      <w:r>
        <w:t>e</w:t>
      </w:r>
      <w:proofErr w:type="gramEnd"/>
      <w:r>
        <w:t>-health</w:t>
      </w:r>
      <w:r w:rsidRPr="00941D37">
        <w:t>)</w:t>
      </w:r>
      <w:r w:rsidRPr="008074C7">
        <w:t>. As a result, data traffic over mobile networks is expected to grow considerably in the coming years</w:t>
      </w:r>
      <w:r w:rsidRPr="008074C7">
        <w:rPr>
          <w:rStyle w:val="Appelnotedebasdep"/>
        </w:rPr>
        <w:footnoteReference w:id="2"/>
      </w:r>
      <w:r w:rsidRPr="008074C7">
        <w:t xml:space="preserve">. Spectrum availability for mobile broadband will therefore be </w:t>
      </w:r>
      <w:proofErr w:type="gramStart"/>
      <w:r w:rsidRPr="008074C7">
        <w:t>key</w:t>
      </w:r>
      <w:proofErr w:type="gramEnd"/>
      <w:r w:rsidRPr="008074C7">
        <w:t xml:space="preserve"> in order to cope with the consumers demand by expanding the network capacity and coverage.</w:t>
      </w:r>
      <w:r w:rsidRPr="001A10FB">
        <w:t xml:space="preserve"> </w:t>
      </w:r>
    </w:p>
    <w:p w:rsidR="00F53945" w:rsidRDefault="00F53945" w:rsidP="00F53945">
      <w:pPr>
        <w:pStyle w:val="ECCParagraph"/>
      </w:pPr>
      <w:r>
        <w:t>The need for additional spectrum for mobile broadband is recognized at European level by both RSPG and CEPT</w:t>
      </w:r>
      <w:r>
        <w:rPr>
          <w:rStyle w:val="Appelnotedebasdep"/>
        </w:rPr>
        <w:footnoteReference w:id="3"/>
      </w:r>
      <w:r>
        <w:t>.</w:t>
      </w:r>
    </w:p>
    <w:p w:rsidR="00F53945" w:rsidRDefault="00F53945" w:rsidP="00F53945">
      <w:pPr>
        <w:pStyle w:val="ECCParagraph"/>
      </w:pPr>
      <w:r>
        <w:t xml:space="preserve">The L-band is within the working range of the current cellular networks used by the mobile broadband systems which could have a positive impact on the equipment design and cost. The propagation </w:t>
      </w:r>
      <w:proofErr w:type="gramStart"/>
      <w:r>
        <w:t>characteristics of the band makes</w:t>
      </w:r>
      <w:proofErr w:type="gramEnd"/>
      <w:r>
        <w:t xml:space="preserve"> it a good complement to frequency bands already available.</w:t>
      </w:r>
    </w:p>
    <w:p w:rsidR="00F53945" w:rsidRDefault="00F53945" w:rsidP="00F53945">
      <w:pPr>
        <w:pStyle w:val="Titre3"/>
      </w:pPr>
      <w:bookmarkStart w:id="13" w:name="_Toc321318107"/>
      <w:r>
        <w:t>Spectrum requirements</w:t>
      </w:r>
      <w:bookmarkEnd w:id="13"/>
    </w:p>
    <w:p w:rsidR="00F53945" w:rsidRPr="00132AC9" w:rsidRDefault="00F53945" w:rsidP="00F53945">
      <w:pPr>
        <w:pStyle w:val="ECCParagraph"/>
      </w:pPr>
      <w:r w:rsidRPr="00132AC9">
        <w:t>Broadband mobile d</w:t>
      </w:r>
      <w:proofErr w:type="spellStart"/>
      <w:r w:rsidRPr="00132AC9">
        <w:rPr>
          <w:lang w:val="en-US"/>
        </w:rPr>
        <w:t>ata</w:t>
      </w:r>
      <w:proofErr w:type="spellEnd"/>
      <w:r w:rsidRPr="00132AC9">
        <w:rPr>
          <w:lang w:val="en-US"/>
        </w:rPr>
        <w:t xml:space="preserve"> </w:t>
      </w:r>
      <w:r w:rsidRPr="00132AC9">
        <w:t xml:space="preserve">services are currently deployed over 5 MHz and 10 MHz wide channels with UMTS/HSPA+ and over 10, 15 and 20 MHz wide channels with LTE. The market request for increased network download speed has led to the current deployment of </w:t>
      </w:r>
      <w:r>
        <w:t>systems</w:t>
      </w:r>
      <w:r w:rsidRPr="00132AC9">
        <w:t xml:space="preserve"> operating over larger bandwidths (10 MHz, 20 MHz, 40 MHz, etc</w:t>
      </w:r>
      <w:r>
        <w:t>.</w:t>
      </w:r>
      <w:r w:rsidRPr="00132AC9">
        <w:t>) through the introduction of multi-carrier and multi-band aggregation. In this context, bandwidth</w:t>
      </w:r>
      <w:r>
        <w:t>s</w:t>
      </w:r>
      <w:r w:rsidRPr="00132AC9">
        <w:t xml:space="preserve"> lower than 5 MHz is not appropriate for significant improvement of speeds and user experience while </w:t>
      </w:r>
      <w:r>
        <w:t>bandwidths</w:t>
      </w:r>
      <w:r w:rsidRPr="00132AC9">
        <w:t xml:space="preserve"> of 5, 10 MHz and more would appropriately complement carriers in other frequency bands. The attractiveness of 1452-1492 MHz band deployment for an operator is linked to the possibility of deploying a network for at least 10</w:t>
      </w:r>
      <w:r>
        <w:t xml:space="preserve"> </w:t>
      </w:r>
      <w:r w:rsidRPr="00132AC9">
        <w:t xml:space="preserve">MHz </w:t>
      </w:r>
      <w:r>
        <w:t xml:space="preserve">(TDD or in one direction in case of FDD) </w:t>
      </w:r>
      <w:r w:rsidRPr="00132AC9">
        <w:t xml:space="preserve">of capacity to </w:t>
      </w:r>
      <w:r>
        <w:t xml:space="preserve">make </w:t>
      </w:r>
      <w:r w:rsidRPr="00132AC9">
        <w:t>network investments</w:t>
      </w:r>
      <w:r>
        <w:t xml:space="preserve"> justifiable.</w:t>
      </w:r>
    </w:p>
    <w:p w:rsidR="00F53945" w:rsidRPr="00B53F92" w:rsidRDefault="00F53945" w:rsidP="00F53945">
      <w:pPr>
        <w:pStyle w:val="ECCParagraph"/>
      </w:pPr>
      <w:r w:rsidRPr="00B53F92">
        <w:t xml:space="preserve">The success of a frequency bands depends on the emergence of an eco-system, i.e. on a significant terminal market supporting the band. Such a market usually occurs when a band is harmonised on a large basis and when most operators have deployed networks in a band. At the opposite, if only one operator is using a specific technology/frequency band in a country, it would struggle to </w:t>
      </w:r>
      <w:proofErr w:type="gramStart"/>
      <w:r w:rsidRPr="00B53F92">
        <w:t>produce  equipment</w:t>
      </w:r>
      <w:proofErr w:type="gramEnd"/>
      <w:r w:rsidRPr="00B53F92">
        <w:t>. There are typically 3 or 4 Mobile Network Operators in European countries.</w:t>
      </w:r>
    </w:p>
    <w:p w:rsidR="00F53945" w:rsidRDefault="00F53945" w:rsidP="00F53945">
      <w:pPr>
        <w:pStyle w:val="ECCParagraph"/>
      </w:pPr>
      <w:r w:rsidRPr="00604E84">
        <w:rPr>
          <w:rFonts w:cs="Arial"/>
          <w:bCs/>
          <w:kern w:val="32"/>
          <w:szCs w:val="32"/>
        </w:rPr>
        <w:t>T</w:t>
      </w:r>
      <w:r w:rsidRPr="00604E84">
        <w:t>he</w:t>
      </w:r>
      <w:r>
        <w:t xml:space="preserve"> band 1452-1492 MHz would be offering 40 MHz to augment the capacity of mobile broadband networks which is regarded to be a minimum amount of spectrum required, in particular assuming 3-4 operators within the band.</w:t>
      </w:r>
    </w:p>
    <w:p w:rsidR="00F53945" w:rsidRDefault="00F53945" w:rsidP="00F53945">
      <w:pPr>
        <w:pStyle w:val="Titre2"/>
      </w:pPr>
      <w:r w:rsidRPr="00F53945">
        <w:t xml:space="preserve">application </w:t>
      </w:r>
      <w:r>
        <w:t>three: Mobile SUPPLEMENTAL downlink</w:t>
      </w:r>
    </w:p>
    <w:p w:rsidR="00F53945" w:rsidRDefault="00F53945" w:rsidP="00F53945">
      <w:pPr>
        <w:pStyle w:val="Titre3"/>
      </w:pPr>
      <w:bookmarkStart w:id="14" w:name="_Toc321318109"/>
      <w:r>
        <w:t>Description</w:t>
      </w:r>
      <w:bookmarkEnd w:id="14"/>
    </w:p>
    <w:p w:rsidR="00F53945" w:rsidRDefault="00F53945" w:rsidP="00F53945">
      <w:pPr>
        <w:pStyle w:val="ECCParagraph"/>
      </w:pPr>
      <w:r>
        <w:rPr>
          <w:iCs/>
        </w:rPr>
        <w:t>Mobile  Supplemental Downlink (Mobile SDL ) is a feature</w:t>
      </w:r>
      <w:r>
        <w:t xml:space="preserve"> within a mobile broadband  system, which by means of base station transmitters in the network, is able  using unpaired spectrum to provide a supplemental downlink  capacity to carry efficiently comprehensive text, voice, images, sound and video content in unicasting, multicasting and/or broadcasting mode to mobile devices.</w:t>
      </w:r>
    </w:p>
    <w:p w:rsidR="00F53945" w:rsidRDefault="00F53945" w:rsidP="00F53945">
      <w:pPr>
        <w:pStyle w:val="ECCParagraph"/>
      </w:pPr>
      <w:r>
        <w:t>Convergence is often referred to as a key technological evolution in the digital society, and the practical application is now materializing with the convergence of mobile broadband, fixed and broadcasting service offerings. The driving factor seems to be the requirement for rich multimedia and internet content carried to and from mobile devices. Multimedia content is consumed in various forms such as real time broadcast content, high definition audio/video streaming,  podcasts, file casts, on-line gaming, social networking and apps downloading and is provided by a multitude of players under several different business models.</w:t>
      </w:r>
    </w:p>
    <w:p w:rsidR="00F53945" w:rsidRPr="003F5278" w:rsidRDefault="00F53945" w:rsidP="00F53945">
      <w:pPr>
        <w:pStyle w:val="ECCParagraph"/>
        <w:rPr>
          <w:szCs w:val="20"/>
        </w:rPr>
      </w:pPr>
      <w:r w:rsidRPr="003F5278">
        <w:rPr>
          <w:szCs w:val="20"/>
        </w:rPr>
        <w:lastRenderedPageBreak/>
        <w:t xml:space="preserve">The data based traffic over mobile broadband networks is predicted to increase rapidly over the coming years </w:t>
      </w:r>
      <w:r>
        <w:rPr>
          <w:szCs w:val="20"/>
        </w:rPr>
        <w:t xml:space="preserve">driven by mobile multimedia usage </w:t>
      </w:r>
      <w:r w:rsidRPr="003F5278">
        <w:rPr>
          <w:szCs w:val="20"/>
        </w:rPr>
        <w:t xml:space="preserve">with a particular evolution towards asymmetrical traffic </w:t>
      </w:r>
      <w:r>
        <w:rPr>
          <w:szCs w:val="20"/>
        </w:rPr>
        <w:t xml:space="preserve">and therefore </w:t>
      </w:r>
      <w:r w:rsidRPr="003F5278">
        <w:rPr>
          <w:szCs w:val="20"/>
        </w:rPr>
        <w:t xml:space="preserve"> an increasing demand for downlink capacity.</w:t>
      </w:r>
    </w:p>
    <w:p w:rsidR="00F53945" w:rsidRPr="003F5278" w:rsidRDefault="00F53945" w:rsidP="00F53945">
      <w:pPr>
        <w:pStyle w:val="ECCParagraph"/>
      </w:pPr>
      <w:r>
        <w:t xml:space="preserve">3G/4G mobile technologies have already evolved to support traffic asymmetry and the efficient delivery of mobile multimedia services (UMTS/HSPA 3GPP specification Release 9 and beyond, LTE-Advanced 3GPP specification Release 10 and beyond) with Mobile SDL using multi-bands and multi-carriers aggregation capabilities. As highlighted in Table 3, </w:t>
      </w:r>
      <w:r w:rsidRPr="003F5278">
        <w:t xml:space="preserve">UMTS/HSPA supports from 5 MHz to </w:t>
      </w:r>
      <w:r>
        <w:t>40</w:t>
      </w:r>
      <w:r w:rsidRPr="003F5278">
        <w:t xml:space="preserve"> MHz channel bandwidth aggregation and LTE-Advanced supports from 5 MHz to 100 MHz channel bandwidth aggregation in the downlink</w:t>
      </w:r>
      <w:r>
        <w:t xml:space="preserve"> in multiple bands including the L-band</w:t>
      </w:r>
      <w:r w:rsidRPr="003F5278">
        <w:t>.</w:t>
      </w:r>
    </w:p>
    <w:p w:rsidR="00F53945" w:rsidRDefault="00F53945" w:rsidP="00F53945">
      <w:pPr>
        <w:pStyle w:val="ECCParagraph"/>
      </w:pPr>
      <w:r w:rsidRPr="003F5278">
        <w:t>LTE (3GPP specification Release 9 and beyond) also includes evolved Multimedia Broadcast and Multicast Services capabilities (</w:t>
      </w:r>
      <w:proofErr w:type="spellStart"/>
      <w:r w:rsidRPr="003F5278">
        <w:t>eMBMS</w:t>
      </w:r>
      <w:proofErr w:type="spellEnd"/>
      <w:r w:rsidRPr="003F5278">
        <w:t xml:space="preserve">) which would enable to deliver rich mobile multimedia content to users using </w:t>
      </w:r>
      <w:r>
        <w:t xml:space="preserve">SDL </w:t>
      </w:r>
      <w:r w:rsidRPr="003F5278">
        <w:t>spectrum in a flexible manner. It allows the mobile broadband network to switch dynamically from a unicast to a broadcasting mode on a cell basis to very efficiently address users demand for live or on-demand content and other multimedia services.</w:t>
      </w:r>
    </w:p>
    <w:p w:rsidR="00F53945" w:rsidRDefault="00F53945" w:rsidP="00F53945">
      <w:pPr>
        <w:pStyle w:val="Lgende"/>
      </w:pPr>
      <w:r>
        <w:t xml:space="preserve">Table 3: </w:t>
      </w:r>
      <w:smartTag w:uri="urn:schemas-microsoft-com:office:smarttags" w:element="place">
        <w:r>
          <w:t>M</w:t>
        </w:r>
        <w:r w:rsidRPr="00CC38D6">
          <w:t>obile</w:t>
        </w:r>
      </w:smartTag>
      <w:r w:rsidRPr="00CC38D6">
        <w:t xml:space="preserve"> broadband </w:t>
      </w:r>
      <w:r>
        <w:t xml:space="preserve">standards </w:t>
      </w:r>
      <w:proofErr w:type="gramStart"/>
      <w:r>
        <w:t>supporting  Mobile</w:t>
      </w:r>
      <w:proofErr w:type="gramEnd"/>
      <w:r>
        <w:t xml:space="preserve"> SDL</w:t>
      </w:r>
    </w:p>
    <w:tbl>
      <w:tblPr>
        <w:tblW w:w="9322"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Grid>
        <w:gridCol w:w="2235"/>
        <w:gridCol w:w="2976"/>
        <w:gridCol w:w="4111"/>
      </w:tblGrid>
      <w:tr w:rsidR="00F53945" w:rsidTr="00F53945">
        <w:trPr>
          <w:tblHeader/>
        </w:trPr>
        <w:tc>
          <w:tcPr>
            <w:tcW w:w="2235" w:type="dxa"/>
            <w:tcBorders>
              <w:right w:val="single" w:sz="8" w:space="0" w:color="FFFFFF"/>
            </w:tcBorders>
            <w:shd w:val="clear" w:color="auto" w:fill="D2232A"/>
            <w:vAlign w:val="center"/>
          </w:tcPr>
          <w:p w:rsidR="00F53945" w:rsidRPr="009D5834" w:rsidRDefault="00F53945" w:rsidP="00F53945">
            <w:pPr>
              <w:spacing w:line="288" w:lineRule="auto"/>
              <w:jc w:val="center"/>
              <w:rPr>
                <w:rFonts w:cs="Arial"/>
                <w:b/>
                <w:color w:val="FFFFFF"/>
              </w:rPr>
            </w:pPr>
            <w:r>
              <w:rPr>
                <w:rFonts w:cs="Arial"/>
                <w:b/>
                <w:color w:val="FFFFFF"/>
              </w:rPr>
              <w:t>Standard</w:t>
            </w:r>
          </w:p>
        </w:tc>
        <w:tc>
          <w:tcPr>
            <w:tcW w:w="2976" w:type="dxa"/>
            <w:tcBorders>
              <w:left w:val="single" w:sz="8" w:space="0" w:color="FFFFFF"/>
              <w:right w:val="single" w:sz="8" w:space="0" w:color="FFFFFF"/>
            </w:tcBorders>
            <w:shd w:val="clear" w:color="auto" w:fill="D2232A"/>
            <w:vAlign w:val="center"/>
          </w:tcPr>
          <w:p w:rsidR="00F53945" w:rsidRPr="00FE1795" w:rsidRDefault="00F53945" w:rsidP="00F53945">
            <w:pPr>
              <w:spacing w:line="288" w:lineRule="auto"/>
              <w:jc w:val="center"/>
              <w:rPr>
                <w:b/>
                <w:color w:val="FFFFFF"/>
              </w:rPr>
            </w:pPr>
            <w:r>
              <w:rPr>
                <w:b/>
                <w:color w:val="FFFFFF"/>
              </w:rPr>
              <w:t xml:space="preserve">Aggregated downlink Bandwidth </w:t>
            </w:r>
          </w:p>
        </w:tc>
        <w:tc>
          <w:tcPr>
            <w:tcW w:w="4111" w:type="dxa"/>
            <w:tcBorders>
              <w:left w:val="single" w:sz="8" w:space="0" w:color="FFFFFF"/>
            </w:tcBorders>
            <w:shd w:val="clear" w:color="auto" w:fill="D2232A"/>
            <w:vAlign w:val="center"/>
          </w:tcPr>
          <w:p w:rsidR="00F53945" w:rsidRPr="00FE1795" w:rsidRDefault="00F53945" w:rsidP="00F53945">
            <w:pPr>
              <w:spacing w:line="288" w:lineRule="auto"/>
              <w:jc w:val="center"/>
              <w:rPr>
                <w:b/>
                <w:color w:val="FFFFFF"/>
              </w:rPr>
            </w:pPr>
            <w:r w:rsidRPr="003F5278">
              <w:rPr>
                <w:b/>
                <w:color w:val="FFFFFF"/>
              </w:rPr>
              <w:t xml:space="preserve">Related </w:t>
            </w:r>
            <w:r>
              <w:rPr>
                <w:b/>
                <w:color w:val="FFFFFF"/>
              </w:rPr>
              <w:t>specifications</w:t>
            </w:r>
          </w:p>
        </w:tc>
      </w:tr>
      <w:tr w:rsidR="00F53945" w:rsidTr="00F53945">
        <w:tc>
          <w:tcPr>
            <w:tcW w:w="2235" w:type="dxa"/>
            <w:vAlign w:val="center"/>
          </w:tcPr>
          <w:p w:rsidR="00F53945" w:rsidRDefault="00F53945" w:rsidP="00F53945">
            <w:pPr>
              <w:rPr>
                <w:rFonts w:ascii="Times New Roman" w:hAnsi="Times New Roman" w:cs="Arial"/>
                <w:sz w:val="24"/>
                <w:szCs w:val="20"/>
                <w:lang w:val="en-GB" w:eastAsia="fr-FR"/>
              </w:rPr>
            </w:pPr>
            <w:r>
              <w:rPr>
                <w:rFonts w:cs="Arial"/>
                <w:szCs w:val="20"/>
              </w:rPr>
              <w:t>UMT/HSPA+</w:t>
            </w:r>
          </w:p>
        </w:tc>
        <w:tc>
          <w:tcPr>
            <w:tcW w:w="2976" w:type="dxa"/>
          </w:tcPr>
          <w:p w:rsidR="00F53945" w:rsidRDefault="00F53945" w:rsidP="00F53945">
            <w:pPr>
              <w:rPr>
                <w:rFonts w:ascii="Times New Roman" w:hAnsi="Times New Roman" w:cs="Arial"/>
                <w:sz w:val="24"/>
                <w:szCs w:val="20"/>
                <w:lang w:val="en-GB" w:eastAsia="fr-FR"/>
              </w:rPr>
            </w:pPr>
            <w:r>
              <w:rPr>
                <w:rFonts w:cs="Arial"/>
                <w:szCs w:val="20"/>
              </w:rPr>
              <w:t>Up to 40 MHz(using carrier aggregation across bands)</w:t>
            </w:r>
          </w:p>
        </w:tc>
        <w:tc>
          <w:tcPr>
            <w:tcW w:w="4111" w:type="dxa"/>
            <w:vAlign w:val="center"/>
          </w:tcPr>
          <w:p w:rsidR="00F53945" w:rsidRPr="00EC7001" w:rsidRDefault="00F53945" w:rsidP="00F53945">
            <w:pPr>
              <w:autoSpaceDE w:val="0"/>
              <w:autoSpaceDN w:val="0"/>
              <w:adjustRightInd w:val="0"/>
              <w:rPr>
                <w:rFonts w:ascii="Times New Roman" w:hAnsi="Times New Roman" w:cs="Arial"/>
                <w:sz w:val="24"/>
                <w:szCs w:val="20"/>
                <w:lang w:val="en-GB" w:eastAsia="en-GB"/>
              </w:rPr>
            </w:pPr>
            <w:r w:rsidRPr="00CA1A11">
              <w:rPr>
                <w:rFonts w:cs="Arial"/>
                <w:szCs w:val="20"/>
                <w:lang w:eastAsia="en-GB"/>
              </w:rPr>
              <w:t xml:space="preserve">3GPP Release 9 </w:t>
            </w:r>
            <w:r w:rsidRPr="00CA1A11">
              <w:rPr>
                <w:rFonts w:cs="Arial"/>
                <w:szCs w:val="20"/>
                <w:lang w:val="en-GB" w:eastAsia="en-GB"/>
              </w:rPr>
              <w:t>and beyond</w:t>
            </w:r>
          </w:p>
        </w:tc>
      </w:tr>
      <w:tr w:rsidR="00F53945" w:rsidTr="00F53945">
        <w:tc>
          <w:tcPr>
            <w:tcW w:w="2235" w:type="dxa"/>
            <w:vAlign w:val="center"/>
          </w:tcPr>
          <w:p w:rsidR="00F53945" w:rsidRDefault="00F53945" w:rsidP="00F53945">
            <w:pPr>
              <w:rPr>
                <w:rFonts w:ascii="Times New Roman" w:hAnsi="Times New Roman" w:cs="Arial"/>
                <w:sz w:val="24"/>
                <w:szCs w:val="20"/>
                <w:lang w:val="en-GB" w:eastAsia="fr-FR"/>
              </w:rPr>
            </w:pPr>
            <w:r>
              <w:rPr>
                <w:rFonts w:cs="Arial"/>
                <w:szCs w:val="20"/>
              </w:rPr>
              <w:t>LTE-Advanced</w:t>
            </w:r>
          </w:p>
        </w:tc>
        <w:tc>
          <w:tcPr>
            <w:tcW w:w="2976" w:type="dxa"/>
          </w:tcPr>
          <w:p w:rsidR="00F53945" w:rsidRPr="00E91E63" w:rsidRDefault="00F53945" w:rsidP="00F53945">
            <w:pPr>
              <w:rPr>
                <w:rFonts w:cs="Arial"/>
                <w:szCs w:val="20"/>
                <w:lang w:val="en-GB"/>
              </w:rPr>
            </w:pPr>
            <w:r>
              <w:rPr>
                <w:rFonts w:cs="Arial"/>
                <w:szCs w:val="20"/>
              </w:rPr>
              <w:t>Up to 100 MHz (using  carrier aggregation</w:t>
            </w:r>
            <w:r w:rsidRPr="00132307">
              <w:rPr>
                <w:rFonts w:cs="Arial"/>
                <w:szCs w:val="20"/>
                <w:lang w:val="en-GB"/>
              </w:rPr>
              <w:t xml:space="preserve"> </w:t>
            </w:r>
            <w:r w:rsidRPr="00661904">
              <w:rPr>
                <w:rFonts w:cs="Arial"/>
                <w:szCs w:val="20"/>
                <w:lang w:val="en-GB"/>
              </w:rPr>
              <w:t>across bands</w:t>
            </w:r>
            <w:r>
              <w:rPr>
                <w:rFonts w:cs="Arial"/>
                <w:szCs w:val="20"/>
                <w:lang w:val="en-GB"/>
              </w:rPr>
              <w:t>)</w:t>
            </w:r>
          </w:p>
        </w:tc>
        <w:tc>
          <w:tcPr>
            <w:tcW w:w="4111" w:type="dxa"/>
            <w:vAlign w:val="center"/>
          </w:tcPr>
          <w:p w:rsidR="00F53945" w:rsidRDefault="00F53945" w:rsidP="00F53945">
            <w:pPr>
              <w:rPr>
                <w:rFonts w:ascii="Times New Roman" w:hAnsi="Times New Roman" w:cs="Arial"/>
                <w:sz w:val="24"/>
                <w:szCs w:val="20"/>
                <w:lang w:val="en-GB" w:eastAsia="fr-FR"/>
              </w:rPr>
            </w:pPr>
            <w:r>
              <w:rPr>
                <w:rFonts w:cs="Arial"/>
                <w:szCs w:val="20"/>
              </w:rPr>
              <w:t xml:space="preserve">3GPP Release 10 </w:t>
            </w:r>
            <w:r w:rsidRPr="00661904">
              <w:rPr>
                <w:rFonts w:cs="Arial"/>
                <w:szCs w:val="20"/>
                <w:lang w:val="en-GB"/>
              </w:rPr>
              <w:t>and beyond</w:t>
            </w:r>
          </w:p>
        </w:tc>
      </w:tr>
      <w:tr w:rsidR="00F53945" w:rsidTr="00F53945">
        <w:tc>
          <w:tcPr>
            <w:tcW w:w="2235" w:type="dxa"/>
            <w:vAlign w:val="center"/>
          </w:tcPr>
          <w:p w:rsidR="00F53945" w:rsidRDefault="00F53945" w:rsidP="00F53945">
            <w:pPr>
              <w:rPr>
                <w:rFonts w:cs="Arial"/>
                <w:szCs w:val="20"/>
              </w:rPr>
            </w:pPr>
            <w:r>
              <w:rPr>
                <w:rFonts w:cs="Arial"/>
                <w:szCs w:val="20"/>
              </w:rPr>
              <w:t xml:space="preserve">LTE </w:t>
            </w:r>
            <w:proofErr w:type="spellStart"/>
            <w:r>
              <w:rPr>
                <w:rFonts w:cs="Arial"/>
                <w:szCs w:val="20"/>
              </w:rPr>
              <w:t>eMBMS</w:t>
            </w:r>
            <w:proofErr w:type="spellEnd"/>
          </w:p>
        </w:tc>
        <w:tc>
          <w:tcPr>
            <w:tcW w:w="2976" w:type="dxa"/>
          </w:tcPr>
          <w:p w:rsidR="00F53945" w:rsidRDefault="00F53945" w:rsidP="00F53945">
            <w:pPr>
              <w:rPr>
                <w:rFonts w:cs="Arial"/>
                <w:szCs w:val="20"/>
              </w:rPr>
            </w:pPr>
            <w:r>
              <w:rPr>
                <w:rFonts w:cs="Arial"/>
                <w:szCs w:val="20"/>
              </w:rPr>
              <w:t xml:space="preserve">Up to 20 MHz </w:t>
            </w:r>
          </w:p>
        </w:tc>
        <w:tc>
          <w:tcPr>
            <w:tcW w:w="4111" w:type="dxa"/>
            <w:vAlign w:val="center"/>
          </w:tcPr>
          <w:p w:rsidR="00F53945" w:rsidRDefault="00F53945" w:rsidP="00F53945">
            <w:pPr>
              <w:rPr>
                <w:rFonts w:cs="Arial"/>
                <w:szCs w:val="20"/>
              </w:rPr>
            </w:pPr>
            <w:r>
              <w:rPr>
                <w:rFonts w:cs="Arial"/>
                <w:szCs w:val="20"/>
              </w:rPr>
              <w:t>3GPP Release 9 and beyond</w:t>
            </w:r>
          </w:p>
        </w:tc>
      </w:tr>
    </w:tbl>
    <w:p w:rsidR="00F53945" w:rsidRPr="003F5278" w:rsidRDefault="00F53945" w:rsidP="00F53945">
      <w:pPr>
        <w:pStyle w:val="ECCParagraph"/>
        <w:spacing w:before="120" w:after="0"/>
      </w:pPr>
      <w:r>
        <w:t>Note: M</w:t>
      </w:r>
      <w:r w:rsidRPr="00F76402">
        <w:t>obile broadband technologie</w:t>
      </w:r>
      <w:r>
        <w:t>s are described in details in Annex6.</w:t>
      </w:r>
    </w:p>
    <w:p w:rsidR="00F53945" w:rsidRPr="003F5278" w:rsidRDefault="00F53945" w:rsidP="00F53945">
      <w:pPr>
        <w:pStyle w:val="ECCParagraph"/>
        <w:spacing w:before="120" w:after="0"/>
      </w:pPr>
    </w:p>
    <w:p w:rsidR="00F53945" w:rsidRDefault="00F53945" w:rsidP="00F53945">
      <w:pPr>
        <w:pStyle w:val="ECCParagraph"/>
      </w:pPr>
      <w:r w:rsidRPr="003F5278">
        <w:t xml:space="preserve">A </w:t>
      </w:r>
      <w:r>
        <w:t xml:space="preserve">mobile broadband </w:t>
      </w:r>
      <w:r w:rsidRPr="003F5278">
        <w:t>network implementing a</w:t>
      </w:r>
      <w:r>
        <w:t xml:space="preserve"> Mobile SDL</w:t>
      </w:r>
      <w:r w:rsidRPr="003F5278">
        <w:t xml:space="preserve"> uses a wider channel for the downlink than for the uplink, by </w:t>
      </w:r>
      <w:r>
        <w:t>bonding</w:t>
      </w:r>
      <w:r w:rsidRPr="003F5278">
        <w:t xml:space="preserve"> the usual downlink</w:t>
      </w:r>
      <w:r>
        <w:t xml:space="preserve"> of the paired mobile bands</w:t>
      </w:r>
      <w:r w:rsidRPr="003F5278">
        <w:t xml:space="preserve"> (800 MHz, </w:t>
      </w:r>
      <w:r>
        <w:t xml:space="preserve">900 MHz, 1.8 GHz, </w:t>
      </w:r>
      <w:r w:rsidRPr="003F5278">
        <w:t>2.</w:t>
      </w:r>
      <w:r>
        <w:t>0</w:t>
      </w:r>
      <w:r w:rsidRPr="003F5278">
        <w:t xml:space="preserve"> GHz</w:t>
      </w:r>
      <w:r>
        <w:t xml:space="preserve">, </w:t>
      </w:r>
      <w:proofErr w:type="gramStart"/>
      <w:r>
        <w:t>2.6</w:t>
      </w:r>
      <w:proofErr w:type="gramEnd"/>
      <w:r>
        <w:t xml:space="preserve"> GHz</w:t>
      </w:r>
      <w:r w:rsidRPr="003F5278">
        <w:t xml:space="preserve">) with a supplemental downlink channel(s) as show in </w:t>
      </w:r>
      <w:r>
        <w:fldChar w:fldCharType="begin"/>
      </w:r>
      <w:r>
        <w:instrText xml:space="preserve"> REF _Ref311007901 \h </w:instrText>
      </w:r>
      <w:r>
        <w:fldChar w:fldCharType="separate"/>
      </w:r>
      <w:r>
        <w:t xml:space="preserve">Figure </w:t>
      </w:r>
      <w:r>
        <w:rPr>
          <w:noProof/>
        </w:rPr>
        <w:t>1</w:t>
      </w:r>
      <w:r>
        <w:fldChar w:fldCharType="end"/>
      </w:r>
      <w:r>
        <w:t>.</w:t>
      </w:r>
    </w:p>
    <w:p w:rsidR="00F53945" w:rsidRDefault="00F53945" w:rsidP="00F53945">
      <w:pPr>
        <w:pStyle w:val="ECCParagraph"/>
      </w:pPr>
      <w:r>
        <w:rPr>
          <w:noProof/>
          <w:lang w:val="fr-FR" w:eastAsia="fr-FR"/>
        </w:rPr>
        <w:drawing>
          <wp:inline distT="0" distB="0" distL="0" distR="0" wp14:anchorId="441E2BF3" wp14:editId="5488D567">
            <wp:extent cx="5753100" cy="28829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2">
                      <a:extLst>
                        <a:ext uri="{28A0092B-C50C-407E-A947-70E740481C1C}">
                          <a14:useLocalDpi xmlns:a14="http://schemas.microsoft.com/office/drawing/2010/main" val="0"/>
                        </a:ext>
                      </a:extLst>
                    </a:blip>
                    <a:srcRect t="-2196" r="-7474" b="-3275"/>
                    <a:stretch>
                      <a:fillRect/>
                    </a:stretch>
                  </pic:blipFill>
                  <pic:spPr bwMode="auto">
                    <a:xfrm>
                      <a:off x="0" y="0"/>
                      <a:ext cx="5753100" cy="2882900"/>
                    </a:xfrm>
                    <a:prstGeom prst="rect">
                      <a:avLst/>
                    </a:prstGeom>
                    <a:noFill/>
                    <a:ln>
                      <a:noFill/>
                    </a:ln>
                  </pic:spPr>
                </pic:pic>
              </a:graphicData>
            </a:graphic>
          </wp:inline>
        </w:drawing>
      </w:r>
    </w:p>
    <w:p w:rsidR="00F53945" w:rsidRPr="003F5278" w:rsidRDefault="00F53945" w:rsidP="00F53945">
      <w:pPr>
        <w:pStyle w:val="ECCParagraph"/>
      </w:pPr>
    </w:p>
    <w:p w:rsidR="00F53945" w:rsidRDefault="00F53945" w:rsidP="00F53945">
      <w:pPr>
        <w:pStyle w:val="Lgende"/>
        <w:rPr>
          <w:rFonts w:ascii="Times New Roman" w:hAnsi="Times New Roman"/>
        </w:rPr>
      </w:pPr>
      <w:bookmarkStart w:id="15" w:name="_Ref311007901"/>
      <w:r>
        <w:t xml:space="preserve">Figure </w:t>
      </w:r>
      <w:r>
        <w:fldChar w:fldCharType="begin"/>
      </w:r>
      <w:r>
        <w:instrText xml:space="preserve"> SEQ Figure \* ARABIC </w:instrText>
      </w:r>
      <w:r>
        <w:fldChar w:fldCharType="separate"/>
      </w:r>
      <w:r>
        <w:rPr>
          <w:noProof/>
        </w:rPr>
        <w:t>1</w:t>
      </w:r>
      <w:r>
        <w:rPr>
          <w:noProof/>
        </w:rPr>
        <w:fldChar w:fldCharType="end"/>
      </w:r>
      <w:bookmarkEnd w:id="15"/>
      <w:r>
        <w:t>: A Mobile Supplemental Downlink</w:t>
      </w:r>
    </w:p>
    <w:p w:rsidR="00F53945" w:rsidRDefault="00F53945" w:rsidP="00F53945">
      <w:pPr>
        <w:pStyle w:val="Titre3"/>
      </w:pPr>
      <w:bookmarkStart w:id="16" w:name="_Toc321318110"/>
      <w:r>
        <w:lastRenderedPageBreak/>
        <w:t>Justification</w:t>
      </w:r>
      <w:bookmarkEnd w:id="16"/>
    </w:p>
    <w:p w:rsidR="00F53945" w:rsidRDefault="00F53945" w:rsidP="00F53945">
      <w:pPr>
        <w:pStyle w:val="ECCParagraph"/>
        <w:rPr>
          <w:bCs/>
        </w:rPr>
      </w:pPr>
      <w:r>
        <w:t xml:space="preserve">The convergence of several service offerings (internet, broadcasting, and other multimedia based service offerings) on mobile devices, such as smartphones and tablets, is leading to an ever growing asymmetry of the overall mobile data traffic. Measurements in today’s mobile networks clearly confirm the asymmetrical nature of the data traffic with consumers downloading considerably more than they upload data and multimedia content. The current usages of data services on smartphones will be more common than on desktop computers within a few </w:t>
      </w:r>
      <w:proofErr w:type="spellStart"/>
      <w:r>
        <w:t>years time</w:t>
      </w:r>
      <w:proofErr w:type="spellEnd"/>
      <w:r>
        <w:t xml:space="preserve">. </w:t>
      </w:r>
      <w:r>
        <w:rPr>
          <w:bCs/>
        </w:rPr>
        <w:t>Smartphones and tablets, as well as laptops using dongles will drive usage of video and hence lead to considerable growth of the mobile data traffic.</w:t>
      </w:r>
    </w:p>
    <w:p w:rsidR="00F53945" w:rsidRDefault="00F53945" w:rsidP="00F53945">
      <w:pPr>
        <w:pStyle w:val="ECCParagraph"/>
      </w:pPr>
      <w:r>
        <w:t>A high proportion of this data traffic is already mobile multimedia. Moreover, multimedia is expected to account for a rising proportion of traffic in future. The downlink to uplink ratios seem likely to widen towards 10:1 as the proportion of video traffic in networks grows. The use of the 1452-1492 MHz for Mobile SDL provides additional downlink capacity</w:t>
      </w:r>
      <w:r w:rsidRPr="00604E84">
        <w:rPr>
          <w:rFonts w:cs="Arial"/>
          <w:bCs/>
          <w:kern w:val="32"/>
          <w:szCs w:val="32"/>
        </w:rPr>
        <w:t xml:space="preserve"> </w:t>
      </w:r>
      <w:r>
        <w:rPr>
          <w:rFonts w:cs="Arial"/>
          <w:bCs/>
          <w:kern w:val="32"/>
          <w:szCs w:val="32"/>
        </w:rPr>
        <w:t>next to the bands used for mobile applications up to now</w:t>
      </w:r>
      <w:r>
        <w:t xml:space="preserve">, enables higher user data rates and supports a greater number of users, all of which will enhance the user experience and increase consumers demand for capacity (see Annex 6, figure A6-2 </w:t>
      </w:r>
      <w:r w:rsidRPr="00130338">
        <w:t xml:space="preserve">extracted from document </w:t>
      </w:r>
      <w:proofErr w:type="gramStart"/>
      <w:r w:rsidRPr="00130338">
        <w:t>FM50(</w:t>
      </w:r>
      <w:proofErr w:type="gramEnd"/>
      <w:r w:rsidRPr="00130338">
        <w:t>11)019</w:t>
      </w:r>
      <w:r>
        <w:t>).</w:t>
      </w:r>
    </w:p>
    <w:p w:rsidR="00F53945" w:rsidRDefault="00F53945" w:rsidP="00F53945">
      <w:pPr>
        <w:pStyle w:val="ECCParagraph"/>
      </w:pPr>
      <w:r w:rsidRPr="00ED27E5">
        <w:t xml:space="preserve">The L-band is within the operational range of the current cellular spectrum used by mobile broadband systems and its implementation will </w:t>
      </w:r>
      <w:r w:rsidRPr="001C7EDA">
        <w:t>have a marginal</w:t>
      </w:r>
      <w:r>
        <w:rPr>
          <w:rStyle w:val="Appelnotedebasdep"/>
        </w:rPr>
        <w:footnoteReference w:id="4"/>
      </w:r>
      <w:r w:rsidRPr="001C7EDA">
        <w:t xml:space="preserve"> impact on the equipment (base stations, chipsets, </w:t>
      </w:r>
      <w:proofErr w:type="gramStart"/>
      <w:r w:rsidRPr="001C7EDA">
        <w:t>devices</w:t>
      </w:r>
      <w:proofErr w:type="gramEnd"/>
      <w:r w:rsidRPr="001C7EDA">
        <w:t>) design and cost. In addition, the L-band offers favourable propagation properties for coverage allowing consumers in urban, suburban as well as rural areas to cost efficiently access enhanced mobile services.</w:t>
      </w:r>
    </w:p>
    <w:p w:rsidR="00F53945" w:rsidRDefault="00F53945" w:rsidP="00F53945">
      <w:pPr>
        <w:pStyle w:val="Titre3"/>
      </w:pPr>
      <w:bookmarkStart w:id="17" w:name="_Toc321318111"/>
      <w:r>
        <w:t>Spectrum requirements</w:t>
      </w:r>
      <w:bookmarkEnd w:id="17"/>
    </w:p>
    <w:p w:rsidR="00F53945" w:rsidRPr="002F1AC2" w:rsidRDefault="00F53945" w:rsidP="00F53945">
      <w:pPr>
        <w:pStyle w:val="ECCParagraph"/>
      </w:pPr>
      <w:r w:rsidRPr="002F1AC2">
        <w:t>Users in mobile networks are demanding increasingly higher peak data rates and enhanced quality of service. Operators are deploying next generation networks supporting larger bandwidth, typically 10 MHz, 15 MHz, 20 MHz, etc., to cope with these demands. In this context, and in order to support the requirement for significant increase of data speeds and user experience, access to bandwidths of  10 MHz, 15</w:t>
      </w:r>
      <w:r>
        <w:t xml:space="preserve"> </w:t>
      </w:r>
      <w:r w:rsidRPr="002F1AC2">
        <w:t xml:space="preserve">MHz or 20 MHz etc. in the band 1452 – 1492 MHz is therefore required to appropriately supplement related deployments in other mobile bands from several mobile operators. In </w:t>
      </w:r>
      <w:r w:rsidRPr="00422B41">
        <w:t>addition</w:t>
      </w:r>
      <w:r>
        <w:t xml:space="preserve">, interest of </w:t>
      </w:r>
      <w:r w:rsidRPr="002F1AC2">
        <w:t xml:space="preserve">the band 1452 – 1492 MHz for </w:t>
      </w:r>
      <w:r>
        <w:t xml:space="preserve">Mobile SDL </w:t>
      </w:r>
      <w:r w:rsidRPr="002F1AC2">
        <w:t xml:space="preserve">use by operators is linked to the opportunity of having access to a frequency block of at least 10 MHz for SDL deployments to make network investments justifiable. Notably, a </w:t>
      </w:r>
      <w:r>
        <w:t xml:space="preserve">one </w:t>
      </w:r>
      <w:r w:rsidRPr="002F1AC2">
        <w:t>frequency block of 5 MHz per operator would not be sufficient to support advanced services such as higher definition video based multimedia content.</w:t>
      </w:r>
    </w:p>
    <w:p w:rsidR="00F53945" w:rsidRPr="002F1AC2" w:rsidRDefault="00F53945" w:rsidP="00F53945">
      <w:pPr>
        <w:pStyle w:val="ECCParagraph"/>
        <w:spacing w:after="120"/>
      </w:pPr>
      <w:r w:rsidRPr="002F1AC2">
        <w:t>Furthermore, the success of a frequency band arrangement depends on the emergence of a</w:t>
      </w:r>
      <w:r>
        <w:t xml:space="preserve">n </w:t>
      </w:r>
      <w:r w:rsidRPr="002F1AC2">
        <w:t xml:space="preserve">eco-system with </w:t>
      </w:r>
      <w:r>
        <w:t>high</w:t>
      </w:r>
      <w:r w:rsidRPr="002F1AC2">
        <w:t xml:space="preserve"> equipment market penetration, including both base stations and devices, supporting usages in this band. This </w:t>
      </w:r>
      <w:r>
        <w:t xml:space="preserve">requires that the </w:t>
      </w:r>
      <w:r w:rsidRPr="002F1AC2">
        <w:t xml:space="preserve">band </w:t>
      </w:r>
      <w:r>
        <w:t xml:space="preserve">is </w:t>
      </w:r>
      <w:r w:rsidRPr="002F1AC2">
        <w:t>harmoni</w:t>
      </w:r>
      <w:r>
        <w:t>s</w:t>
      </w:r>
      <w:r w:rsidRPr="002F1AC2">
        <w:t xml:space="preserve">ed </w:t>
      </w:r>
      <w:r>
        <w:t xml:space="preserve">(in order to ensure its availability in a sufficient number of countries) </w:t>
      </w:r>
      <w:r w:rsidRPr="002F1AC2">
        <w:t xml:space="preserve">and large enough </w:t>
      </w:r>
      <w:r>
        <w:t>(</w:t>
      </w:r>
      <w:r w:rsidRPr="002F1AC2">
        <w:t>in order to accommodate multiple operators, which would through competition trigger</w:t>
      </w:r>
      <w:r>
        <w:t xml:space="preserve"> growing </w:t>
      </w:r>
      <w:r w:rsidRPr="002F1AC2">
        <w:t>demands</w:t>
      </w:r>
      <w:r>
        <w:t>)</w:t>
      </w:r>
      <w:r w:rsidRPr="002F1AC2">
        <w:t xml:space="preserve">. On the contrary, if the band is not harmonized in full (less than 40 MHz) and only one operator would be able to use the band in a country, then such operator would struggle to find mass market cost efficient equipment. Therefore, the full 40 MHz in the band 1452 - 1492 MHz will accommodate multiple operators and therefore drive economy scale to the benefits of consumers. </w:t>
      </w:r>
    </w:p>
    <w:p w:rsidR="00F53945" w:rsidRDefault="00F53945" w:rsidP="00F53945">
      <w:pPr>
        <w:pStyle w:val="ECCParagraph"/>
      </w:pPr>
      <w:r>
        <w:t>Taking into account the need of at least 10 MHz per operator (see above) in a competition environment with several operators able to access the 1.4 GHz band and the requirement for economies of scale, in large bandwidth devices and infrastructure</w:t>
      </w:r>
      <w:r w:rsidRPr="002F1AC2">
        <w:t xml:space="preserve">, a harmonised channelling arrangement for </w:t>
      </w:r>
      <w:r>
        <w:t xml:space="preserve">Mobile </w:t>
      </w:r>
      <w:r w:rsidRPr="002F1AC2">
        <w:t xml:space="preserve">SDL across the whole band 1452 – 1492 MHz is </w:t>
      </w:r>
      <w:r>
        <w:t xml:space="preserve">deemed </w:t>
      </w:r>
      <w:r w:rsidRPr="002F1AC2">
        <w:t>essential.</w:t>
      </w:r>
      <w:r>
        <w:t xml:space="preserve"> </w:t>
      </w:r>
      <w:r w:rsidRPr="002F1AC2">
        <w:t>Such a channelling arrangement should be designed for</w:t>
      </w:r>
      <w:r>
        <w:t xml:space="preserve"> eight frequency blocks</w:t>
      </w:r>
      <w:r w:rsidRPr="002F1AC2">
        <w:t xml:space="preserve"> of </w:t>
      </w:r>
      <w:r>
        <w:t xml:space="preserve">5 </w:t>
      </w:r>
      <w:r w:rsidRPr="002F1AC2">
        <w:t>MHz each</w:t>
      </w:r>
      <w:r>
        <w:t xml:space="preserve"> as usual for mobile bands (</w:t>
      </w:r>
      <w:r w:rsidRPr="00DF4F11">
        <w:t xml:space="preserve">with the </w:t>
      </w:r>
      <w:r w:rsidRPr="0086560C">
        <w:t xml:space="preserve">possibility </w:t>
      </w:r>
      <w:r w:rsidRPr="00DF4F11">
        <w:t>to aggregate</w:t>
      </w:r>
      <w:r>
        <w:t xml:space="preserve"> at least</w:t>
      </w:r>
      <w:r w:rsidRPr="00DF4F11">
        <w:t xml:space="preserve"> two adjacent blocks</w:t>
      </w:r>
      <w:r>
        <w:t>)</w:t>
      </w:r>
      <w:r w:rsidRPr="00E91E63">
        <w:t xml:space="preserve">, </w:t>
      </w:r>
      <w:r w:rsidRPr="002F1AC2">
        <w:t xml:space="preserve">subject to LRTC while enabling terrestrial UMTS/LTE SDL deployment i.e. base station to devices communication direction. A firm decision will convey a clear signal to the mobile broadband and broadcasting content industries on the availability of a sufficient harmonised capacity (40 MHz) for economically sustainable business cases in the band 1.4 GHz, still leaving the choice to administrations to potentially accommodate in part of the band any specific national need for other applications. </w:t>
      </w:r>
    </w:p>
    <w:p w:rsidR="00F53945" w:rsidRDefault="00F53945" w:rsidP="00F53945">
      <w:pPr>
        <w:pStyle w:val="Titre2"/>
      </w:pPr>
      <w:r w:rsidRPr="00F53945">
        <w:lastRenderedPageBreak/>
        <w:t>application four: Satellite DIGITAL AUDIO BROADCASTING (S-DAB)</w:t>
      </w:r>
    </w:p>
    <w:p w:rsidR="00F53945" w:rsidRDefault="00F53945" w:rsidP="00F53945">
      <w:pPr>
        <w:pStyle w:val="Titre3"/>
      </w:pPr>
      <w:bookmarkStart w:id="18" w:name="_Toc321318113"/>
      <w:r>
        <w:t>Description</w:t>
      </w:r>
      <w:bookmarkEnd w:id="18"/>
    </w:p>
    <w:p w:rsidR="00F53945" w:rsidRDefault="00F53945" w:rsidP="00F53945">
      <w:pPr>
        <w:pStyle w:val="ECCParagraph"/>
      </w:pPr>
      <w:r>
        <w:t xml:space="preserve">Satellite broadcasting is one of the principal means for access to thousands of radio and TV services by the general public in many countries across the globe. </w:t>
      </w:r>
      <w:r w:rsidRPr="009B3773">
        <w:rPr>
          <w:lang w:val="en-US"/>
        </w:rPr>
        <w:t>Satellites play a major role in ensuring complete coverage</w:t>
      </w:r>
      <w:proofErr w:type="gramStart"/>
      <w:r w:rsidRPr="009B3773">
        <w:rPr>
          <w:lang w:val="en-US"/>
        </w:rPr>
        <w:t>,.</w:t>
      </w:r>
      <w:proofErr w:type="gramEnd"/>
      <w:r w:rsidRPr="009B3773">
        <w:rPr>
          <w:lang w:val="en-US"/>
        </w:rPr>
        <w:t xml:space="preserve"> </w:t>
      </w:r>
      <w:r>
        <w:rPr>
          <w:lang w:val="en-US"/>
        </w:rPr>
        <w:t>In those cases, s</w:t>
      </w:r>
      <w:r w:rsidRPr="009B3773">
        <w:rPr>
          <w:lang w:val="en-US"/>
        </w:rPr>
        <w:t xml:space="preserve">uch offer complements the basic terrestrial offer, which </w:t>
      </w:r>
      <w:r>
        <w:rPr>
          <w:lang w:val="en-US"/>
        </w:rPr>
        <w:t>may</w:t>
      </w:r>
      <w:r w:rsidRPr="009B3773">
        <w:rPr>
          <w:lang w:val="en-US"/>
        </w:rPr>
        <w:t xml:space="preserve"> not </w:t>
      </w:r>
      <w:r>
        <w:rPr>
          <w:lang w:val="en-US"/>
        </w:rPr>
        <w:t xml:space="preserve">be </w:t>
      </w:r>
      <w:r w:rsidRPr="009B3773">
        <w:rPr>
          <w:lang w:val="en-US"/>
        </w:rPr>
        <w:t>available everywhere. Alternatively, satellite can also offer new channels that are not available on terrestrial-only networks. As demonstrated by the digitization of TV services, digital satellite can play an important role enabling the deployment of new digital technologies and services.</w:t>
      </w:r>
    </w:p>
    <w:p w:rsidR="00F53945" w:rsidRDefault="00F53945" w:rsidP="00F53945">
      <w:pPr>
        <w:pStyle w:val="ECCParagraph"/>
        <w:spacing w:after="120"/>
      </w:pPr>
      <w:r>
        <w:rPr>
          <w:rFonts w:cs="Arial"/>
        </w:rPr>
        <w:t>Where</w:t>
      </w:r>
      <w:r w:rsidRPr="003D1269">
        <w:rPr>
          <w:rFonts w:cs="Arial"/>
        </w:rPr>
        <w:t xml:space="preserve"> </w:t>
      </w:r>
      <w:r>
        <w:rPr>
          <w:rFonts w:cs="Arial"/>
        </w:rPr>
        <w:t xml:space="preserve">satellites are </w:t>
      </w:r>
      <w:r w:rsidRPr="003D1269">
        <w:t>used in combination with complementary terrestrial networks</w:t>
      </w:r>
      <w:r w:rsidRPr="003D1269">
        <w:rPr>
          <w:rFonts w:cs="Arial"/>
        </w:rPr>
        <w:t>,</w:t>
      </w:r>
      <w:r w:rsidRPr="003D1269">
        <w:t xml:space="preserve"> a “hybrid” system is created</w:t>
      </w:r>
      <w:r>
        <w:t>.</w:t>
      </w:r>
      <w:r w:rsidRPr="003D1269">
        <w:t xml:space="preserve"> </w:t>
      </w:r>
      <w:r>
        <w:t>Such a hybrid system consists of the satellite component and its associated terrestrial component(s). The complementary terrestrial networks can be used for the retransmission of content also available on the satellite (for instance to improve the reception quality in areas without line of sight to the satellite, especially important in a mobile environment) and/or to provide access to additional content (</w:t>
      </w:r>
      <w:proofErr w:type="spellStart"/>
      <w:r>
        <w:t>eg</w:t>
      </w:r>
      <w:proofErr w:type="spellEnd"/>
      <w:r>
        <w:t xml:space="preserve">, local or on-demand content). </w:t>
      </w:r>
    </w:p>
    <w:p w:rsidR="00F53945" w:rsidRPr="00341EC0" w:rsidRDefault="00F53945" w:rsidP="00F53945">
      <w:pPr>
        <w:pStyle w:val="ECCParagraph"/>
        <w:spacing w:after="120"/>
      </w:pPr>
      <w:r>
        <w:t xml:space="preserve">Satellite Digital Audio Broadcasting (S-DAB) is a satellite-enabled system for the digital broadcasting of a wide variety of audio content to fixed and mobile receivers (including portable, handheld and vehicular). S-DAB systems </w:t>
      </w:r>
      <w:r w:rsidRPr="00341EC0">
        <w:t xml:space="preserve">are expected to transport </w:t>
      </w:r>
      <w:r>
        <w:t>a mix of</w:t>
      </w:r>
      <w:r w:rsidRPr="00341EC0">
        <w:t xml:space="preserve"> “subscription</w:t>
      </w:r>
      <w:r>
        <w:t xml:space="preserve">-based” and “free-to-air” services. Free-to-air services may be public services or commercial services for a large audience. A basic encryption could still be employed also in the case of free-to-air services in order to ensure copyright protection. </w:t>
      </w:r>
    </w:p>
    <w:p w:rsidR="00F53945" w:rsidRDefault="00F53945" w:rsidP="00F53945">
      <w:pPr>
        <w:pStyle w:val="ECCParagraph"/>
        <w:spacing w:after="120"/>
      </w:pPr>
      <w:r>
        <w:t>Three main modes of S-DAB operation can be distinguished:</w:t>
      </w:r>
    </w:p>
    <w:p w:rsidR="00F53945" w:rsidRDefault="00F53945" w:rsidP="00F53945">
      <w:pPr>
        <w:pStyle w:val="ECCParBulleted"/>
        <w:rPr>
          <w:lang w:eastAsia="de-DE"/>
        </w:rPr>
      </w:pPr>
      <w:r>
        <w:rPr>
          <w:lang w:eastAsia="de-DE"/>
        </w:rPr>
        <w:t>As a standalone satellite component (</w:t>
      </w:r>
      <w:proofErr w:type="spellStart"/>
      <w:r>
        <w:rPr>
          <w:lang w:eastAsia="de-DE"/>
        </w:rPr>
        <w:t>i.e</w:t>
      </w:r>
      <w:proofErr w:type="spellEnd"/>
      <w:r>
        <w:rPr>
          <w:lang w:eastAsia="de-DE"/>
        </w:rPr>
        <w:t>, without complementary terrestrial component);</w:t>
      </w:r>
    </w:p>
    <w:p w:rsidR="00F53945" w:rsidRDefault="00F53945" w:rsidP="00F53945">
      <w:pPr>
        <w:pStyle w:val="ECCParBulleted"/>
      </w:pPr>
      <w:r>
        <w:rPr>
          <w:lang w:eastAsia="de-DE"/>
        </w:rPr>
        <w:t>A</w:t>
      </w:r>
      <w:r w:rsidRPr="00C04C1C">
        <w:rPr>
          <w:lang w:eastAsia="de-DE"/>
        </w:rPr>
        <w:t xml:space="preserve">s </w:t>
      </w:r>
      <w:r>
        <w:rPr>
          <w:lang w:eastAsia="de-DE"/>
        </w:rPr>
        <w:t xml:space="preserve">the satellite component of a hybrid solution </w:t>
      </w:r>
      <w:r w:rsidRPr="00C04C1C">
        <w:rPr>
          <w:lang w:eastAsia="de-DE"/>
        </w:rPr>
        <w:t xml:space="preserve">with complementary terrestrial </w:t>
      </w:r>
      <w:r>
        <w:rPr>
          <w:lang w:eastAsia="de-DE"/>
        </w:rPr>
        <w:t xml:space="preserve">broadcasting networks </w:t>
      </w:r>
      <w:r w:rsidRPr="00C04C1C">
        <w:rPr>
          <w:lang w:eastAsia="de-DE"/>
        </w:rPr>
        <w:t>operating in the spectrum used by the satellite across CEPT</w:t>
      </w:r>
      <w:r>
        <w:rPr>
          <w:lang w:eastAsia="de-DE"/>
        </w:rPr>
        <w:t>;</w:t>
      </w:r>
    </w:p>
    <w:p w:rsidR="00F53945" w:rsidRPr="00004E80" w:rsidRDefault="00F53945" w:rsidP="00F53945">
      <w:pPr>
        <w:pStyle w:val="ECCParBulleted"/>
        <w:rPr>
          <w:lang w:eastAsia="de-DE"/>
        </w:rPr>
      </w:pPr>
      <w:r>
        <w:rPr>
          <w:lang w:eastAsia="de-DE"/>
        </w:rPr>
        <w:t>As a standalone satellite component, complementing nationally licensed terrestrial broadcast networks.</w:t>
      </w:r>
    </w:p>
    <w:p w:rsidR="00F53945" w:rsidRDefault="00F53945" w:rsidP="00F53945">
      <w:pPr>
        <w:pStyle w:val="Sansinterligne1"/>
        <w:tabs>
          <w:tab w:val="num" w:pos="284"/>
        </w:tabs>
        <w:spacing w:before="120" w:after="120"/>
        <w:rPr>
          <w:rFonts w:ascii="Arial" w:hAnsi="Arial" w:cs="Arial"/>
          <w:sz w:val="20"/>
          <w:szCs w:val="20"/>
          <w:lang w:val="en-GB"/>
        </w:rPr>
      </w:pPr>
      <w:r>
        <w:rPr>
          <w:rFonts w:ascii="Arial" w:hAnsi="Arial" w:cs="Arial"/>
          <w:sz w:val="20"/>
          <w:szCs w:val="20"/>
          <w:lang w:val="en-GB"/>
        </w:rPr>
        <w:t xml:space="preserve">The specific mode of operation (and content) may vary from country to country, depending on national regulations and the competitive situation. </w:t>
      </w:r>
      <w:r w:rsidRPr="00D7125D">
        <w:rPr>
          <w:rFonts w:ascii="Arial" w:hAnsi="Arial" w:cs="Arial"/>
          <w:sz w:val="20"/>
          <w:szCs w:val="20"/>
          <w:lang w:val="en-GB"/>
        </w:rPr>
        <w:t xml:space="preserve">A hybrid service using the second mode of operation </w:t>
      </w:r>
      <w:r>
        <w:rPr>
          <w:rFonts w:ascii="Arial" w:hAnsi="Arial" w:cs="Arial"/>
          <w:sz w:val="20"/>
          <w:szCs w:val="20"/>
          <w:lang w:val="en-GB"/>
        </w:rPr>
        <w:t xml:space="preserve">(operating in the 2.3 GHz band) </w:t>
      </w:r>
      <w:r w:rsidRPr="00D7125D">
        <w:rPr>
          <w:rFonts w:ascii="Arial" w:hAnsi="Arial" w:cs="Arial"/>
          <w:sz w:val="20"/>
          <w:szCs w:val="20"/>
          <w:lang w:val="en-GB"/>
        </w:rPr>
        <w:t>has accumulated over 22</w:t>
      </w:r>
      <w:r>
        <w:rPr>
          <w:rFonts w:ascii="Arial" w:hAnsi="Arial" w:cs="Arial"/>
          <w:sz w:val="20"/>
          <w:szCs w:val="20"/>
          <w:lang w:val="en-GB"/>
        </w:rPr>
        <w:t xml:space="preserve"> </w:t>
      </w:r>
      <w:proofErr w:type="spellStart"/>
      <w:r>
        <w:rPr>
          <w:rFonts w:ascii="Arial" w:hAnsi="Arial" w:cs="Arial"/>
          <w:sz w:val="20"/>
          <w:szCs w:val="20"/>
          <w:lang w:val="en-GB"/>
        </w:rPr>
        <w:t>millions</w:t>
      </w:r>
      <w:proofErr w:type="spellEnd"/>
      <w:r w:rsidRPr="00D7125D">
        <w:rPr>
          <w:rFonts w:ascii="Arial" w:hAnsi="Arial" w:cs="Arial"/>
          <w:sz w:val="20"/>
          <w:szCs w:val="20"/>
          <w:lang w:val="en-GB"/>
        </w:rPr>
        <w:t xml:space="preserve"> </w:t>
      </w:r>
      <w:r>
        <w:rPr>
          <w:rFonts w:ascii="Arial" w:hAnsi="Arial" w:cs="Arial"/>
          <w:sz w:val="20"/>
          <w:szCs w:val="20"/>
          <w:lang w:val="en-GB"/>
        </w:rPr>
        <w:t xml:space="preserve">of </w:t>
      </w:r>
      <w:r w:rsidRPr="00D7125D">
        <w:rPr>
          <w:rFonts w:ascii="Arial" w:hAnsi="Arial" w:cs="Arial"/>
          <w:sz w:val="20"/>
          <w:szCs w:val="20"/>
          <w:lang w:val="en-GB"/>
        </w:rPr>
        <w:t>paying subscribers in North America, with annual revenue in excess of 3</w:t>
      </w:r>
      <w:r>
        <w:rPr>
          <w:rFonts w:ascii="Arial" w:hAnsi="Arial" w:cs="Arial"/>
          <w:sz w:val="20"/>
          <w:szCs w:val="20"/>
          <w:lang w:val="en-GB"/>
        </w:rPr>
        <w:t xml:space="preserve"> billion US dollars</w:t>
      </w:r>
      <w:r w:rsidRPr="00D7125D">
        <w:rPr>
          <w:rFonts w:ascii="Arial" w:hAnsi="Arial" w:cs="Arial"/>
          <w:sz w:val="20"/>
          <w:szCs w:val="20"/>
          <w:lang w:val="en-GB"/>
        </w:rPr>
        <w:t>.</w:t>
      </w:r>
      <w:r>
        <w:rPr>
          <w:rFonts w:ascii="Arial" w:hAnsi="Arial" w:cs="Arial"/>
          <w:sz w:val="20"/>
          <w:szCs w:val="20"/>
          <w:lang w:val="en-GB"/>
        </w:rPr>
        <w:t xml:space="preserve"> A large proportion of new cars sold in </w:t>
      </w:r>
      <w:smartTag w:uri="urn:schemas-microsoft-com:office:smarttags" w:element="place">
        <w:r>
          <w:rPr>
            <w:rFonts w:ascii="Arial" w:hAnsi="Arial" w:cs="Arial"/>
            <w:sz w:val="20"/>
            <w:szCs w:val="20"/>
            <w:lang w:val="en-GB"/>
          </w:rPr>
          <w:t>North America</w:t>
        </w:r>
      </w:smartTag>
      <w:r>
        <w:rPr>
          <w:rFonts w:ascii="Arial" w:hAnsi="Arial" w:cs="Arial"/>
          <w:sz w:val="20"/>
          <w:szCs w:val="20"/>
          <w:lang w:val="en-GB"/>
        </w:rPr>
        <w:t xml:space="preserve"> </w:t>
      </w:r>
      <w:proofErr w:type="gramStart"/>
      <w:r>
        <w:rPr>
          <w:rFonts w:ascii="Arial" w:hAnsi="Arial" w:cs="Arial"/>
          <w:sz w:val="20"/>
          <w:szCs w:val="20"/>
          <w:lang w:val="en-GB"/>
        </w:rPr>
        <w:t>is</w:t>
      </w:r>
      <w:proofErr w:type="gramEnd"/>
      <w:r>
        <w:rPr>
          <w:rFonts w:ascii="Arial" w:hAnsi="Arial" w:cs="Arial"/>
          <w:sz w:val="20"/>
          <w:szCs w:val="20"/>
          <w:lang w:val="en-GB"/>
        </w:rPr>
        <w:t xml:space="preserve"> equipped with a satellite radio enabled receiver.</w:t>
      </w:r>
    </w:p>
    <w:p w:rsidR="00F53945" w:rsidRDefault="00F53945" w:rsidP="00F53945">
      <w:pPr>
        <w:pStyle w:val="ECCParagraph"/>
        <w:spacing w:after="120"/>
      </w:pPr>
      <w:r>
        <w:t>The main features of S-DAB services are:</w:t>
      </w:r>
    </w:p>
    <w:p w:rsidR="00F53945" w:rsidRDefault="00F53945" w:rsidP="00F53945">
      <w:pPr>
        <w:pStyle w:val="ECCParBulleted"/>
      </w:pPr>
      <w:r>
        <w:t>Universal availability</w:t>
      </w:r>
    </w:p>
    <w:p w:rsidR="00F53945" w:rsidRDefault="00F53945" w:rsidP="00F53945">
      <w:pPr>
        <w:pStyle w:val="ECCParBulleted"/>
        <w:numPr>
          <w:ilvl w:val="1"/>
          <w:numId w:val="1"/>
        </w:numPr>
      </w:pPr>
      <w:r>
        <w:t>coverage up to 100% of the territory</w:t>
      </w:r>
      <w:r w:rsidRPr="00DF33AA">
        <w:t xml:space="preserve"> </w:t>
      </w:r>
      <w:r>
        <w:t>under line-of-sight conditions</w:t>
      </w:r>
    </w:p>
    <w:p w:rsidR="00F53945" w:rsidRDefault="00F53945" w:rsidP="00F53945">
      <w:pPr>
        <w:pStyle w:val="ECCParBulleted"/>
        <w:numPr>
          <w:ilvl w:val="1"/>
          <w:numId w:val="1"/>
        </w:numPr>
      </w:pPr>
      <w:r>
        <w:t>support for services for people with disabilities, where required</w:t>
      </w:r>
    </w:p>
    <w:p w:rsidR="00F53945" w:rsidRDefault="00F53945" w:rsidP="00F53945">
      <w:pPr>
        <w:tabs>
          <w:tab w:val="left" w:pos="426"/>
          <w:tab w:val="left" w:pos="1560"/>
        </w:tabs>
      </w:pPr>
    </w:p>
    <w:p w:rsidR="00F53945" w:rsidRDefault="00F53945" w:rsidP="00F53945">
      <w:pPr>
        <w:pStyle w:val="ECCParBulleted"/>
      </w:pPr>
      <w:r w:rsidRPr="00F53945">
        <w:t>High</w:t>
      </w:r>
      <w:r>
        <w:t xml:space="preserve"> </w:t>
      </w:r>
      <w:proofErr w:type="spellStart"/>
      <w:r>
        <w:t>QoS</w:t>
      </w:r>
      <w:proofErr w:type="spellEnd"/>
    </w:p>
    <w:p w:rsidR="00F53945" w:rsidRPr="00F53945" w:rsidRDefault="00F53945" w:rsidP="00F53945">
      <w:pPr>
        <w:pStyle w:val="ECCParBulleted"/>
        <w:numPr>
          <w:ilvl w:val="1"/>
          <w:numId w:val="1"/>
        </w:numPr>
      </w:pPr>
      <w:r w:rsidRPr="00F53945">
        <w:t>predictable and consistent across the whole service area</w:t>
      </w:r>
    </w:p>
    <w:p w:rsidR="00F53945" w:rsidRPr="00F53945" w:rsidRDefault="00F53945" w:rsidP="00F53945">
      <w:pPr>
        <w:pStyle w:val="ECCParBulleted"/>
        <w:numPr>
          <w:ilvl w:val="1"/>
          <w:numId w:val="1"/>
        </w:numPr>
      </w:pPr>
      <w:r w:rsidRPr="00F53945">
        <w:t>independent of the number of simultaneous viewers and listeners</w:t>
      </w:r>
    </w:p>
    <w:p w:rsidR="00F53945" w:rsidRDefault="00F53945" w:rsidP="00F53945">
      <w:pPr>
        <w:pStyle w:val="ECCParBulleted"/>
        <w:numPr>
          <w:ilvl w:val="1"/>
          <w:numId w:val="1"/>
        </w:numPr>
      </w:pPr>
      <w:r w:rsidRPr="00F53945">
        <w:t xml:space="preserve">control over </w:t>
      </w:r>
      <w:proofErr w:type="spellStart"/>
      <w:r w:rsidRPr="00F53945">
        <w:t>QoS</w:t>
      </w:r>
      <w:proofErr w:type="spellEnd"/>
      <w:r>
        <w:t xml:space="preserve"> and the user experience</w:t>
      </w:r>
    </w:p>
    <w:p w:rsidR="00F53945" w:rsidRDefault="00F53945" w:rsidP="00F53945">
      <w:pPr>
        <w:pStyle w:val="ECCParBulleted"/>
        <w:numPr>
          <w:ilvl w:val="0"/>
          <w:numId w:val="0"/>
        </w:numPr>
        <w:jc w:val="left"/>
      </w:pPr>
    </w:p>
    <w:p w:rsidR="00F53945" w:rsidRPr="00F53945" w:rsidRDefault="00F53945" w:rsidP="00F53945">
      <w:pPr>
        <w:pStyle w:val="ECCParBulleted"/>
      </w:pPr>
      <w:r w:rsidRPr="00F53945">
        <w:t>Efficiency</w:t>
      </w:r>
    </w:p>
    <w:p w:rsidR="00F53945" w:rsidRPr="00F53945" w:rsidRDefault="00F53945" w:rsidP="00F53945">
      <w:pPr>
        <w:pStyle w:val="ECCParBulleted"/>
        <w:numPr>
          <w:ilvl w:val="1"/>
          <w:numId w:val="1"/>
        </w:numPr>
      </w:pPr>
      <w:r w:rsidRPr="00F53945">
        <w:t>spectrally, technically and cost efficient delivery to large audiences</w:t>
      </w:r>
    </w:p>
    <w:p w:rsidR="00F53945" w:rsidRPr="00F53945" w:rsidRDefault="00F53945" w:rsidP="00F53945">
      <w:pPr>
        <w:pStyle w:val="ECCParBulleted"/>
        <w:numPr>
          <w:ilvl w:val="0"/>
          <w:numId w:val="0"/>
        </w:numPr>
      </w:pPr>
    </w:p>
    <w:p w:rsidR="00F53945" w:rsidRPr="00F53945" w:rsidRDefault="00F53945" w:rsidP="00F53945">
      <w:pPr>
        <w:pStyle w:val="ECCParBulleted"/>
      </w:pPr>
      <w:r w:rsidRPr="00F53945">
        <w:t>Flexibility</w:t>
      </w:r>
    </w:p>
    <w:p w:rsidR="00F53945" w:rsidRPr="00F53945" w:rsidRDefault="00F53945" w:rsidP="00F53945">
      <w:pPr>
        <w:pStyle w:val="ECCParBulleted"/>
        <w:numPr>
          <w:ilvl w:val="1"/>
          <w:numId w:val="1"/>
        </w:numPr>
      </w:pPr>
      <w:r w:rsidRPr="00F53945">
        <w:t>possible delivery to fixed, portable and mobile reception conditions</w:t>
      </w:r>
    </w:p>
    <w:p w:rsidR="00F53945" w:rsidRPr="00F53945" w:rsidRDefault="00F53945" w:rsidP="00F53945">
      <w:pPr>
        <w:pStyle w:val="ECCParBulleted"/>
        <w:numPr>
          <w:ilvl w:val="1"/>
          <w:numId w:val="1"/>
        </w:numPr>
      </w:pPr>
      <w:r w:rsidRPr="00F53945">
        <w:t>support for free-to-air reception or conditional access, or both</w:t>
      </w:r>
    </w:p>
    <w:p w:rsidR="00F53945" w:rsidRPr="00F53945" w:rsidRDefault="00F53945" w:rsidP="00F53945">
      <w:pPr>
        <w:pStyle w:val="ECCParBulleted"/>
        <w:numPr>
          <w:ilvl w:val="1"/>
          <w:numId w:val="1"/>
        </w:numPr>
      </w:pPr>
      <w:r w:rsidRPr="00F53945">
        <w:t>supports public service as well as commercial broadcasting model</w:t>
      </w:r>
    </w:p>
    <w:p w:rsidR="00F53945" w:rsidRPr="00F53945" w:rsidRDefault="00F53945" w:rsidP="00F53945">
      <w:pPr>
        <w:pStyle w:val="ECCParBulleted"/>
        <w:numPr>
          <w:ilvl w:val="1"/>
          <w:numId w:val="1"/>
        </w:numPr>
      </w:pPr>
      <w:r w:rsidRPr="00F53945">
        <w:t>access adapted to the service requirements (international, national and regional)</w:t>
      </w:r>
    </w:p>
    <w:p w:rsidR="00F53945" w:rsidRDefault="00F53945" w:rsidP="00F53945">
      <w:pPr>
        <w:pStyle w:val="ECCParBulleted"/>
        <w:numPr>
          <w:ilvl w:val="0"/>
          <w:numId w:val="0"/>
        </w:numPr>
        <w:ind w:left="340"/>
        <w:jc w:val="left"/>
      </w:pPr>
    </w:p>
    <w:p w:rsidR="00F53945" w:rsidRDefault="00F53945" w:rsidP="00F53945">
      <w:pPr>
        <w:pStyle w:val="ECCParBulleted"/>
      </w:pPr>
      <w:r>
        <w:t xml:space="preserve">Mass-market </w:t>
      </w:r>
      <w:r w:rsidRPr="00F53945">
        <w:t>platform</w:t>
      </w:r>
    </w:p>
    <w:p w:rsidR="00F53945" w:rsidRDefault="00F53945" w:rsidP="00F53945">
      <w:pPr>
        <w:pStyle w:val="ECCParBulleted"/>
        <w:numPr>
          <w:ilvl w:val="1"/>
          <w:numId w:val="1"/>
        </w:numPr>
      </w:pPr>
      <w:r>
        <w:t xml:space="preserve">widely </w:t>
      </w:r>
      <w:r w:rsidRPr="00F53945">
        <w:t>supported</w:t>
      </w:r>
      <w:r>
        <w:t xml:space="preserve"> by manufacturers, </w:t>
      </w:r>
      <w:r w:rsidRPr="00F53945">
        <w:t>satellite</w:t>
      </w:r>
      <w:r>
        <w:t xml:space="preserve"> network operators, broadcasters and regulators </w:t>
      </w:r>
    </w:p>
    <w:p w:rsidR="00F53945" w:rsidRDefault="00F53945" w:rsidP="00F53945">
      <w:pPr>
        <w:pStyle w:val="ECCParBulleted"/>
        <w:numPr>
          <w:ilvl w:val="0"/>
          <w:numId w:val="0"/>
        </w:numPr>
        <w:jc w:val="left"/>
      </w:pPr>
    </w:p>
    <w:p w:rsidR="00F53945" w:rsidRDefault="00F53945" w:rsidP="00F53945">
      <w:pPr>
        <w:pStyle w:val="ECCParBulleted"/>
      </w:pPr>
      <w:r w:rsidRPr="00F53945">
        <w:t>Competition</w:t>
      </w:r>
    </w:p>
    <w:p w:rsidR="00F53945" w:rsidRDefault="00F53945" w:rsidP="00F53945">
      <w:pPr>
        <w:pStyle w:val="ECCParBulleted"/>
        <w:numPr>
          <w:ilvl w:val="1"/>
          <w:numId w:val="1"/>
        </w:numPr>
      </w:pPr>
      <w:r>
        <w:lastRenderedPageBreak/>
        <w:t>promotes competition even in those markets that are dominated by other delivery platforms</w:t>
      </w:r>
    </w:p>
    <w:p w:rsidR="00F53945" w:rsidRDefault="00F53945" w:rsidP="00F53945">
      <w:pPr>
        <w:pStyle w:val="ECCParBulleted"/>
        <w:numPr>
          <w:ilvl w:val="0"/>
          <w:numId w:val="0"/>
        </w:numPr>
        <w:ind w:left="340" w:hanging="340"/>
        <w:jc w:val="left"/>
      </w:pPr>
    </w:p>
    <w:p w:rsidR="00F53945" w:rsidRDefault="00F53945" w:rsidP="00F53945">
      <w:pPr>
        <w:pStyle w:val="ECCParagraph"/>
      </w:pPr>
      <w:r>
        <w:t>S-DAB networks can be implemented by means of different technologies, in particular the DVB-SH and SDR standards families, as indicated in the table 4 below:</w:t>
      </w:r>
    </w:p>
    <w:p w:rsidR="00F53945" w:rsidRDefault="00F53945" w:rsidP="00F53945">
      <w:pPr>
        <w:pStyle w:val="Lgende"/>
      </w:pPr>
      <w:r>
        <w:t xml:space="preserve">Table 4: </w:t>
      </w:r>
      <w:r w:rsidRPr="003F5278">
        <w:t xml:space="preserve">Examples of </w:t>
      </w:r>
      <w:r>
        <w:t>satellite</w:t>
      </w:r>
      <w:r w:rsidRPr="003F5278">
        <w:t xml:space="preserve"> broadcasting </w:t>
      </w:r>
      <w:r>
        <w:t>technologies</w:t>
      </w:r>
    </w:p>
    <w:tbl>
      <w:tblPr>
        <w:tblW w:w="9322"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Grid>
        <w:gridCol w:w="2235"/>
        <w:gridCol w:w="2976"/>
        <w:gridCol w:w="4111"/>
      </w:tblGrid>
      <w:tr w:rsidR="00F53945" w:rsidTr="00F53945">
        <w:trPr>
          <w:tblHeader/>
        </w:trPr>
        <w:tc>
          <w:tcPr>
            <w:tcW w:w="2235" w:type="dxa"/>
            <w:tcBorders>
              <w:right w:val="single" w:sz="8" w:space="0" w:color="FFFFFF"/>
            </w:tcBorders>
            <w:shd w:val="clear" w:color="auto" w:fill="D2232A"/>
            <w:vAlign w:val="center"/>
          </w:tcPr>
          <w:p w:rsidR="00F53945" w:rsidRPr="009D5834" w:rsidRDefault="00F53945" w:rsidP="00F53945">
            <w:pPr>
              <w:spacing w:line="288" w:lineRule="auto"/>
              <w:jc w:val="center"/>
              <w:rPr>
                <w:rFonts w:cs="Arial"/>
                <w:b/>
                <w:color w:val="FFFFFF"/>
              </w:rPr>
            </w:pPr>
            <w:r>
              <w:rPr>
                <w:rFonts w:cs="Arial"/>
                <w:b/>
                <w:color w:val="FFFFFF"/>
              </w:rPr>
              <w:t>Technology</w:t>
            </w:r>
          </w:p>
        </w:tc>
        <w:tc>
          <w:tcPr>
            <w:tcW w:w="2976" w:type="dxa"/>
            <w:tcBorders>
              <w:left w:val="single" w:sz="8" w:space="0" w:color="FFFFFF"/>
              <w:right w:val="single" w:sz="8" w:space="0" w:color="FFFFFF"/>
            </w:tcBorders>
            <w:shd w:val="clear" w:color="auto" w:fill="D2232A"/>
            <w:vAlign w:val="center"/>
          </w:tcPr>
          <w:p w:rsidR="00F53945" w:rsidRPr="00FE1795" w:rsidRDefault="00F53945" w:rsidP="00F53945">
            <w:pPr>
              <w:spacing w:line="288" w:lineRule="auto"/>
              <w:jc w:val="center"/>
              <w:rPr>
                <w:b/>
                <w:color w:val="FFFFFF"/>
              </w:rPr>
            </w:pPr>
            <w:r>
              <w:rPr>
                <w:b/>
                <w:color w:val="FFFFFF"/>
              </w:rPr>
              <w:t>Supported</w:t>
            </w:r>
            <w:r w:rsidRPr="003F5278">
              <w:rPr>
                <w:b/>
                <w:color w:val="FFFFFF"/>
              </w:rPr>
              <w:t xml:space="preserve"> block/channel bandwidth</w:t>
            </w:r>
          </w:p>
        </w:tc>
        <w:tc>
          <w:tcPr>
            <w:tcW w:w="4111" w:type="dxa"/>
            <w:tcBorders>
              <w:left w:val="single" w:sz="8" w:space="0" w:color="FFFFFF"/>
            </w:tcBorders>
            <w:shd w:val="clear" w:color="auto" w:fill="D2232A"/>
            <w:vAlign w:val="center"/>
          </w:tcPr>
          <w:p w:rsidR="00F53945" w:rsidRPr="00FE1795" w:rsidRDefault="00F53945" w:rsidP="00F53945">
            <w:pPr>
              <w:spacing w:line="288" w:lineRule="auto"/>
              <w:jc w:val="center"/>
              <w:rPr>
                <w:b/>
                <w:color w:val="FFFFFF"/>
              </w:rPr>
            </w:pPr>
            <w:r w:rsidRPr="003F5278">
              <w:rPr>
                <w:b/>
                <w:color w:val="FFFFFF"/>
              </w:rPr>
              <w:t>Related Standards</w:t>
            </w:r>
          </w:p>
        </w:tc>
      </w:tr>
      <w:tr w:rsidR="00F53945" w:rsidRPr="00571E2C" w:rsidTr="00F53945">
        <w:tc>
          <w:tcPr>
            <w:tcW w:w="2235" w:type="dxa"/>
            <w:vAlign w:val="center"/>
          </w:tcPr>
          <w:p w:rsidR="00F53945" w:rsidRDefault="00F53945" w:rsidP="00F53945">
            <w:pPr>
              <w:spacing w:before="40" w:after="40"/>
              <w:rPr>
                <w:rFonts w:ascii="Times New Roman" w:hAnsi="Times New Roman"/>
                <w:sz w:val="24"/>
                <w:lang w:val="en-GB" w:eastAsia="fr-FR"/>
              </w:rPr>
            </w:pPr>
            <w:r>
              <w:t>SDR</w:t>
            </w:r>
          </w:p>
        </w:tc>
        <w:tc>
          <w:tcPr>
            <w:tcW w:w="2976" w:type="dxa"/>
            <w:vAlign w:val="center"/>
          </w:tcPr>
          <w:p w:rsidR="00F53945" w:rsidRDefault="00F53945" w:rsidP="00F53945">
            <w:pPr>
              <w:rPr>
                <w:rFonts w:ascii="Times New Roman" w:hAnsi="Times New Roman"/>
                <w:sz w:val="24"/>
                <w:lang w:val="en-GB" w:eastAsia="fr-FR"/>
              </w:rPr>
            </w:pPr>
            <w:r>
              <w:t>1.7 – 12.5 MHz</w:t>
            </w:r>
          </w:p>
        </w:tc>
        <w:tc>
          <w:tcPr>
            <w:tcW w:w="4111" w:type="dxa"/>
          </w:tcPr>
          <w:p w:rsidR="00F53945" w:rsidRPr="0083513E" w:rsidRDefault="00F53945" w:rsidP="00F53945">
            <w:pPr>
              <w:spacing w:before="40" w:after="40"/>
              <w:ind w:left="175"/>
              <w:rPr>
                <w:rFonts w:ascii="Times New Roman" w:hAnsi="Times New Roman"/>
                <w:sz w:val="24"/>
                <w:lang w:val="fi-FI" w:eastAsia="en-GB"/>
              </w:rPr>
            </w:pPr>
            <w:r w:rsidRPr="0083513E">
              <w:rPr>
                <w:lang w:val="fi-FI" w:eastAsia="en-GB"/>
              </w:rPr>
              <w:t>ETSI - TR 102</w:t>
            </w:r>
            <w:r>
              <w:rPr>
                <w:lang w:val="fi-FI" w:eastAsia="en-GB"/>
              </w:rPr>
              <w:t> </w:t>
            </w:r>
            <w:r w:rsidRPr="0083513E">
              <w:rPr>
                <w:lang w:val="fi-FI" w:eastAsia="en-GB"/>
              </w:rPr>
              <w:t>525</w:t>
            </w:r>
          </w:p>
          <w:p w:rsidR="00F53945" w:rsidRPr="00987D29" w:rsidRDefault="00F53945" w:rsidP="00F53945">
            <w:pPr>
              <w:spacing w:before="40" w:after="40"/>
              <w:ind w:left="175"/>
              <w:rPr>
                <w:rFonts w:ascii="Times New Roman" w:hAnsi="Times New Roman"/>
                <w:sz w:val="24"/>
                <w:lang w:val="fi-FI" w:eastAsia="en-GB"/>
              </w:rPr>
            </w:pPr>
            <w:r w:rsidRPr="0083513E">
              <w:rPr>
                <w:lang w:val="fi-FI" w:eastAsia="en-GB"/>
              </w:rPr>
              <w:t>ETSI - TR 102</w:t>
            </w:r>
            <w:r>
              <w:rPr>
                <w:lang w:val="fi-FI" w:eastAsia="en-GB"/>
              </w:rPr>
              <w:t> 604</w:t>
            </w:r>
          </w:p>
          <w:p w:rsidR="00F53945" w:rsidRPr="0083513E" w:rsidRDefault="00F53945" w:rsidP="00F53945">
            <w:pPr>
              <w:spacing w:before="40" w:after="40"/>
              <w:ind w:left="175"/>
              <w:rPr>
                <w:lang w:val="fi-FI" w:eastAsia="en-GB"/>
              </w:rPr>
            </w:pPr>
            <w:r w:rsidRPr="0083513E">
              <w:rPr>
                <w:lang w:val="fi-FI" w:eastAsia="en-GB"/>
              </w:rPr>
              <w:t xml:space="preserve">ETSI - TS </w:t>
            </w:r>
            <w:r>
              <w:rPr>
                <w:lang w:val="fi-FI" w:eastAsia="en-GB"/>
              </w:rPr>
              <w:t>3</w:t>
            </w:r>
            <w:r w:rsidRPr="0083513E">
              <w:rPr>
                <w:lang w:val="fi-FI" w:eastAsia="en-GB"/>
              </w:rPr>
              <w:t>02 55</w:t>
            </w:r>
            <w:r>
              <w:rPr>
                <w:lang w:val="fi-FI" w:eastAsia="en-GB"/>
              </w:rPr>
              <w:t>0-</w:t>
            </w:r>
            <w:r w:rsidRPr="0083513E">
              <w:rPr>
                <w:lang w:val="fi-FI" w:eastAsia="en-GB"/>
              </w:rPr>
              <w:t>1-1</w:t>
            </w:r>
          </w:p>
          <w:p w:rsidR="00F53945" w:rsidRPr="00571E2C" w:rsidRDefault="00F53945" w:rsidP="00F53945">
            <w:pPr>
              <w:autoSpaceDE w:val="0"/>
              <w:autoSpaceDN w:val="0"/>
              <w:adjustRightInd w:val="0"/>
              <w:ind w:left="175"/>
              <w:rPr>
                <w:lang w:val="fr-CH" w:eastAsia="en-GB"/>
              </w:rPr>
            </w:pPr>
            <w:r w:rsidRPr="00571E2C">
              <w:rPr>
                <w:lang w:val="fr-CH" w:eastAsia="en-GB"/>
              </w:rPr>
              <w:t>ETSI - TS 302 55</w:t>
            </w:r>
            <w:r>
              <w:rPr>
                <w:lang w:val="fr-FR" w:eastAsia="en-GB"/>
              </w:rPr>
              <w:t>0-</w:t>
            </w:r>
            <w:r w:rsidRPr="00571E2C">
              <w:rPr>
                <w:lang w:val="fr-CH" w:eastAsia="en-GB"/>
              </w:rPr>
              <w:t>1-2</w:t>
            </w:r>
          </w:p>
          <w:p w:rsidR="00F53945" w:rsidRPr="00571E2C" w:rsidRDefault="00F53945" w:rsidP="00F53945">
            <w:pPr>
              <w:autoSpaceDE w:val="0"/>
              <w:autoSpaceDN w:val="0"/>
              <w:adjustRightInd w:val="0"/>
              <w:ind w:left="175"/>
              <w:rPr>
                <w:rFonts w:ascii="Times New Roman" w:hAnsi="Times New Roman"/>
                <w:sz w:val="24"/>
                <w:lang w:val="fr-FR" w:eastAsia="en-GB"/>
              </w:rPr>
            </w:pPr>
            <w:r w:rsidRPr="00670A08">
              <w:rPr>
                <w:lang w:eastAsia="en-GB"/>
              </w:rPr>
              <w:t>ETSI - TS 302 55</w:t>
            </w:r>
            <w:r>
              <w:rPr>
                <w:lang w:val="fr-FR" w:eastAsia="en-GB"/>
              </w:rPr>
              <w:t>0-</w:t>
            </w:r>
            <w:r w:rsidRPr="00571E2C">
              <w:rPr>
                <w:lang w:val="fr-FR" w:eastAsia="en-GB"/>
              </w:rPr>
              <w:t>1-3</w:t>
            </w:r>
          </w:p>
        </w:tc>
      </w:tr>
      <w:tr w:rsidR="00F53945" w:rsidRPr="00755D08" w:rsidTr="00F53945">
        <w:tc>
          <w:tcPr>
            <w:tcW w:w="2235" w:type="dxa"/>
            <w:vAlign w:val="center"/>
          </w:tcPr>
          <w:p w:rsidR="00F53945" w:rsidRDefault="00F53945" w:rsidP="00F53945">
            <w:pPr>
              <w:rPr>
                <w:rFonts w:ascii="Times New Roman" w:hAnsi="Times New Roman"/>
                <w:sz w:val="24"/>
                <w:lang w:val="en-GB" w:eastAsia="fr-FR"/>
              </w:rPr>
            </w:pPr>
            <w:r>
              <w:t>DVB-SH</w:t>
            </w:r>
          </w:p>
        </w:tc>
        <w:tc>
          <w:tcPr>
            <w:tcW w:w="2976" w:type="dxa"/>
            <w:vAlign w:val="center"/>
          </w:tcPr>
          <w:p w:rsidR="00F53945" w:rsidRDefault="00F53945" w:rsidP="00F53945">
            <w:pPr>
              <w:rPr>
                <w:rFonts w:ascii="Times New Roman" w:hAnsi="Times New Roman"/>
                <w:sz w:val="24"/>
                <w:lang w:val="en-GB" w:eastAsia="fr-FR"/>
              </w:rPr>
            </w:pPr>
            <w:r>
              <w:t>1.7, 5, 6, 7 and 8 MHz</w:t>
            </w:r>
          </w:p>
        </w:tc>
        <w:tc>
          <w:tcPr>
            <w:tcW w:w="4111" w:type="dxa"/>
          </w:tcPr>
          <w:p w:rsidR="00F53945" w:rsidRPr="00343055" w:rsidRDefault="00F53945" w:rsidP="00F53945">
            <w:pPr>
              <w:autoSpaceDE w:val="0"/>
              <w:autoSpaceDN w:val="0"/>
              <w:adjustRightInd w:val="0"/>
              <w:ind w:left="175"/>
              <w:rPr>
                <w:rFonts w:ascii="Times New Roman" w:hAnsi="Times New Roman"/>
                <w:sz w:val="24"/>
                <w:lang w:val="fr-CH" w:eastAsia="fr-FR"/>
              </w:rPr>
            </w:pPr>
            <w:r w:rsidRPr="00343055">
              <w:rPr>
                <w:lang w:val="fr-CH"/>
              </w:rPr>
              <w:t>ETSI – EN 302 583</w:t>
            </w:r>
          </w:p>
          <w:p w:rsidR="00F53945" w:rsidRPr="00343055" w:rsidRDefault="00F53945" w:rsidP="00F53945">
            <w:pPr>
              <w:autoSpaceDE w:val="0"/>
              <w:autoSpaceDN w:val="0"/>
              <w:adjustRightInd w:val="0"/>
              <w:ind w:left="175"/>
              <w:rPr>
                <w:lang w:val="fr-CH"/>
              </w:rPr>
            </w:pPr>
            <w:r w:rsidRPr="00343055">
              <w:rPr>
                <w:lang w:val="fr-CH"/>
              </w:rPr>
              <w:t>ETSI – TS 102 594</w:t>
            </w:r>
          </w:p>
          <w:p w:rsidR="00F53945" w:rsidRPr="00343055" w:rsidRDefault="00F53945" w:rsidP="00F53945">
            <w:pPr>
              <w:autoSpaceDE w:val="0"/>
              <w:autoSpaceDN w:val="0"/>
              <w:adjustRightInd w:val="0"/>
              <w:ind w:left="175"/>
              <w:rPr>
                <w:rFonts w:ascii="Times New Roman" w:hAnsi="Times New Roman"/>
                <w:sz w:val="24"/>
                <w:lang w:val="fr-CH" w:eastAsia="fr-FR"/>
              </w:rPr>
            </w:pPr>
            <w:r w:rsidRPr="00343055">
              <w:rPr>
                <w:lang w:val="fr-CH" w:eastAsia="en-GB"/>
              </w:rPr>
              <w:t>ETSI – TR 102 377</w:t>
            </w:r>
          </w:p>
        </w:tc>
      </w:tr>
    </w:tbl>
    <w:p w:rsidR="00F53945" w:rsidRPr="00343055" w:rsidRDefault="00F53945" w:rsidP="00F53945">
      <w:pPr>
        <w:rPr>
          <w:i/>
          <w:lang w:val="fr-CH"/>
        </w:rPr>
      </w:pPr>
    </w:p>
    <w:p w:rsidR="00F53945" w:rsidRPr="009644B7" w:rsidRDefault="00F53945" w:rsidP="00F53945">
      <w:r w:rsidRPr="00452193">
        <w:t xml:space="preserve">Further information about </w:t>
      </w:r>
      <w:r>
        <w:t>satellite</w:t>
      </w:r>
      <w:r w:rsidRPr="00452193">
        <w:t xml:space="preserve"> broadcasting standards can be found in Annex</w:t>
      </w:r>
      <w:r>
        <w:t xml:space="preserve"> 5</w:t>
      </w:r>
      <w:r w:rsidRPr="00452193">
        <w:t>.</w:t>
      </w:r>
    </w:p>
    <w:p w:rsidR="00F53945" w:rsidRDefault="00F53945" w:rsidP="00F53945">
      <w:pPr>
        <w:pStyle w:val="Titre3"/>
      </w:pPr>
      <w:bookmarkStart w:id="19" w:name="_Toc321318114"/>
      <w:r>
        <w:t>Justification</w:t>
      </w:r>
      <w:bookmarkEnd w:id="19"/>
    </w:p>
    <w:p w:rsidR="00F53945" w:rsidRDefault="00F53945" w:rsidP="00F53945">
      <w:pPr>
        <w:autoSpaceDE w:val="0"/>
        <w:autoSpaceDN w:val="0"/>
        <w:adjustRightInd w:val="0"/>
        <w:spacing w:after="240"/>
        <w:jc w:val="both"/>
        <w:rPr>
          <w:rFonts w:cs="Arial"/>
          <w:color w:val="000000"/>
          <w:szCs w:val="20"/>
        </w:rPr>
      </w:pPr>
      <w:bookmarkStart w:id="20" w:name="_Toc313548327"/>
      <w:r>
        <w:rPr>
          <w:rFonts w:cs="Arial"/>
          <w:color w:val="000000"/>
          <w:szCs w:val="20"/>
        </w:rPr>
        <w:t>With demand for digital audio broadcasting services growing in many countries in CEPT, satellites can play a role in extending coverage and population reach of existing and new audio content. S-DAB could thus provide digital audio broadcasting solutions not only in countries where L-Band is important because of lack of alternative spectrum, but also as an enabler of new and innovative audio content offers.</w:t>
      </w:r>
    </w:p>
    <w:p w:rsidR="00F53945" w:rsidRDefault="00F53945" w:rsidP="00F53945">
      <w:pPr>
        <w:pStyle w:val="ECCParagraph"/>
      </w:pPr>
      <w:r>
        <w:t>D</w:t>
      </w:r>
      <w:r w:rsidRPr="00B62DC7">
        <w:t>emand has been expr</w:t>
      </w:r>
      <w:r>
        <w:t xml:space="preserve">essed for the deployment of feature-rich free-to-air and </w:t>
      </w:r>
      <w:r w:rsidRPr="00B62DC7">
        <w:t xml:space="preserve">subscription-based radio services. </w:t>
      </w:r>
      <w:r>
        <w:t xml:space="preserve">Implementation </w:t>
      </w:r>
      <w:r w:rsidRPr="00B62DC7">
        <w:t xml:space="preserve">in </w:t>
      </w:r>
      <w:smartTag w:uri="urn:schemas-microsoft-com:office:smarttags" w:element="place">
        <w:r w:rsidRPr="00B62DC7">
          <w:t>Europe</w:t>
        </w:r>
      </w:smartTag>
      <w:r w:rsidRPr="00B62DC7">
        <w:t xml:space="preserve"> would require taking into account the variety of languages, cultural specificities and different coverage that compose the European countries. In this respect, the L band is adequate to </w:t>
      </w:r>
      <w:r>
        <w:t>complement</w:t>
      </w:r>
      <w:r w:rsidRPr="00B62DC7">
        <w:t xml:space="preserve"> the deployment of national, independent subscription radio services. For instance, the existing regulation offers an option for any country to deploy subscription services according to individual needs, if and when required. This, in turn, would provide scope for further economies of scale through a harmonised use in </w:t>
      </w:r>
      <w:smartTag w:uri="urn:schemas-microsoft-com:office:smarttags" w:element="place">
        <w:r w:rsidRPr="00B62DC7">
          <w:t>Europe</w:t>
        </w:r>
      </w:smartTag>
      <w:r w:rsidRPr="00B62DC7">
        <w:t xml:space="preserve"> and for </w:t>
      </w:r>
      <w:r>
        <w:t>integration</w:t>
      </w:r>
      <w:r w:rsidRPr="00B62DC7">
        <w:t xml:space="preserve"> with other services (notably with free-to-air radio</w:t>
      </w:r>
      <w:r>
        <w:t>).</w:t>
      </w:r>
    </w:p>
    <w:p w:rsidR="00F53945" w:rsidRPr="00B62DC7" w:rsidRDefault="00F53945" w:rsidP="00F53945">
      <w:pPr>
        <w:pStyle w:val="ECCParagraph"/>
      </w:pPr>
      <w:r>
        <w:t xml:space="preserve">Furthermore, there is a growing market demand for non-linear broadcasting services (e.g. time-shifted, personalized, on-demand, interactive and second screen services). L-Band is well suited for the provision of such non-linear services. </w:t>
      </w:r>
      <w:r w:rsidRPr="00B62DC7">
        <w:t>The L-band offers an opportunity for implementation of such innovative approaches.</w:t>
      </w:r>
    </w:p>
    <w:p w:rsidR="00F53945" w:rsidRDefault="00F53945" w:rsidP="00F53945">
      <w:pPr>
        <w:pStyle w:val="ECCParagraph"/>
      </w:pPr>
      <w:r w:rsidRPr="006C56E6">
        <w:t xml:space="preserve">The success of a frequency band depends on the emergence of an eco-system, i.e. on a significant terminal market supporting the band. Such a market usually occurs when a band is harmonised on a large basis and when </w:t>
      </w:r>
      <w:r>
        <w:t>sufficient</w:t>
      </w:r>
      <w:r w:rsidRPr="006C56E6">
        <w:t xml:space="preserve"> operators </w:t>
      </w:r>
      <w:r>
        <w:t xml:space="preserve">and service providers </w:t>
      </w:r>
      <w:r w:rsidRPr="006C56E6">
        <w:t xml:space="preserve">have deployed networks </w:t>
      </w:r>
      <w:r>
        <w:t xml:space="preserve">and are offering affordable and attractive content and services </w:t>
      </w:r>
      <w:r w:rsidRPr="006C56E6">
        <w:t xml:space="preserve">in a band. </w:t>
      </w:r>
      <w:r>
        <w:t xml:space="preserve">At the opposite, if only few </w:t>
      </w:r>
      <w:r w:rsidRPr="008D39A1">
        <w:t>operator</w:t>
      </w:r>
      <w:r>
        <w:t>s</w:t>
      </w:r>
      <w:r w:rsidRPr="008D39A1">
        <w:t xml:space="preserve"> </w:t>
      </w:r>
      <w:r>
        <w:t>are</w:t>
      </w:r>
      <w:r w:rsidRPr="008D39A1">
        <w:t xml:space="preserve"> using a specific technology or frequency band within CEPT, </w:t>
      </w:r>
      <w:r>
        <w:t>they</w:t>
      </w:r>
      <w:r w:rsidRPr="008D39A1">
        <w:t xml:space="preserve"> may struggle to get </w:t>
      </w:r>
      <w:r>
        <w:t xml:space="preserve">affordable access to equipment. </w:t>
      </w:r>
    </w:p>
    <w:p w:rsidR="00F53945" w:rsidRPr="00E473EB" w:rsidRDefault="00F53945" w:rsidP="00F53945">
      <w:pPr>
        <w:spacing w:after="240"/>
        <w:rPr>
          <w:lang w:val="en-GB"/>
        </w:rPr>
      </w:pPr>
      <w:r w:rsidRPr="00E473EB">
        <w:rPr>
          <w:lang w:val="en-GB"/>
        </w:rPr>
        <w:t xml:space="preserve">SDR chipsets for the L-Band are already available, which could have a positive impact on the equipment design for S-DAB.  </w:t>
      </w:r>
    </w:p>
    <w:p w:rsidR="00F53945" w:rsidRPr="00E473EB" w:rsidRDefault="00F53945" w:rsidP="00F53945">
      <w:pPr>
        <w:spacing w:after="240"/>
        <w:rPr>
          <w:rFonts w:cs="Arial"/>
          <w:szCs w:val="20"/>
          <w:lang w:val="en-GB" w:eastAsia="de-DE"/>
        </w:rPr>
      </w:pPr>
      <w:r w:rsidRPr="00E473EB">
        <w:rPr>
          <w:lang w:val="en-GB"/>
        </w:rPr>
        <w:t>Furthermore, the propagation characteristics of the L-band are favourable</w:t>
      </w:r>
      <w:r>
        <w:rPr>
          <w:lang w:val="en-GB"/>
        </w:rPr>
        <w:t xml:space="preserve"> for S-DAB.</w:t>
      </w:r>
    </w:p>
    <w:p w:rsidR="00F53945" w:rsidRPr="007F54BC" w:rsidRDefault="00F53945" w:rsidP="00F53945">
      <w:pPr>
        <w:pStyle w:val="Titre3"/>
      </w:pPr>
      <w:bookmarkStart w:id="21" w:name="_Toc321318115"/>
      <w:bookmarkEnd w:id="20"/>
      <w:r w:rsidRPr="007F54BC">
        <w:t>Spectrum requirements</w:t>
      </w:r>
      <w:bookmarkEnd w:id="21"/>
    </w:p>
    <w:p w:rsidR="00F53945" w:rsidRDefault="00F53945" w:rsidP="00F53945">
      <w:pPr>
        <w:pStyle w:val="ECCParagraph"/>
        <w:rPr>
          <w:lang w:eastAsia="de-DE"/>
        </w:rPr>
      </w:pPr>
      <w:r>
        <w:rPr>
          <w:lang w:eastAsia="de-DE"/>
        </w:rPr>
        <w:t>The</w:t>
      </w:r>
      <w:r w:rsidRPr="0021277D">
        <w:rPr>
          <w:lang w:eastAsia="de-DE"/>
        </w:rPr>
        <w:t xml:space="preserve"> spectrum requirements are </w:t>
      </w:r>
      <w:r>
        <w:rPr>
          <w:lang w:eastAsia="de-DE"/>
        </w:rPr>
        <w:t xml:space="preserve">primarily </w:t>
      </w:r>
      <w:r w:rsidRPr="0021277D">
        <w:rPr>
          <w:lang w:eastAsia="de-DE"/>
        </w:rPr>
        <w:t xml:space="preserve">determined by the number of </w:t>
      </w:r>
      <w:r>
        <w:rPr>
          <w:lang w:eastAsia="de-DE"/>
        </w:rPr>
        <w:t xml:space="preserve">audio </w:t>
      </w:r>
      <w:r w:rsidRPr="0021277D">
        <w:rPr>
          <w:lang w:eastAsia="de-DE"/>
        </w:rPr>
        <w:t xml:space="preserve">channels that are needed to create attractive content packages for different markets. </w:t>
      </w:r>
      <w:r>
        <w:rPr>
          <w:lang w:eastAsia="de-DE"/>
        </w:rPr>
        <w:t>O</w:t>
      </w:r>
      <w:r w:rsidRPr="0021277D">
        <w:rPr>
          <w:lang w:eastAsia="de-DE"/>
        </w:rPr>
        <w:t xml:space="preserve">perations in the </w:t>
      </w:r>
      <w:smartTag w:uri="urn:schemas-microsoft-com:office:smarttags" w:element="place">
        <w:smartTag w:uri="urn:schemas-microsoft-com:office:smarttags" w:element="country-region">
          <w:r w:rsidRPr="0021277D">
            <w:rPr>
              <w:lang w:eastAsia="de-DE"/>
            </w:rPr>
            <w:t>US</w:t>
          </w:r>
        </w:smartTag>
      </w:smartTag>
      <w:r w:rsidRPr="0021277D">
        <w:rPr>
          <w:lang w:eastAsia="de-DE"/>
        </w:rPr>
        <w:t xml:space="preserve">, as well as </w:t>
      </w:r>
      <w:r w:rsidRPr="0021277D">
        <w:rPr>
          <w:lang w:eastAsia="de-DE"/>
        </w:rPr>
        <w:lastRenderedPageBreak/>
        <w:t xml:space="preserve">comparable </w:t>
      </w:r>
      <w:proofErr w:type="spellStart"/>
      <w:r w:rsidRPr="0021277D">
        <w:rPr>
          <w:lang w:eastAsia="de-DE"/>
        </w:rPr>
        <w:t>pay-TV</w:t>
      </w:r>
      <w:proofErr w:type="spellEnd"/>
      <w:r w:rsidRPr="0021277D">
        <w:rPr>
          <w:lang w:eastAsia="de-DE"/>
        </w:rPr>
        <w:t xml:space="preserve"> benchmarks indicate that a minimum of about </w:t>
      </w:r>
      <w:r>
        <w:rPr>
          <w:lang w:eastAsia="de-DE"/>
        </w:rPr>
        <w:t xml:space="preserve">50 - </w:t>
      </w:r>
      <w:r w:rsidRPr="0021277D">
        <w:rPr>
          <w:lang w:eastAsia="de-DE"/>
        </w:rPr>
        <w:t xml:space="preserve">60 channels </w:t>
      </w:r>
      <w:proofErr w:type="gramStart"/>
      <w:r w:rsidRPr="0021277D">
        <w:rPr>
          <w:lang w:eastAsia="de-DE"/>
        </w:rPr>
        <w:t>is</w:t>
      </w:r>
      <w:proofErr w:type="gramEnd"/>
      <w:r w:rsidRPr="0021277D">
        <w:rPr>
          <w:lang w:eastAsia="de-DE"/>
        </w:rPr>
        <w:t xml:space="preserve"> required per key national market in order to create a sufficiently diverse package. Taking into account different markets in Europe, </w:t>
      </w:r>
      <w:r>
        <w:rPr>
          <w:lang w:eastAsia="de-DE"/>
        </w:rPr>
        <w:t xml:space="preserve">the restrictions imposed by ITU Resolution 528 with respect to S-DAB in the band 1452 – 1492 (effectively limiting S-DAB to the upper 25 MHz anywhere in the world, which would impact satellite transmissions in the direction of non-CEPT countries), and the ability to respond in a flexible manner to spectrum uses across CEPT, </w:t>
      </w:r>
      <w:r w:rsidRPr="00DD30B8">
        <w:rPr>
          <w:lang w:eastAsia="de-DE"/>
        </w:rPr>
        <w:t>a harmonised</w:t>
      </w:r>
      <w:r>
        <w:rPr>
          <w:lang w:eastAsia="de-DE"/>
        </w:rPr>
        <w:t xml:space="preserve"> channelling arrangement enabling S-DAB </w:t>
      </w:r>
      <w:r w:rsidRPr="00DD30B8">
        <w:rPr>
          <w:lang w:eastAsia="de-DE"/>
        </w:rPr>
        <w:t xml:space="preserve">across the </w:t>
      </w:r>
      <w:r>
        <w:rPr>
          <w:lang w:eastAsia="de-DE"/>
        </w:rPr>
        <w:t>upper 25 MHz of the</w:t>
      </w:r>
      <w:r w:rsidRPr="00DD30B8">
        <w:rPr>
          <w:lang w:eastAsia="de-DE"/>
        </w:rPr>
        <w:t xml:space="preserve"> band 1452 – 1492 MHz is deemed essential.</w:t>
      </w:r>
      <w:r>
        <w:rPr>
          <w:lang w:eastAsia="de-DE"/>
        </w:rPr>
        <w:t xml:space="preserve"> Technologies to be used for </w:t>
      </w:r>
      <w:r>
        <w:t xml:space="preserve">S-DAB are flexible enough to cope with existing or new harmonized band plans. </w:t>
      </w:r>
      <w:r>
        <w:rPr>
          <w:lang w:eastAsia="de-DE"/>
        </w:rPr>
        <w:t>The L-Band 1452 – 1492 MHz is the only frequency band below 3 GHz allocated to the broadcasting satellite service.</w:t>
      </w:r>
    </w:p>
    <w:p w:rsidR="00F53945" w:rsidRDefault="00F53945" w:rsidP="00F53945">
      <w:pPr>
        <w:pStyle w:val="Titre2"/>
      </w:pPr>
      <w:r>
        <w:t>Application five: Programme Making and Special Events (PMSE)</w:t>
      </w:r>
    </w:p>
    <w:p w:rsidR="00F53945" w:rsidRPr="004A42DC" w:rsidRDefault="00F53945" w:rsidP="00F53945">
      <w:pPr>
        <w:spacing w:line="276" w:lineRule="auto"/>
        <w:rPr>
          <w:rFonts w:cs="Arial"/>
          <w:b/>
          <w:szCs w:val="20"/>
          <w:lang w:val="en-GB"/>
        </w:rPr>
      </w:pPr>
      <w:r w:rsidRPr="004A42DC">
        <w:rPr>
          <w:rFonts w:cs="Arial"/>
          <w:b/>
          <w:szCs w:val="20"/>
          <w:lang w:val="en-GB"/>
        </w:rPr>
        <w:t>3.5.1</w:t>
      </w:r>
      <w:r w:rsidRPr="004A42DC">
        <w:rPr>
          <w:rFonts w:cs="Arial"/>
          <w:b/>
          <w:szCs w:val="20"/>
          <w:lang w:val="en-GB"/>
        </w:rPr>
        <w:tab/>
        <w:t>Description</w:t>
      </w:r>
    </w:p>
    <w:p w:rsidR="00F53945" w:rsidRPr="004A42DC" w:rsidRDefault="00F53945" w:rsidP="00F53945">
      <w:pPr>
        <w:spacing w:before="120" w:line="276" w:lineRule="auto"/>
        <w:rPr>
          <w:rFonts w:cs="Arial"/>
          <w:szCs w:val="20"/>
          <w:lang w:val="en-GB"/>
        </w:rPr>
      </w:pPr>
      <w:r w:rsidRPr="004A42DC">
        <w:rPr>
          <w:rFonts w:cs="Arial"/>
          <w:szCs w:val="20"/>
          <w:lang w:val="en-GB"/>
        </w:rPr>
        <w:t>The term Programme Making</w:t>
      </w:r>
      <w:r w:rsidRPr="004A42DC">
        <w:rPr>
          <w:rFonts w:cs="Arial"/>
          <w:szCs w:val="20"/>
          <w:vertAlign w:val="superscript"/>
          <w:lang w:val="en-GB"/>
        </w:rPr>
        <w:footnoteReference w:id="5"/>
      </w:r>
      <w:r w:rsidRPr="004A42DC">
        <w:rPr>
          <w:rFonts w:cs="Arial"/>
          <w:szCs w:val="20"/>
          <w:lang w:val="en-GB"/>
        </w:rPr>
        <w:t xml:space="preserve"> and Special Events</w:t>
      </w:r>
      <w:r w:rsidRPr="004A42DC">
        <w:rPr>
          <w:rFonts w:cs="Arial"/>
          <w:szCs w:val="20"/>
          <w:vertAlign w:val="superscript"/>
          <w:lang w:val="en-GB"/>
        </w:rPr>
        <w:footnoteReference w:id="6"/>
      </w:r>
      <w:r w:rsidRPr="004A42DC">
        <w:rPr>
          <w:rFonts w:cs="Arial"/>
          <w:szCs w:val="20"/>
          <w:lang w:val="en-GB"/>
        </w:rPr>
        <w:t xml:space="preserve"> applications (PMSE) is a widespread term gathering various radio applications used for SAP/SAB, ENG, SNG, OB in public or private events for perceived real-time presentation of </w:t>
      </w:r>
      <w:proofErr w:type="spellStart"/>
      <w:r w:rsidRPr="004A42DC">
        <w:rPr>
          <w:rFonts w:cs="Arial"/>
          <w:szCs w:val="20"/>
          <w:lang w:val="en-GB"/>
        </w:rPr>
        <w:t>audiovisual</w:t>
      </w:r>
      <w:proofErr w:type="spellEnd"/>
      <w:r w:rsidRPr="004A42DC">
        <w:rPr>
          <w:rFonts w:cs="Arial"/>
          <w:szCs w:val="20"/>
          <w:lang w:val="en-GB"/>
        </w:rPr>
        <w:t xml:space="preserve"> information. The communication links are also used in the production of programmes, such as talk-back or personal monitoring of sound-track.</w:t>
      </w:r>
    </w:p>
    <w:p w:rsidR="00F53945" w:rsidRPr="004A42DC" w:rsidRDefault="00F53945" w:rsidP="00F53945">
      <w:pPr>
        <w:pStyle w:val="ECCParagraph"/>
        <w:spacing w:before="120" w:line="276" w:lineRule="auto"/>
        <w:rPr>
          <w:rFonts w:cs="Arial"/>
          <w:szCs w:val="20"/>
        </w:rPr>
      </w:pPr>
      <w:r w:rsidRPr="004A42DC">
        <w:rPr>
          <w:rFonts w:cs="Arial"/>
          <w:szCs w:val="20"/>
        </w:rPr>
        <w:t>The definitions of SAP/SAB and ENG/OB are set out</w:t>
      </w:r>
      <w:r w:rsidRPr="004A42DC">
        <w:rPr>
          <w:rStyle w:val="Appelnotedebasdep"/>
          <w:rFonts w:cs="Arial"/>
          <w:szCs w:val="20"/>
        </w:rPr>
        <w:footnoteReference w:id="7"/>
      </w:r>
      <w:r w:rsidRPr="004A42DC">
        <w:rPr>
          <w:rFonts w:cs="Arial"/>
          <w:szCs w:val="20"/>
        </w:rPr>
        <w:t xml:space="preserve"> as follows:</w:t>
      </w:r>
    </w:p>
    <w:p w:rsidR="00F53945" w:rsidRPr="004A42DC" w:rsidRDefault="00F53945" w:rsidP="00F53945">
      <w:pPr>
        <w:autoSpaceDE w:val="0"/>
        <w:autoSpaceDN w:val="0"/>
        <w:adjustRightInd w:val="0"/>
        <w:spacing w:before="120" w:line="276" w:lineRule="auto"/>
        <w:ind w:left="709" w:hanging="709"/>
        <w:rPr>
          <w:rFonts w:cs="Arial"/>
          <w:szCs w:val="20"/>
          <w:lang w:val="en-GB"/>
        </w:rPr>
      </w:pPr>
      <w:r w:rsidRPr="004A42DC">
        <w:rPr>
          <w:rFonts w:cs="Arial"/>
          <w:b/>
          <w:bCs/>
          <w:szCs w:val="20"/>
          <w:lang w:val="en-GB"/>
        </w:rPr>
        <w:t>SAP:</w:t>
      </w:r>
      <w:r w:rsidRPr="004A42DC">
        <w:rPr>
          <w:rFonts w:cs="Arial"/>
          <w:b/>
          <w:bCs/>
          <w:szCs w:val="20"/>
          <w:lang w:val="en-GB"/>
        </w:rPr>
        <w:tab/>
      </w:r>
      <w:r w:rsidRPr="004A42DC">
        <w:rPr>
          <w:rFonts w:cs="Arial"/>
          <w:szCs w:val="20"/>
          <w:lang w:val="en-GB"/>
        </w:rPr>
        <w:t>Services Ancillary to Program making (SAP) support the activities carried out in the making of “program”, such as film making, advertisements, corporate videos, concerts, theatre and similar activities not initially meant for broadcasting to general public.</w:t>
      </w:r>
    </w:p>
    <w:p w:rsidR="00F53945" w:rsidRPr="004A42DC" w:rsidRDefault="00F53945" w:rsidP="00F53945">
      <w:pPr>
        <w:autoSpaceDE w:val="0"/>
        <w:autoSpaceDN w:val="0"/>
        <w:adjustRightInd w:val="0"/>
        <w:spacing w:before="120" w:line="276" w:lineRule="auto"/>
        <w:ind w:left="709" w:hanging="709"/>
        <w:rPr>
          <w:rFonts w:cs="Arial"/>
          <w:szCs w:val="20"/>
          <w:lang w:val="en-GB"/>
        </w:rPr>
      </w:pPr>
      <w:r w:rsidRPr="004A42DC">
        <w:rPr>
          <w:rFonts w:cs="Arial"/>
          <w:b/>
          <w:bCs/>
          <w:szCs w:val="20"/>
          <w:lang w:val="en-GB"/>
        </w:rPr>
        <w:t>SAB:</w:t>
      </w:r>
      <w:r w:rsidRPr="004A42DC">
        <w:rPr>
          <w:rFonts w:cs="Arial"/>
          <w:b/>
          <w:bCs/>
          <w:szCs w:val="20"/>
          <w:lang w:val="en-GB"/>
        </w:rPr>
        <w:tab/>
      </w:r>
      <w:r w:rsidRPr="004A42DC">
        <w:rPr>
          <w:rFonts w:cs="Arial"/>
          <w:szCs w:val="20"/>
          <w:lang w:val="en-GB"/>
        </w:rPr>
        <w:t>Services Ancillary to Broadcasting (SAB) support the activities of broadcasting industry carried out in the production of their program material.</w:t>
      </w:r>
    </w:p>
    <w:p w:rsidR="00F53945" w:rsidRPr="004A42DC" w:rsidRDefault="00F53945" w:rsidP="00F53945">
      <w:pPr>
        <w:spacing w:before="120" w:line="276" w:lineRule="auto"/>
        <w:ind w:left="709" w:hanging="709"/>
        <w:rPr>
          <w:rFonts w:cs="Arial"/>
          <w:szCs w:val="20"/>
          <w:lang w:val="en-GB"/>
        </w:rPr>
      </w:pPr>
      <w:r w:rsidRPr="004A42DC">
        <w:rPr>
          <w:rFonts w:cs="Arial"/>
          <w:b/>
          <w:szCs w:val="20"/>
          <w:lang w:val="en-GB"/>
        </w:rPr>
        <w:t>ENG:</w:t>
      </w:r>
      <w:r w:rsidRPr="004A42DC">
        <w:rPr>
          <w:rFonts w:cs="Arial"/>
          <w:szCs w:val="20"/>
          <w:lang w:val="en-GB"/>
        </w:rPr>
        <w:tab/>
        <w:t>Electronic News Gathering (ENG) is the collection of video and/or sound material by means of small, often hand-held wireless cameras and/or microphones with radio links to the news room and/or to the portable tape or other recorders.</w:t>
      </w:r>
    </w:p>
    <w:p w:rsidR="00F53945" w:rsidRPr="004A42DC" w:rsidRDefault="00F53945" w:rsidP="00F53945">
      <w:pPr>
        <w:spacing w:before="120" w:line="276" w:lineRule="auto"/>
        <w:ind w:left="709" w:hanging="709"/>
        <w:rPr>
          <w:rFonts w:cs="Arial"/>
          <w:szCs w:val="20"/>
          <w:lang w:val="en-GB"/>
        </w:rPr>
      </w:pPr>
      <w:r w:rsidRPr="004A42DC">
        <w:rPr>
          <w:rFonts w:cs="Arial"/>
          <w:b/>
          <w:bCs/>
          <w:szCs w:val="20"/>
          <w:lang w:val="en-GB"/>
        </w:rPr>
        <w:t>SNG:</w:t>
      </w:r>
      <w:r w:rsidRPr="004A42DC">
        <w:rPr>
          <w:rFonts w:cs="Arial"/>
          <w:b/>
          <w:bCs/>
          <w:szCs w:val="20"/>
          <w:lang w:val="en-GB"/>
        </w:rPr>
        <w:tab/>
      </w:r>
      <w:r w:rsidRPr="004A42DC">
        <w:rPr>
          <w:rFonts w:cs="Arial"/>
          <w:szCs w:val="20"/>
          <w:lang w:val="en-GB"/>
        </w:rPr>
        <w:t xml:space="preserve">Satellite News Gathering (SNG) </w:t>
      </w:r>
      <w:proofErr w:type="gramStart"/>
      <w:r w:rsidRPr="004A42DC">
        <w:rPr>
          <w:rFonts w:cs="Arial"/>
          <w:szCs w:val="20"/>
          <w:lang w:val="en-GB"/>
        </w:rPr>
        <w:t>are</w:t>
      </w:r>
      <w:proofErr w:type="gramEnd"/>
      <w:r w:rsidRPr="004A42DC">
        <w:rPr>
          <w:rFonts w:cs="Arial"/>
          <w:szCs w:val="20"/>
          <w:lang w:val="en-GB"/>
        </w:rPr>
        <w:t xml:space="preserve"> applications similar to ENG using satellite radio communication channels.</w:t>
      </w:r>
    </w:p>
    <w:p w:rsidR="00F53945" w:rsidRPr="004A42DC" w:rsidRDefault="00F53945" w:rsidP="00F53945">
      <w:pPr>
        <w:autoSpaceDE w:val="0"/>
        <w:autoSpaceDN w:val="0"/>
        <w:adjustRightInd w:val="0"/>
        <w:spacing w:before="120" w:line="276" w:lineRule="auto"/>
        <w:ind w:left="709" w:hanging="709"/>
        <w:rPr>
          <w:rFonts w:cs="Arial"/>
          <w:szCs w:val="20"/>
          <w:lang w:val="en-GB"/>
        </w:rPr>
      </w:pPr>
      <w:r w:rsidRPr="004A42DC">
        <w:rPr>
          <w:rFonts w:cs="Arial"/>
          <w:b/>
          <w:szCs w:val="20"/>
          <w:lang w:val="en-GB"/>
        </w:rPr>
        <w:t>OB:</w:t>
      </w:r>
      <w:r w:rsidRPr="004A42DC">
        <w:rPr>
          <w:rFonts w:cs="Arial"/>
          <w:szCs w:val="20"/>
          <w:lang w:val="en-GB"/>
        </w:rPr>
        <w:tab/>
        <w:t>Outside broadcasting (OB) is the temporary provision of programme making facilities at the location of on-going news, sport or other events, lasting from a few hours to several weeks. Mobile and/or portable radio links are required for wireless cameras or microphones at the OB location. Additionally, radio links may be required for temporary point to point connections between the OB vehicle, additional locations around it, and the studio.</w:t>
      </w:r>
    </w:p>
    <w:p w:rsidR="00F53945" w:rsidRDefault="00F53945" w:rsidP="00F53945">
      <w:pPr>
        <w:spacing w:line="276" w:lineRule="auto"/>
        <w:rPr>
          <w:rFonts w:cs="Arial"/>
          <w:szCs w:val="20"/>
          <w:highlight w:val="magenta"/>
          <w:lang w:val="en-GB"/>
        </w:rPr>
      </w:pPr>
    </w:p>
    <w:p w:rsidR="00F53945" w:rsidRDefault="00F53945" w:rsidP="00F53945">
      <w:pPr>
        <w:pStyle w:val="Lgende"/>
      </w:pPr>
      <w:r>
        <w:t xml:space="preserve">Table 4: </w:t>
      </w:r>
      <w:r w:rsidRPr="00F53945">
        <w:t>Technical terms of audio transmission systems that are part of PMSE</w:t>
      </w:r>
    </w:p>
    <w:tbl>
      <w:tblPr>
        <w:tblW w:w="9322"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Grid>
        <w:gridCol w:w="2235"/>
        <w:gridCol w:w="2976"/>
        <w:gridCol w:w="4111"/>
      </w:tblGrid>
      <w:tr w:rsidR="00F53945" w:rsidTr="00F53945">
        <w:trPr>
          <w:tblHeader/>
        </w:trPr>
        <w:tc>
          <w:tcPr>
            <w:tcW w:w="2235" w:type="dxa"/>
            <w:tcBorders>
              <w:right w:val="single" w:sz="8" w:space="0" w:color="FFFFFF"/>
            </w:tcBorders>
            <w:shd w:val="clear" w:color="auto" w:fill="D2232A"/>
            <w:vAlign w:val="center"/>
          </w:tcPr>
          <w:p w:rsidR="00F53945" w:rsidRPr="009D5834" w:rsidRDefault="00F53945" w:rsidP="00F53945">
            <w:pPr>
              <w:spacing w:line="288" w:lineRule="auto"/>
              <w:jc w:val="center"/>
              <w:rPr>
                <w:rFonts w:cs="Arial"/>
                <w:b/>
                <w:color w:val="FFFFFF"/>
              </w:rPr>
            </w:pPr>
            <w:r w:rsidRPr="00F53945">
              <w:rPr>
                <w:rFonts w:cs="Arial"/>
                <w:b/>
                <w:color w:val="FFFFFF"/>
              </w:rPr>
              <w:t>Application</w:t>
            </w:r>
          </w:p>
        </w:tc>
        <w:tc>
          <w:tcPr>
            <w:tcW w:w="2976" w:type="dxa"/>
            <w:tcBorders>
              <w:left w:val="single" w:sz="8" w:space="0" w:color="FFFFFF"/>
              <w:right w:val="single" w:sz="8" w:space="0" w:color="FFFFFF"/>
            </w:tcBorders>
            <w:shd w:val="clear" w:color="auto" w:fill="D2232A"/>
            <w:vAlign w:val="center"/>
          </w:tcPr>
          <w:p w:rsidR="00F53945" w:rsidRPr="00FE1795" w:rsidRDefault="00F53945" w:rsidP="00F53945">
            <w:pPr>
              <w:spacing w:line="288" w:lineRule="auto"/>
              <w:jc w:val="center"/>
              <w:rPr>
                <w:b/>
                <w:color w:val="FFFFFF"/>
              </w:rPr>
            </w:pPr>
            <w:r w:rsidRPr="00F53945">
              <w:rPr>
                <w:b/>
                <w:color w:val="FFFFFF"/>
              </w:rPr>
              <w:t>Max bandwidth</w:t>
            </w:r>
          </w:p>
        </w:tc>
        <w:tc>
          <w:tcPr>
            <w:tcW w:w="4111" w:type="dxa"/>
            <w:tcBorders>
              <w:left w:val="single" w:sz="8" w:space="0" w:color="FFFFFF"/>
            </w:tcBorders>
            <w:shd w:val="clear" w:color="auto" w:fill="D2232A"/>
            <w:vAlign w:val="center"/>
          </w:tcPr>
          <w:p w:rsidR="00F53945" w:rsidRPr="00FE1795" w:rsidRDefault="00F53945" w:rsidP="00F53945">
            <w:pPr>
              <w:spacing w:line="288" w:lineRule="auto"/>
              <w:jc w:val="center"/>
              <w:rPr>
                <w:b/>
                <w:color w:val="FFFFFF"/>
              </w:rPr>
            </w:pPr>
            <w:r w:rsidRPr="00F53945">
              <w:rPr>
                <w:b/>
                <w:color w:val="FFFFFF"/>
              </w:rPr>
              <w:t>Max ERP</w:t>
            </w:r>
          </w:p>
        </w:tc>
      </w:tr>
      <w:tr w:rsidR="00F53945" w:rsidRPr="00571E2C" w:rsidTr="00F53945">
        <w:tc>
          <w:tcPr>
            <w:tcW w:w="2235" w:type="dxa"/>
          </w:tcPr>
          <w:p w:rsidR="00F53945" w:rsidRPr="004A42DC" w:rsidRDefault="00F53945" w:rsidP="00F53945">
            <w:pPr>
              <w:autoSpaceDE w:val="0"/>
              <w:autoSpaceDN w:val="0"/>
              <w:adjustRightInd w:val="0"/>
              <w:spacing w:line="276" w:lineRule="auto"/>
              <w:ind w:left="142"/>
              <w:rPr>
                <w:rFonts w:cs="Arial"/>
                <w:szCs w:val="20"/>
                <w:lang w:val="en-GB"/>
              </w:rPr>
            </w:pPr>
            <w:r>
              <w:rPr>
                <w:rFonts w:cs="Arial"/>
                <w:szCs w:val="20"/>
              </w:rPr>
              <w:t>W</w:t>
            </w:r>
            <w:r w:rsidRPr="004A42DC">
              <w:rPr>
                <w:rFonts w:cs="Arial"/>
                <w:szCs w:val="20"/>
              </w:rPr>
              <w:t xml:space="preserve">ireless microphones and </w:t>
            </w:r>
            <w:r>
              <w:rPr>
                <w:rFonts w:cs="Arial"/>
                <w:szCs w:val="20"/>
              </w:rPr>
              <w:br/>
            </w:r>
            <w:r w:rsidRPr="004A42DC">
              <w:rPr>
                <w:rFonts w:cs="Arial"/>
                <w:szCs w:val="20"/>
              </w:rPr>
              <w:t>in-ear monitor systems</w:t>
            </w:r>
          </w:p>
        </w:tc>
        <w:tc>
          <w:tcPr>
            <w:tcW w:w="2976" w:type="dxa"/>
          </w:tcPr>
          <w:p w:rsidR="00F53945" w:rsidRPr="004A42DC" w:rsidRDefault="00F53945" w:rsidP="00F53945">
            <w:pPr>
              <w:autoSpaceDE w:val="0"/>
              <w:autoSpaceDN w:val="0"/>
              <w:adjustRightInd w:val="0"/>
              <w:spacing w:line="276" w:lineRule="auto"/>
              <w:ind w:left="709" w:hanging="709"/>
              <w:jc w:val="center"/>
              <w:rPr>
                <w:rFonts w:cs="Arial"/>
                <w:szCs w:val="20"/>
                <w:lang w:val="en-GB"/>
              </w:rPr>
            </w:pPr>
            <w:r w:rsidRPr="004A42DC">
              <w:rPr>
                <w:rFonts w:cs="Arial"/>
                <w:szCs w:val="20"/>
              </w:rPr>
              <w:t xml:space="preserve">200 / 400 / 600 kHz </w:t>
            </w:r>
            <w:r w:rsidRPr="004A42DC">
              <w:rPr>
                <w:rStyle w:val="Appelnotedebasdep"/>
              </w:rPr>
              <w:footnoteReference w:id="8"/>
            </w:r>
            <w:r>
              <w:rPr>
                <w:rFonts w:cs="Arial"/>
                <w:szCs w:val="20"/>
              </w:rPr>
              <w:t xml:space="preserve"> per link</w:t>
            </w:r>
          </w:p>
        </w:tc>
        <w:tc>
          <w:tcPr>
            <w:tcW w:w="4111" w:type="dxa"/>
          </w:tcPr>
          <w:p w:rsidR="00F53945" w:rsidRPr="004A42DC" w:rsidRDefault="00F53945" w:rsidP="00F53945">
            <w:pPr>
              <w:autoSpaceDE w:val="0"/>
              <w:autoSpaceDN w:val="0"/>
              <w:adjustRightInd w:val="0"/>
              <w:spacing w:line="276" w:lineRule="auto"/>
              <w:ind w:hanging="46"/>
              <w:jc w:val="center"/>
              <w:rPr>
                <w:rFonts w:cs="Arial"/>
                <w:szCs w:val="20"/>
                <w:lang w:val="en-GB"/>
              </w:rPr>
            </w:pPr>
            <w:r w:rsidRPr="004A42DC">
              <w:rPr>
                <w:rFonts w:cs="Arial"/>
                <w:szCs w:val="20"/>
              </w:rPr>
              <w:t xml:space="preserve">50mW </w:t>
            </w:r>
          </w:p>
        </w:tc>
      </w:tr>
      <w:tr w:rsidR="00F53945" w:rsidRPr="00343055" w:rsidTr="00F53945">
        <w:tc>
          <w:tcPr>
            <w:tcW w:w="2235" w:type="dxa"/>
          </w:tcPr>
          <w:p w:rsidR="00F53945" w:rsidRPr="00B02414" w:rsidRDefault="00F53945" w:rsidP="00F53945">
            <w:pPr>
              <w:autoSpaceDE w:val="0"/>
              <w:autoSpaceDN w:val="0"/>
              <w:adjustRightInd w:val="0"/>
              <w:spacing w:line="276" w:lineRule="auto"/>
              <w:ind w:left="142"/>
              <w:rPr>
                <w:rFonts w:cs="Arial"/>
                <w:szCs w:val="20"/>
                <w:lang w:val="en-GB"/>
              </w:rPr>
            </w:pPr>
            <w:r w:rsidRPr="00B02414">
              <w:rPr>
                <w:rFonts w:cs="Arial"/>
                <w:szCs w:val="20"/>
                <w:lang w:val="en-GB"/>
              </w:rPr>
              <w:t xml:space="preserve">Wireless conference </w:t>
            </w:r>
            <w:r w:rsidRPr="00B02414">
              <w:rPr>
                <w:rFonts w:cs="Arial"/>
                <w:szCs w:val="20"/>
                <w:lang w:val="en-GB"/>
              </w:rPr>
              <w:lastRenderedPageBreak/>
              <w:t>and interpretation systems</w:t>
            </w:r>
          </w:p>
        </w:tc>
        <w:tc>
          <w:tcPr>
            <w:tcW w:w="2976" w:type="dxa"/>
          </w:tcPr>
          <w:p w:rsidR="00F53945" w:rsidRPr="00B02414" w:rsidRDefault="00F53945" w:rsidP="00F53945">
            <w:pPr>
              <w:pStyle w:val="ListParagraph1"/>
              <w:autoSpaceDE w:val="0"/>
              <w:autoSpaceDN w:val="0"/>
              <w:adjustRightInd w:val="0"/>
              <w:spacing w:line="276" w:lineRule="auto"/>
              <w:ind w:left="49"/>
              <w:contextualSpacing/>
              <w:jc w:val="center"/>
              <w:rPr>
                <w:rFonts w:ascii="Arial" w:hAnsi="Arial" w:cs="Arial"/>
                <w:sz w:val="20"/>
                <w:szCs w:val="20"/>
                <w:lang w:eastAsia="en-US"/>
              </w:rPr>
            </w:pPr>
            <w:r w:rsidRPr="00B02414">
              <w:rPr>
                <w:rFonts w:ascii="Arial" w:hAnsi="Arial" w:cs="Arial"/>
                <w:sz w:val="20"/>
                <w:szCs w:val="20"/>
                <w:lang w:eastAsia="en-US"/>
              </w:rPr>
              <w:lastRenderedPageBreak/>
              <w:t>20 MHz</w:t>
            </w:r>
            <w:r>
              <w:rPr>
                <w:rFonts w:ascii="Arial" w:hAnsi="Arial" w:cs="Arial"/>
                <w:sz w:val="20"/>
                <w:szCs w:val="20"/>
                <w:lang w:eastAsia="en-US"/>
              </w:rPr>
              <w:t xml:space="preserve"> (in one block)</w:t>
            </w:r>
          </w:p>
        </w:tc>
        <w:tc>
          <w:tcPr>
            <w:tcW w:w="4111" w:type="dxa"/>
          </w:tcPr>
          <w:p w:rsidR="00F53945" w:rsidRPr="004A42DC" w:rsidRDefault="00F53945" w:rsidP="00F53945">
            <w:pPr>
              <w:pStyle w:val="ListParagraph1"/>
              <w:autoSpaceDE w:val="0"/>
              <w:autoSpaceDN w:val="0"/>
              <w:adjustRightInd w:val="0"/>
              <w:spacing w:line="276" w:lineRule="auto"/>
              <w:ind w:left="96"/>
              <w:contextualSpacing/>
              <w:jc w:val="center"/>
              <w:rPr>
                <w:rFonts w:ascii="Arial" w:hAnsi="Arial" w:cs="Arial"/>
                <w:sz w:val="20"/>
                <w:szCs w:val="20"/>
                <w:lang w:eastAsia="en-US"/>
              </w:rPr>
            </w:pPr>
            <w:r w:rsidRPr="00B02414">
              <w:rPr>
                <w:rFonts w:ascii="Arial" w:hAnsi="Arial" w:cs="Arial"/>
                <w:sz w:val="20"/>
                <w:szCs w:val="20"/>
                <w:lang w:eastAsia="en-US"/>
              </w:rPr>
              <w:t>100mW</w:t>
            </w:r>
          </w:p>
        </w:tc>
      </w:tr>
    </w:tbl>
    <w:p w:rsidR="00F53945" w:rsidRPr="00F53945" w:rsidRDefault="00F53945" w:rsidP="00F53945">
      <w:pPr>
        <w:spacing w:line="276" w:lineRule="auto"/>
        <w:rPr>
          <w:lang w:val="fr-CH"/>
        </w:rPr>
      </w:pPr>
    </w:p>
    <w:p w:rsidR="00F53945" w:rsidRPr="004A42DC" w:rsidRDefault="00F53945" w:rsidP="00F53945">
      <w:pPr>
        <w:spacing w:before="120" w:line="276" w:lineRule="auto"/>
        <w:rPr>
          <w:rFonts w:cs="Arial"/>
          <w:szCs w:val="20"/>
          <w:lang w:val="en-GB"/>
        </w:rPr>
      </w:pPr>
      <w:r w:rsidRPr="00B02414">
        <w:rPr>
          <w:rFonts w:cs="Arial"/>
          <w:szCs w:val="20"/>
          <w:lang w:val="en-GB"/>
        </w:rPr>
        <w:t xml:space="preserve">Wireless conference and interpretation systems are used in houses of parliament, courts, at banks and insurance companies, multipurpose halls, hotels, conference centres, industry meeting and discussion rooms as well as designed board rooms or historical meeting places that do not allow installations etc. These systems are very often combined with wireless microphone systems and in-ear monitor systems for those that lead through a presentation or discussion. </w:t>
      </w:r>
    </w:p>
    <w:p w:rsidR="00F53945" w:rsidRDefault="00F53945" w:rsidP="00F53945">
      <w:pPr>
        <w:rPr>
          <w:rFonts w:cs="Arial"/>
          <w:szCs w:val="20"/>
          <w:lang w:val="en-GB"/>
        </w:rPr>
      </w:pPr>
    </w:p>
    <w:p w:rsidR="00F53945" w:rsidRPr="004A42DC" w:rsidRDefault="00F53945" w:rsidP="00F53945">
      <w:pPr>
        <w:rPr>
          <w:rFonts w:cs="Arial"/>
          <w:szCs w:val="20"/>
          <w:lang w:val="en-GB"/>
        </w:rPr>
      </w:pPr>
      <w:r w:rsidRPr="004A42DC">
        <w:rPr>
          <w:rFonts w:cs="Arial"/>
          <w:szCs w:val="20"/>
          <w:lang w:val="en-GB"/>
        </w:rPr>
        <w:t xml:space="preserve">The current wireless </w:t>
      </w:r>
      <w:r>
        <w:rPr>
          <w:rFonts w:cs="Arial"/>
          <w:szCs w:val="20"/>
          <w:lang w:val="en-GB"/>
        </w:rPr>
        <w:t xml:space="preserve">microphone </w:t>
      </w:r>
      <w:r w:rsidRPr="004A42DC">
        <w:rPr>
          <w:rFonts w:cs="Arial"/>
          <w:szCs w:val="20"/>
          <w:lang w:val="en-GB"/>
        </w:rPr>
        <w:t>systems</w:t>
      </w:r>
      <w:r>
        <w:rPr>
          <w:rFonts w:cs="Arial"/>
          <w:szCs w:val="20"/>
          <w:lang w:val="en-GB"/>
        </w:rPr>
        <w:t xml:space="preserve"> both analogue and digital</w:t>
      </w:r>
      <w:r w:rsidRPr="004A42DC">
        <w:rPr>
          <w:rFonts w:cs="Arial"/>
          <w:szCs w:val="20"/>
          <w:lang w:val="en-GB"/>
        </w:rPr>
        <w:t xml:space="preserve"> deliver a resolution of 16</w:t>
      </w:r>
      <w:r>
        <w:rPr>
          <w:rFonts w:cs="Arial"/>
          <w:szCs w:val="20"/>
          <w:lang w:val="en-GB"/>
        </w:rPr>
        <w:t xml:space="preserve"> </w:t>
      </w:r>
      <w:r w:rsidRPr="004A42DC">
        <w:rPr>
          <w:rFonts w:cs="Arial"/>
          <w:szCs w:val="20"/>
          <w:lang w:val="en-GB"/>
        </w:rPr>
        <w:t xml:space="preserve">bit. This is almost CD quality. This is suitable for live presentations and the majority of all other productions. HD-Sound demands more: Studios already use for their productions 24 or 32 bit resolution and wish to use it direct from the wireless microphone too. Higher resolution means more dynamics for the listeners. ECC regulations </w:t>
      </w:r>
      <w:r>
        <w:rPr>
          <w:rFonts w:cs="Arial"/>
          <w:szCs w:val="20"/>
          <w:lang w:val="en-GB"/>
        </w:rPr>
        <w:t>are compatible with</w:t>
      </w:r>
      <w:r w:rsidRPr="004A42DC">
        <w:rPr>
          <w:rFonts w:cs="Arial"/>
          <w:szCs w:val="20"/>
          <w:lang w:val="en-GB"/>
        </w:rPr>
        <w:t xml:space="preserve"> this demand </w:t>
      </w:r>
      <w:r>
        <w:rPr>
          <w:rFonts w:cs="Arial"/>
          <w:szCs w:val="20"/>
          <w:lang w:val="en-GB"/>
        </w:rPr>
        <w:t>through</w:t>
      </w:r>
      <w:r w:rsidRPr="004A42DC">
        <w:rPr>
          <w:rFonts w:cs="Arial"/>
          <w:szCs w:val="20"/>
          <w:lang w:val="en-GB"/>
        </w:rPr>
        <w:t xml:space="preserve"> increasing the maximum allowed bandwidth from 200 kHz to 600 kHz. It can be seen that just by switching to the 24 bit resolution the required amount of spectrum for a given production doubles, for 32 bit resolution it triples.</w:t>
      </w:r>
      <w:r>
        <w:rPr>
          <w:rFonts w:cs="Arial"/>
          <w:szCs w:val="20"/>
          <w:lang w:val="en-GB"/>
        </w:rPr>
        <w:t xml:space="preserve"> </w:t>
      </w:r>
    </w:p>
    <w:p w:rsidR="00F53945" w:rsidRDefault="00F53945" w:rsidP="00F53945">
      <w:pPr>
        <w:spacing w:before="120" w:line="276" w:lineRule="auto"/>
        <w:rPr>
          <w:rFonts w:cs="Arial"/>
          <w:szCs w:val="20"/>
          <w:lang w:val="en-GB"/>
        </w:rPr>
      </w:pPr>
      <w:r>
        <w:rPr>
          <w:rFonts w:cs="Arial"/>
          <w:szCs w:val="20"/>
          <w:lang w:val="en-GB"/>
        </w:rPr>
        <w:t>Whereas in the past professional wireless microphone systems could not use bands above 1 GHz due to technical issues modern professional systems can operate above 1 GHz for certain applications.</w:t>
      </w:r>
    </w:p>
    <w:p w:rsidR="00F53945" w:rsidRPr="004A42DC" w:rsidRDefault="00F53945" w:rsidP="00F53945">
      <w:pPr>
        <w:spacing w:before="120" w:line="276" w:lineRule="auto"/>
        <w:rPr>
          <w:rFonts w:cs="Arial"/>
          <w:b/>
          <w:szCs w:val="20"/>
          <w:lang w:val="en-GB"/>
        </w:rPr>
      </w:pPr>
      <w:r w:rsidRPr="004A42DC">
        <w:rPr>
          <w:rFonts w:cs="Arial"/>
          <w:b/>
          <w:szCs w:val="20"/>
          <w:lang w:val="en-GB"/>
        </w:rPr>
        <w:t>3.5.2</w:t>
      </w:r>
      <w:r w:rsidRPr="004A42DC">
        <w:rPr>
          <w:rFonts w:cs="Arial"/>
          <w:b/>
          <w:szCs w:val="20"/>
          <w:lang w:val="en-GB"/>
        </w:rPr>
        <w:tab/>
        <w:t>Justification</w:t>
      </w:r>
    </w:p>
    <w:p w:rsidR="00F53945" w:rsidRDefault="00F53945" w:rsidP="00F53945">
      <w:pPr>
        <w:pStyle w:val="ECCParagraph"/>
      </w:pPr>
      <w:proofErr w:type="gramStart"/>
      <w:r w:rsidRPr="004A42DC">
        <w:t xml:space="preserve">Section 3.1 of ECC's Strategic Plan </w:t>
      </w:r>
      <w:r w:rsidRPr="004A42DC">
        <w:rPr>
          <w:vertAlign w:val="superscript"/>
        </w:rPr>
        <w:footnoteReference w:id="9"/>
      </w:r>
      <w:r w:rsidRPr="004A42DC">
        <w:t xml:space="preserve"> mentions that the identification of appropriate frequency bands for PMSE is one of the main challenges of ECC to be solved within the next remaining three years due to the fact,</w:t>
      </w:r>
      <w:r w:rsidRPr="004A42DC">
        <w:rPr>
          <w:b/>
          <w:bCs/>
          <w:sz w:val="22"/>
          <w:szCs w:val="22"/>
          <w:lang w:eastAsia="de-DE"/>
        </w:rPr>
        <w:t xml:space="preserve"> </w:t>
      </w:r>
      <w:r w:rsidRPr="004A42DC">
        <w:t xml:space="preserve">that “in the course of implementing the digital dividend affected applications supporting programme making and special events (PMSE) are likely to be </w:t>
      </w:r>
      <w:proofErr w:type="spellStart"/>
      <w:r w:rsidRPr="004A42DC">
        <w:t>refarmed</w:t>
      </w:r>
      <w:proofErr w:type="spellEnd"/>
      <w:r w:rsidRPr="004A42DC">
        <w:t>.</w:t>
      </w:r>
      <w:proofErr w:type="gramEnd"/>
      <w:r w:rsidRPr="004A42DC">
        <w:t xml:space="preserve"> Providing appropriate and sufficient resources to PMSE is crucial for that sector.” </w:t>
      </w:r>
      <w:r>
        <w:t xml:space="preserve">This is also in line with the EU policy objective to support the creative and cultural activities. </w:t>
      </w:r>
      <w:r w:rsidRPr="004A42DC">
        <w:t>The ECC established project team FM 51 to address the spectrum requirements for PMSE. However, the mandate of FM 51 excludes to consider the band 1452-1492 MHz for the applications under its manda</w:t>
      </w:r>
      <w:r>
        <w:t>te, pending the result of FM 50.</w:t>
      </w:r>
    </w:p>
    <w:p w:rsidR="00F53945" w:rsidRPr="004A42DC" w:rsidRDefault="00F53945" w:rsidP="00F53945">
      <w:pPr>
        <w:pStyle w:val="ECCParagraph"/>
      </w:pPr>
      <w:r w:rsidRPr="004A42DC">
        <w:t xml:space="preserve">Already in 2007 </w:t>
      </w:r>
      <w:r>
        <w:t xml:space="preserve">the </w:t>
      </w:r>
      <w:r w:rsidRPr="004A42DC">
        <w:t xml:space="preserve">ETSI </w:t>
      </w:r>
      <w:proofErr w:type="spellStart"/>
      <w:r w:rsidRPr="004A42DC">
        <w:t>SRDoc</w:t>
      </w:r>
      <w:proofErr w:type="spellEnd"/>
      <w:r w:rsidRPr="004A42DC">
        <w:t xml:space="preserve"> TR 102546</w:t>
      </w:r>
      <w:r>
        <w:t xml:space="preserve"> requested access to </w:t>
      </w:r>
      <w:r w:rsidRPr="004A42DC">
        <w:t xml:space="preserve">the L-Band for the future development of PMSE. Besides that ETSI updated </w:t>
      </w:r>
      <w:r>
        <w:t xml:space="preserve">the spectrum mask above 1 GHz in </w:t>
      </w:r>
      <w:r w:rsidRPr="004A42DC">
        <w:t xml:space="preserve">the technical standard for </w:t>
      </w:r>
      <w:r>
        <w:t xml:space="preserve">audio </w:t>
      </w:r>
      <w:r w:rsidRPr="004A42DC">
        <w:t>PMSE</w:t>
      </w:r>
      <w:r>
        <w:t xml:space="preserve"> (EN 300 422)</w:t>
      </w:r>
      <w:r w:rsidRPr="004A42DC">
        <w:t>. Based on these ETSI statements manufacturers have invested already to pro</w:t>
      </w:r>
      <w:r>
        <w:t>vide technology for this range.</w:t>
      </w:r>
    </w:p>
    <w:p w:rsidR="00F53945" w:rsidRDefault="00F53945" w:rsidP="00F53945">
      <w:pPr>
        <w:pStyle w:val="ECCParagraph"/>
      </w:pPr>
      <w:r w:rsidRPr="004A42DC">
        <w:t>The nec</w:t>
      </w:r>
      <w:r>
        <w:t>essary spectrum harmonization</w:t>
      </w:r>
      <w:r w:rsidRPr="004A42DC">
        <w:t xml:space="preserve"> of PMSE wireless production systems will require a long term effort from ECC and relevant CEPT Administrations at national level, but ECC has to face this challenge of coordinating the spectrum need of PMSE in Europe and as far as possible on a worldwide basis.</w:t>
      </w:r>
    </w:p>
    <w:p w:rsidR="00F53945" w:rsidRPr="004A42DC" w:rsidRDefault="00F53945" w:rsidP="00F53945">
      <w:pPr>
        <w:pStyle w:val="ECCParagraph"/>
      </w:pPr>
      <w:r>
        <w:t xml:space="preserve">The L-Band could potentially be available to audio PMSE across Europe and beyond on a secondary basis. </w:t>
      </w:r>
      <w:r w:rsidRPr="00156D04">
        <w:rPr>
          <w:i/>
          <w:highlight w:val="yellow"/>
        </w:rPr>
        <w:t xml:space="preserve">[Editorial note: the reference to the PLUM Study - </w:t>
      </w:r>
      <w:proofErr w:type="gramStart"/>
      <w:r w:rsidRPr="00156D04">
        <w:rPr>
          <w:i/>
          <w:highlight w:val="yellow"/>
        </w:rPr>
        <w:t>FM50(</w:t>
      </w:r>
      <w:proofErr w:type="gramEnd"/>
      <w:r w:rsidRPr="00156D04">
        <w:rPr>
          <w:i/>
          <w:highlight w:val="yellow"/>
        </w:rPr>
        <w:t>11)019, page 9].</w:t>
      </w:r>
    </w:p>
    <w:p w:rsidR="00F53945" w:rsidRDefault="00F53945" w:rsidP="00F53945">
      <w:pPr>
        <w:pStyle w:val="ECCParagraph"/>
      </w:pPr>
      <w:r w:rsidRPr="004A42DC">
        <w:t xml:space="preserve">The density of users of </w:t>
      </w:r>
      <w:r>
        <w:t>audio PMSE</w:t>
      </w:r>
      <w:r w:rsidRPr="004A42DC">
        <w:t xml:space="preserve"> applications in the </w:t>
      </w:r>
      <w:r>
        <w:t xml:space="preserve">currently available </w:t>
      </w:r>
      <w:r w:rsidRPr="004A42DC">
        <w:t>spectrum has risen in the course of implementing the digital dividend</w:t>
      </w:r>
      <w:r>
        <w:t xml:space="preserve"> and as a result of the switch-over from analogue to digital TV</w:t>
      </w:r>
      <w:r w:rsidRPr="004A42DC">
        <w:t xml:space="preserve">. </w:t>
      </w:r>
      <w:r>
        <w:t xml:space="preserve">Future evolution of terrestrial digital TV may further limit the spectrum available for audio PMSE in the UHF band (e.g. simulcast of DVB-T and DVB-T2, HDTV, 3DTV) noting that </w:t>
      </w:r>
      <w:r w:rsidRPr="004A42DC">
        <w:t xml:space="preserve">PMSE is </w:t>
      </w:r>
      <w:r>
        <w:t xml:space="preserve">a </w:t>
      </w:r>
      <w:r w:rsidRPr="004A42DC">
        <w:t>secondary user and may only use gaps left by the TV transmitters</w:t>
      </w:r>
      <w:r>
        <w:t>.</w:t>
      </w:r>
    </w:p>
    <w:p w:rsidR="00F53945" w:rsidRPr="004A42DC" w:rsidRDefault="00F53945" w:rsidP="00F53945">
      <w:pPr>
        <w:pStyle w:val="ECCParagraph"/>
      </w:pPr>
      <w:r>
        <w:t xml:space="preserve">At the same time </w:t>
      </w:r>
      <w:r w:rsidRPr="004A42DC">
        <w:t xml:space="preserve">the need for spectrum is increasing steadily because of the increasing demand for production quality, new audio formats and the growth of </w:t>
      </w:r>
      <w:r>
        <w:t xml:space="preserve">the number of concurrent </w:t>
      </w:r>
      <w:r w:rsidRPr="004A42DC">
        <w:t xml:space="preserve">PMSE </w:t>
      </w:r>
      <w:r>
        <w:t xml:space="preserve">users in a </w:t>
      </w:r>
      <w:r>
        <w:lastRenderedPageBreak/>
        <w:t>given event</w:t>
      </w:r>
      <w:r>
        <w:rPr>
          <w:rStyle w:val="Appelnotedebasdep"/>
          <w:szCs w:val="20"/>
        </w:rPr>
        <w:footnoteReference w:id="10"/>
      </w:r>
      <w:r w:rsidRPr="004A42DC">
        <w:t>.</w:t>
      </w:r>
      <w:r>
        <w:t xml:space="preserve"> This may lead to the situation where peak spectrum demand will not be possible to satisfy within the exiting spectrum.</w:t>
      </w:r>
    </w:p>
    <w:p w:rsidR="00F53945" w:rsidRPr="004A42DC" w:rsidRDefault="00F53945" w:rsidP="00F53945">
      <w:pPr>
        <w:spacing w:before="120" w:line="276" w:lineRule="auto"/>
        <w:rPr>
          <w:rFonts w:cs="Arial"/>
          <w:szCs w:val="20"/>
          <w:lang w:val="en-GB"/>
        </w:rPr>
      </w:pPr>
      <w:r>
        <w:rPr>
          <w:rFonts w:cs="Arial"/>
          <w:szCs w:val="20"/>
          <w:lang w:val="en-GB"/>
        </w:rPr>
        <w:t xml:space="preserve">Some applications currently operating in the UHF band could be moved to the L-band, provided that they accept the related operational constraints. </w:t>
      </w:r>
      <w:r w:rsidRPr="004A42DC">
        <w:rPr>
          <w:rFonts w:cs="Arial"/>
          <w:szCs w:val="20"/>
          <w:lang w:val="en-GB"/>
        </w:rPr>
        <w:t>Man-made noise in the L-Band is lower than in the UHF range</w:t>
      </w:r>
      <w:r>
        <w:rPr>
          <w:rFonts w:cs="Arial"/>
          <w:szCs w:val="20"/>
          <w:lang w:val="en-GB"/>
        </w:rPr>
        <w:t xml:space="preserve"> while </w:t>
      </w:r>
      <w:r w:rsidRPr="004A42DC">
        <w:rPr>
          <w:rFonts w:cs="Arial"/>
          <w:szCs w:val="20"/>
          <w:lang w:val="en-GB"/>
        </w:rPr>
        <w:t xml:space="preserve">the wave propagation characteristics in the L band are </w:t>
      </w:r>
      <w:r>
        <w:rPr>
          <w:rFonts w:cs="Arial"/>
          <w:szCs w:val="20"/>
          <w:lang w:val="en-GB"/>
        </w:rPr>
        <w:t xml:space="preserve">not as favourable. </w:t>
      </w:r>
    </w:p>
    <w:p w:rsidR="00F53945" w:rsidRDefault="00F53945" w:rsidP="00F53945">
      <w:pPr>
        <w:spacing w:before="120" w:line="276" w:lineRule="auto"/>
        <w:rPr>
          <w:lang w:val="en-GB"/>
        </w:rPr>
      </w:pPr>
      <w:r w:rsidRPr="008B2DA1">
        <w:rPr>
          <w:lang w:val="en-GB"/>
        </w:rPr>
        <w:t xml:space="preserve">The amount of spectrum required to operate wireless microphones in a given event is not a linear function of the number of microphones, but more a geometrical or exponential function </w:t>
      </w:r>
      <w:r>
        <w:rPr>
          <w:lang w:val="en-GB"/>
        </w:rPr>
        <w:t>(see Annex 7)</w:t>
      </w:r>
      <w:r w:rsidRPr="008B2DA1">
        <w:rPr>
          <w:lang w:val="en-GB"/>
        </w:rPr>
        <w:t xml:space="preserve"> For example, assuming devices compliant with standards EN</w:t>
      </w:r>
      <w:r>
        <w:rPr>
          <w:lang w:val="en-GB"/>
        </w:rPr>
        <w:t>300 422</w:t>
      </w:r>
      <w:r w:rsidRPr="008B2DA1">
        <w:rPr>
          <w:lang w:val="en-GB"/>
        </w:rPr>
        <w:t xml:space="preserve"> and operating in the UHF band, the operation of 22 devices requires typically 20 MHz of spectrum, while the operation of 32 devices requires typically 40 </w:t>
      </w:r>
      <w:proofErr w:type="spellStart"/>
      <w:r w:rsidRPr="008B2DA1">
        <w:rPr>
          <w:lang w:val="en-GB"/>
        </w:rPr>
        <w:t>MHz</w:t>
      </w:r>
      <w:r>
        <w:rPr>
          <w:lang w:val="en-GB"/>
        </w:rPr>
        <w:t>.</w:t>
      </w:r>
      <w:proofErr w:type="spellEnd"/>
    </w:p>
    <w:p w:rsidR="00F53945" w:rsidRPr="004A42DC" w:rsidRDefault="00F53945" w:rsidP="00F53945">
      <w:pPr>
        <w:spacing w:before="120" w:line="276" w:lineRule="auto"/>
        <w:rPr>
          <w:lang w:val="en-GB"/>
        </w:rPr>
      </w:pPr>
    </w:p>
    <w:p w:rsidR="00F53945" w:rsidRPr="004A42DC" w:rsidRDefault="00F53945" w:rsidP="00F53945">
      <w:pPr>
        <w:spacing w:line="276" w:lineRule="auto"/>
        <w:rPr>
          <w:lang w:val="en-GB"/>
        </w:rPr>
      </w:pPr>
      <w:r w:rsidRPr="004A42DC">
        <w:rPr>
          <w:b/>
          <w:lang w:val="en-GB"/>
        </w:rPr>
        <w:t>3.5.3 Spectrum requirements</w:t>
      </w:r>
    </w:p>
    <w:p w:rsidR="00F53945" w:rsidRDefault="00F53945" w:rsidP="00F53945">
      <w:pPr>
        <w:spacing w:line="276" w:lineRule="auto"/>
        <w:rPr>
          <w:lang w:val="en-GB"/>
        </w:rPr>
      </w:pPr>
    </w:p>
    <w:p w:rsidR="00F53945" w:rsidRDefault="00F53945" w:rsidP="00F53945">
      <w:pPr>
        <w:pStyle w:val="ECCParagraph"/>
      </w:pPr>
      <w:r w:rsidRPr="004A42DC">
        <w:t xml:space="preserve">PMSE </w:t>
      </w:r>
      <w:r>
        <w:t xml:space="preserve">applications are successfully operating in </w:t>
      </w:r>
      <w:r w:rsidRPr="004A42DC">
        <w:t>interleaved spectrum</w:t>
      </w:r>
      <w:r>
        <w:t xml:space="preserve"> alongside primary users and would benefit from having </w:t>
      </w:r>
      <w:r w:rsidRPr="004A42DC">
        <w:t xml:space="preserve">access on a secondary basis to the L-Band from 1452 to 1492 </w:t>
      </w:r>
      <w:proofErr w:type="spellStart"/>
      <w:r w:rsidRPr="004A42DC">
        <w:t>MHz.</w:t>
      </w:r>
      <w:proofErr w:type="spellEnd"/>
    </w:p>
    <w:p w:rsidR="00F53945" w:rsidRPr="002D7C11" w:rsidRDefault="00F53945" w:rsidP="00F53945">
      <w:pPr>
        <w:pStyle w:val="Titre2"/>
        <w:rPr>
          <w:i/>
        </w:rPr>
      </w:pPr>
      <w:r w:rsidRPr="00AD190A">
        <w:t xml:space="preserve">Application six: </w:t>
      </w:r>
      <w:r w:rsidRPr="00661904">
        <w:rPr>
          <w:szCs w:val="22"/>
        </w:rPr>
        <w:t xml:space="preserve">Broadband </w:t>
      </w:r>
      <w:r w:rsidRPr="00661904">
        <w:t xml:space="preserve">PPDR </w:t>
      </w:r>
      <w:r>
        <w:t xml:space="preserve">for </w:t>
      </w:r>
      <w:r w:rsidRPr="00661904">
        <w:t xml:space="preserve">temporary </w:t>
      </w:r>
      <w:r>
        <w:t>and local use</w:t>
      </w:r>
    </w:p>
    <w:p w:rsidR="00F53945" w:rsidRDefault="00F53945" w:rsidP="00F53945">
      <w:pPr>
        <w:pStyle w:val="Titre3"/>
      </w:pPr>
      <w:bookmarkStart w:id="22" w:name="_Toc321318118"/>
      <w:r w:rsidRPr="00F53945">
        <w:t>Description</w:t>
      </w:r>
      <w:bookmarkEnd w:id="22"/>
    </w:p>
    <w:p w:rsidR="00F53945" w:rsidRPr="00986B11" w:rsidRDefault="00F53945" w:rsidP="00F53945">
      <w:pPr>
        <w:pStyle w:val="ECCParagraph"/>
      </w:pPr>
      <w:r w:rsidRPr="00986B11">
        <w:t xml:space="preserve">Public Protection and Disaster Relief (PPDR) </w:t>
      </w:r>
      <w:proofErr w:type="spellStart"/>
      <w:r w:rsidRPr="00986B11">
        <w:t>radiocommunication</w:t>
      </w:r>
      <w:proofErr w:type="spellEnd"/>
      <w:r w:rsidRPr="00986B11">
        <w:t xml:space="preserve"> systems are defined (by ITU-R) as:</w:t>
      </w:r>
    </w:p>
    <w:p w:rsidR="00F53945" w:rsidRPr="00986B11" w:rsidRDefault="00F53945" w:rsidP="00F53945">
      <w:pPr>
        <w:pStyle w:val="ECCParagraph"/>
      </w:pPr>
      <w:proofErr w:type="spellStart"/>
      <w:r w:rsidRPr="00986B11">
        <w:t>Radiocommunications</w:t>
      </w:r>
      <w:proofErr w:type="spellEnd"/>
      <w:r w:rsidRPr="00986B11">
        <w:t xml:space="preserve"> of Public Protection (PP) used by responsible agencies and organizations dealing with maintenance of law and order, protection of life and property, and emergency situations.</w:t>
      </w:r>
    </w:p>
    <w:p w:rsidR="00F53945" w:rsidRPr="00AD190A" w:rsidRDefault="00F53945" w:rsidP="00F53945">
      <w:pPr>
        <w:pStyle w:val="ECCParagraph"/>
      </w:pPr>
      <w:proofErr w:type="spellStart"/>
      <w:r w:rsidRPr="00661904">
        <w:t>Radiocommunications</w:t>
      </w:r>
      <w:proofErr w:type="spellEnd"/>
      <w:r w:rsidRPr="00661904">
        <w:t xml:space="preserve"> of Disaster Relief (DR) used by agencies and organizations dealing with a serious disruption of the functioning of society, posing a significant, widespread threat to human life, health, property or the environment, whether caused by accident, nature or human activity, and whether developing suddenly or as a result of complex, long-term processes.</w:t>
      </w:r>
    </w:p>
    <w:p w:rsidR="00F53945" w:rsidRPr="00932BFD" w:rsidRDefault="00F53945" w:rsidP="00F53945">
      <w:pPr>
        <w:pStyle w:val="ECCParagraph"/>
        <w:rPr>
          <w:lang w:val="nb-NO"/>
        </w:rPr>
      </w:pPr>
      <w:r w:rsidRPr="00932BFD">
        <w:rPr>
          <w:lang w:val="nb-NO"/>
        </w:rPr>
        <w:t xml:space="preserve">National narrowband PPDR networks using the TETRA or TETRAPOL technology are in operation in many European countries using the 390-395 MHz/380-385 MHz band harmonized for narrowband PPDR applications (ECC/DEC(08)05). Various studies and surveys have been made in an attempt to define the PPDR organisations future need of broadband applications. The users see a demand for a number of broadband applications in their future daily work, as well as in emergency crises situations. When translated to frequency bandwidth requirements, a minimum spectrum of 2 </w:t>
      </w:r>
      <w:r w:rsidRPr="00932BFD">
        <w:rPr>
          <w:iCs/>
          <w:lang w:val="nb-NO"/>
        </w:rPr>
        <w:t>×</w:t>
      </w:r>
      <w:r w:rsidRPr="00932BFD">
        <w:rPr>
          <w:lang w:val="nb-NO"/>
        </w:rPr>
        <w:t xml:space="preserve"> 10 MHz below </w:t>
      </w:r>
      <w:r>
        <w:rPr>
          <w:lang w:val="nb-NO"/>
        </w:rPr>
        <w:br/>
      </w:r>
      <w:r w:rsidRPr="00932BFD">
        <w:rPr>
          <w:lang w:val="nb-NO"/>
        </w:rPr>
        <w:t>1 GHz is believed to be necessary to cover the identified needs.</w:t>
      </w:r>
    </w:p>
    <w:p w:rsidR="00F53945" w:rsidRDefault="00F53945" w:rsidP="00F53945">
      <w:pPr>
        <w:pStyle w:val="ECCParagraph"/>
        <w:rPr>
          <w:lang w:val="nb-NO"/>
        </w:rPr>
      </w:pPr>
      <w:r w:rsidRPr="00F34191">
        <w:rPr>
          <w:lang w:val="nb-NO"/>
        </w:rPr>
        <w:t xml:space="preserve">In addition to the identified need for permanent spectrum for broadband PPDR, studies done on the initiative of the </w:t>
      </w:r>
      <w:r>
        <w:rPr>
          <w:lang w:val="nb-NO"/>
        </w:rPr>
        <w:t>one administration</w:t>
      </w:r>
      <w:r>
        <w:rPr>
          <w:rStyle w:val="Appelnotedebasdep"/>
          <w:lang w:val="nb-NO"/>
        </w:rPr>
        <w:footnoteReference w:id="11"/>
      </w:r>
      <w:r>
        <w:rPr>
          <w:lang w:val="nb-NO"/>
        </w:rPr>
        <w:t xml:space="preserve"> </w:t>
      </w:r>
      <w:r w:rsidRPr="00F34191">
        <w:rPr>
          <w:lang w:val="nb-NO"/>
        </w:rPr>
        <w:t>show an additional need for spectrum for temporary use. In order to allow the PPDR applications for the usage of additional capacity to transmit real-time video of the site of operation or medical telemetry etc. it has been considered to provide these applications with an extension at the site of operation. The spectrum requirements for temporary</w:t>
      </w:r>
      <w:r>
        <w:rPr>
          <w:lang w:val="nb-NO"/>
        </w:rPr>
        <w:t xml:space="preserve"> and local</w:t>
      </w:r>
      <w:r w:rsidRPr="00F34191">
        <w:rPr>
          <w:lang w:val="nb-NO"/>
        </w:rPr>
        <w:t xml:space="preserve"> usage are mainly driven by the need to address </w:t>
      </w:r>
      <w:r>
        <w:rPr>
          <w:lang w:val="nb-NO"/>
        </w:rPr>
        <w:t>significant incidents where this additional capacity is required</w:t>
      </w:r>
      <w:r w:rsidRPr="00F34191">
        <w:rPr>
          <w:lang w:val="nb-NO"/>
        </w:rPr>
        <w:t xml:space="preserve">. </w:t>
      </w:r>
      <w:r>
        <w:rPr>
          <w:lang w:val="nb-NO"/>
        </w:rPr>
        <w:t>The PPDR devices will need to be capable of operating in both the permanent and temporary spectrum bands. During temporary use for PPDR the spectrum will not be accessable to any other users. Appropriate mechanisms to ensure priority access for PPDR users to the temporary bands are to be defined.</w:t>
      </w:r>
    </w:p>
    <w:p w:rsidR="00F53945" w:rsidRPr="008056FD" w:rsidRDefault="00F53945" w:rsidP="00F53945">
      <w:pPr>
        <w:pStyle w:val="Titre3"/>
      </w:pPr>
      <w:bookmarkStart w:id="23" w:name="_Toc321318119"/>
      <w:r w:rsidRPr="00F53945">
        <w:lastRenderedPageBreak/>
        <w:t>Justification</w:t>
      </w:r>
      <w:bookmarkEnd w:id="23"/>
    </w:p>
    <w:p w:rsidR="00F53945" w:rsidRDefault="00F53945" w:rsidP="00F53945">
      <w:pPr>
        <w:pStyle w:val="ECCParagraph"/>
        <w:rPr>
          <w:highlight w:val="green"/>
        </w:rPr>
      </w:pPr>
      <w:proofErr w:type="gramStart"/>
      <w:r>
        <w:t>S</w:t>
      </w:r>
      <w:r w:rsidRPr="002133B1">
        <w:t>ection 3.3</w:t>
      </w:r>
      <w:r w:rsidRPr="002133B1">
        <w:rPr>
          <w:vertAlign w:val="superscript"/>
        </w:rPr>
        <w:footnoteReference w:id="12"/>
      </w:r>
      <w:r w:rsidRPr="002133B1">
        <w:t xml:space="preserve"> of ECC’s Strategic Plan</w:t>
      </w:r>
      <w:r w:rsidRPr="002133B1">
        <w:rPr>
          <w:vertAlign w:val="superscript"/>
        </w:rPr>
        <w:footnoteReference w:id="13"/>
      </w:r>
      <w:r w:rsidRPr="002133B1">
        <w:t xml:space="preserve"> </w:t>
      </w:r>
      <w:r>
        <w:t>mentions that the overall demand for PPDR spectrum</w:t>
      </w:r>
      <w:r w:rsidRPr="002133B1">
        <w:t xml:space="preserve"> is one of the main challenges of ECC to be solved within the next remaining three years</w:t>
      </w:r>
      <w:r>
        <w:t>.</w:t>
      </w:r>
      <w:proofErr w:type="gramEnd"/>
      <w:r w:rsidRPr="002133B1">
        <w:t xml:space="preserve"> </w:t>
      </w:r>
      <w:r>
        <w:t>U</w:t>
      </w:r>
      <w:r w:rsidRPr="002133B1">
        <w:t xml:space="preserve">ntil now no other frequency band is designated for the use by </w:t>
      </w:r>
      <w:r>
        <w:t xml:space="preserve">broadband </w:t>
      </w:r>
      <w:r w:rsidRPr="002133B1">
        <w:t>PPDR applications</w:t>
      </w:r>
      <w:r>
        <w:t>. T</w:t>
      </w:r>
      <w:r w:rsidRPr="00DC33E3">
        <w:t>he ECC established project team FM PT49 to address the spectrum requirements for PPDR.</w:t>
      </w:r>
    </w:p>
    <w:p w:rsidR="00F53945" w:rsidRPr="002133B1" w:rsidRDefault="00F53945" w:rsidP="00F53945">
      <w:pPr>
        <w:pStyle w:val="ECCParagraph"/>
      </w:pPr>
      <w:r w:rsidRPr="00DC33E3">
        <w:t xml:space="preserve">Some administrations identified the need for </w:t>
      </w:r>
      <w:r>
        <w:t>temporary</w:t>
      </w:r>
      <w:r w:rsidRPr="00DC33E3">
        <w:t xml:space="preserve"> </w:t>
      </w:r>
      <w:r>
        <w:t xml:space="preserve">and local </w:t>
      </w:r>
      <w:r w:rsidRPr="00DC33E3">
        <w:t>PPDR networks with spectrum requirements</w:t>
      </w:r>
      <w:r>
        <w:t xml:space="preserve"> outside those currently used for PPDR. The L-band could accommodate these needs.</w:t>
      </w:r>
    </w:p>
    <w:p w:rsidR="00F53945" w:rsidRPr="00B37CEA" w:rsidRDefault="00F53945" w:rsidP="00F53945">
      <w:pPr>
        <w:pStyle w:val="ECCParagraph"/>
        <w:spacing w:after="120"/>
        <w:rPr>
          <w:szCs w:val="20"/>
        </w:rPr>
      </w:pPr>
      <w:r>
        <w:rPr>
          <w:lang w:val="nb-NO"/>
        </w:rPr>
        <w:t>The above mentioned studies show that i</w:t>
      </w:r>
      <w:r>
        <w:t>n case of significant incidents t</w:t>
      </w:r>
      <w:r w:rsidRPr="00B37CEA">
        <w:t xml:space="preserve">he following applications </w:t>
      </w:r>
      <w:r>
        <w:t xml:space="preserve"> </w:t>
      </w:r>
      <w:r w:rsidRPr="00B37CEA">
        <w:t xml:space="preserve">require higher </w:t>
      </w:r>
      <w:r>
        <w:t xml:space="preserve">capacity </w:t>
      </w:r>
      <w:r w:rsidRPr="00B37CEA">
        <w:t xml:space="preserve">than </w:t>
      </w:r>
      <w:r>
        <w:t xml:space="preserve">that which </w:t>
      </w:r>
      <w:r w:rsidRPr="00B37CEA">
        <w:t xml:space="preserve">can be provided by </w:t>
      </w:r>
      <w:r>
        <w:t xml:space="preserve">the permanent </w:t>
      </w:r>
      <w:r w:rsidRPr="00B37CEA">
        <w:t>PPDR</w:t>
      </w:r>
      <w:r>
        <w:t xml:space="preserve"> </w:t>
      </w:r>
      <w:r>
        <w:rPr>
          <w:szCs w:val="20"/>
        </w:rPr>
        <w:t>networks</w:t>
      </w:r>
      <w:r w:rsidRPr="00B37CEA">
        <w:rPr>
          <w:szCs w:val="20"/>
        </w:rPr>
        <w:t>:</w:t>
      </w:r>
    </w:p>
    <w:p w:rsidR="00F53945" w:rsidRPr="00B37CEA" w:rsidRDefault="00F53945" w:rsidP="00F53945">
      <w:pPr>
        <w:pStyle w:val="ECCParBulleted"/>
      </w:pPr>
      <w:r w:rsidRPr="00B37CEA">
        <w:t xml:space="preserve">local mobile data transfer </w:t>
      </w:r>
    </w:p>
    <w:p w:rsidR="00F53945" w:rsidRPr="00B37CEA" w:rsidRDefault="00F53945" w:rsidP="00F53945">
      <w:pPr>
        <w:pStyle w:val="ECCParBulleted"/>
      </w:pPr>
      <w:r w:rsidRPr="00B37CEA">
        <w:t>local high speed moving picture transfer</w:t>
      </w:r>
    </w:p>
    <w:p w:rsidR="00F53945" w:rsidRPr="00B37CEA" w:rsidRDefault="00F53945" w:rsidP="00F53945">
      <w:pPr>
        <w:pStyle w:val="ECCParBulleted"/>
      </w:pPr>
      <w:r w:rsidRPr="00B37CEA">
        <w:t>local infrared high speed moving picture transfer</w:t>
      </w:r>
    </w:p>
    <w:p w:rsidR="00F53945" w:rsidRPr="00B37CEA" w:rsidRDefault="00F53945" w:rsidP="00F53945">
      <w:pPr>
        <w:pStyle w:val="ECCParBulleted"/>
      </w:pPr>
      <w:r>
        <w:t xml:space="preserve">local </w:t>
      </w:r>
      <w:r w:rsidRPr="00B37CEA">
        <w:t>t</w:t>
      </w:r>
      <w:hyperlink r:id="rId13" w:history="1">
        <w:r w:rsidRPr="00B37CEA">
          <w:rPr>
            <w:rStyle w:val="Lienhypertexte"/>
            <w:szCs w:val="20"/>
          </w:rPr>
          <w:t>hermal imaging cameras</w:t>
        </w:r>
      </w:hyperlink>
    </w:p>
    <w:p w:rsidR="00F53945" w:rsidRPr="00B37CEA" w:rsidRDefault="00F53945" w:rsidP="00F53945">
      <w:pPr>
        <w:pStyle w:val="ECCParBulleted"/>
      </w:pPr>
      <w:r w:rsidRPr="00B37CEA">
        <w:t>local operation surveillance</w:t>
      </w:r>
    </w:p>
    <w:p w:rsidR="00F53945" w:rsidRPr="00B37CEA" w:rsidRDefault="00F53945" w:rsidP="00F53945">
      <w:pPr>
        <w:pStyle w:val="ECCParBulleted"/>
      </w:pPr>
      <w:r w:rsidRPr="00B37CEA">
        <w:t>local unmanned remote controlled vehicles carrying surveillance cameras</w:t>
      </w:r>
    </w:p>
    <w:p w:rsidR="00F53945" w:rsidRPr="00892C86" w:rsidRDefault="00F53945" w:rsidP="00F53945">
      <w:pPr>
        <w:pStyle w:val="Titre3"/>
      </w:pPr>
      <w:bookmarkStart w:id="24" w:name="_Toc321318120"/>
      <w:r w:rsidRPr="00892C86">
        <w:t>Spectrum requirements</w:t>
      </w:r>
      <w:bookmarkEnd w:id="24"/>
    </w:p>
    <w:p w:rsidR="00F53945" w:rsidRDefault="00F53945" w:rsidP="00F53945">
      <w:pPr>
        <w:pStyle w:val="ECCParagraph"/>
      </w:pPr>
      <w:r w:rsidRPr="00892C86">
        <w:t xml:space="preserve">Investigations </w:t>
      </w:r>
      <w:r>
        <w:t xml:space="preserve">undertaken by one CEPT country </w:t>
      </w:r>
      <w:r w:rsidRPr="00892C86">
        <w:t xml:space="preserve">on high speed data communication demands and needs for PPDR and its possible realisation in the radio spectrum have been carried out in 2010 and 2011. </w:t>
      </w:r>
      <w:r w:rsidRPr="00661904">
        <w:rPr>
          <w:i/>
          <w:highlight w:val="yellow"/>
        </w:rPr>
        <w:t>[Editorial note: include the references to the studies]</w:t>
      </w:r>
      <w:r w:rsidRPr="00661904">
        <w:t>.</w:t>
      </w:r>
    </w:p>
    <w:p w:rsidR="00F53945" w:rsidRDefault="00F53945" w:rsidP="00F53945">
      <w:pPr>
        <w:pStyle w:val="ECCParagraph"/>
      </w:pPr>
      <w:r>
        <w:t>The calculations have been done on the basis of LTE - but not prejudging LTE or excluding any other standard at this point of time.</w:t>
      </w:r>
    </w:p>
    <w:p w:rsidR="00F53945" w:rsidRDefault="00F53945" w:rsidP="00F53945">
      <w:pPr>
        <w:pStyle w:val="ECCParagraph"/>
        <w:rPr>
          <w:lang w:val="en-US"/>
        </w:rPr>
      </w:pPr>
      <w:r>
        <w:t>The needed band</w:t>
      </w:r>
      <w:r w:rsidRPr="00FC25FF">
        <w:t xml:space="preserve">width for </w:t>
      </w:r>
      <w:r>
        <w:rPr>
          <w:lang w:val="en-US"/>
        </w:rPr>
        <w:t xml:space="preserve">temporary and local </w:t>
      </w:r>
      <w:r w:rsidRPr="00FC25FF">
        <w:t xml:space="preserve">PPDR high speed data communications </w:t>
      </w:r>
      <w:r w:rsidRPr="00FC25FF">
        <w:rPr>
          <w:lang w:val="en-US"/>
        </w:rPr>
        <w:t>is 15 MHz</w:t>
      </w:r>
      <w:r>
        <w:rPr>
          <w:lang w:val="en-US"/>
        </w:rPr>
        <w:t xml:space="preserve"> as indicated in one of the above mentioned studies </w:t>
      </w:r>
      <w:r w:rsidRPr="004D0CA1">
        <w:rPr>
          <w:i/>
          <w:highlight w:val="yellow"/>
          <w:lang w:val="en-US"/>
        </w:rPr>
        <w:t>[Editorial note: include a reference to the WIK study]</w:t>
      </w:r>
      <w:r>
        <w:rPr>
          <w:lang w:val="en-US"/>
        </w:rPr>
        <w:t>.</w:t>
      </w:r>
      <w:r w:rsidRPr="004D0CA1">
        <w:rPr>
          <w:i/>
          <w:highlight w:val="cyan"/>
        </w:rPr>
        <w:t xml:space="preserve"> </w:t>
      </w:r>
      <w:r w:rsidRPr="00FC25FF">
        <w:rPr>
          <w:lang w:val="en-US"/>
        </w:rPr>
        <w:t>Th</w:t>
      </w:r>
      <w:r>
        <w:rPr>
          <w:lang w:val="en-US"/>
        </w:rPr>
        <w:t>is</w:t>
      </w:r>
      <w:r w:rsidRPr="00FC25FF">
        <w:rPr>
          <w:lang w:val="en-US"/>
        </w:rPr>
        <w:t xml:space="preserve"> requirement </w:t>
      </w:r>
      <w:r>
        <w:rPr>
          <w:lang w:val="en-US"/>
        </w:rPr>
        <w:t xml:space="preserve">is primarily considered </w:t>
      </w:r>
      <w:r w:rsidRPr="00FC25FF">
        <w:rPr>
          <w:lang w:val="en-US"/>
        </w:rPr>
        <w:t>for a pan-European deployment</w:t>
      </w:r>
      <w:r>
        <w:rPr>
          <w:lang w:val="en-US"/>
        </w:rPr>
        <w:t>.</w:t>
      </w:r>
    </w:p>
    <w:p w:rsidR="00F53945" w:rsidRDefault="00F53945" w:rsidP="00F53945">
      <w:pPr>
        <w:pStyle w:val="Titre2"/>
      </w:pPr>
      <w:r>
        <w:t>Application seven:</w:t>
      </w:r>
      <w:r>
        <w:tab/>
        <w:t>Broadband Direct-Air-to-Ground Communications (BDA2GC)</w:t>
      </w:r>
    </w:p>
    <w:p w:rsidR="00F53945" w:rsidRDefault="00F53945" w:rsidP="00F53945">
      <w:pPr>
        <w:pStyle w:val="Titre3"/>
      </w:pPr>
      <w:bookmarkStart w:id="25" w:name="_Toc321318122"/>
      <w:r>
        <w:t>Description</w:t>
      </w:r>
      <w:bookmarkEnd w:id="25"/>
    </w:p>
    <w:p w:rsidR="00F53945" w:rsidRDefault="00F53945" w:rsidP="00F53945">
      <w:pPr>
        <w:pStyle w:val="ECCParagraph"/>
      </w:pPr>
      <w:r>
        <w:t xml:space="preserve">A broadband DA2GC system constitutes an application for various types of telecommunications services, </w:t>
      </w:r>
      <w:r w:rsidRPr="00885D5F">
        <w:t>such as</w:t>
      </w:r>
      <w:r w:rsidRPr="005762C8">
        <w:t xml:space="preserve"> </w:t>
      </w:r>
      <w:r>
        <w:t xml:space="preserve">internet access and mobile multimedia services. It aims to provide access to broadband communication services during continental flights </w:t>
      </w:r>
      <w:r w:rsidRPr="00057D86">
        <w:t>on a Europe-wide basis.</w:t>
      </w:r>
      <w:r>
        <w:t xml:space="preserve"> The overall end-to-end system architecture of the broadband DA2G communication system is illustrated in </w:t>
      </w:r>
      <w:r>
        <w:fldChar w:fldCharType="begin"/>
      </w:r>
      <w:r>
        <w:instrText xml:space="preserve"> REF _Ref311008089 \h </w:instrText>
      </w:r>
      <w:r>
        <w:fldChar w:fldCharType="separate"/>
      </w:r>
      <w:r>
        <w:t xml:space="preserve">Figure </w:t>
      </w:r>
      <w:r>
        <w:rPr>
          <w:noProof/>
        </w:rPr>
        <w:t>2</w:t>
      </w:r>
      <w:r>
        <w:fldChar w:fldCharType="end"/>
      </w:r>
      <w:r>
        <w:t>. The request for spectrum is related to the direct air-to-ground radio solution.</w:t>
      </w:r>
    </w:p>
    <w:p w:rsidR="00F53945" w:rsidRDefault="00F53945" w:rsidP="00F53945"/>
    <w:p w:rsidR="00F53945" w:rsidRDefault="00F53945" w:rsidP="00F53945">
      <w:pPr>
        <w:jc w:val="center"/>
        <w:rPr>
          <w:szCs w:val="20"/>
        </w:rPr>
      </w:pPr>
      <w:r>
        <w:rPr>
          <w:noProof/>
          <w:lang w:val="fr-FR" w:eastAsia="fr-FR"/>
        </w:rPr>
        <w:lastRenderedPageBreak/>
        <w:drawing>
          <wp:inline distT="0" distB="0" distL="0" distR="0" wp14:anchorId="646A28C6" wp14:editId="57AB14F6">
            <wp:extent cx="5689600" cy="2959100"/>
            <wp:effectExtent l="0" t="0" r="6350" b="0"/>
            <wp:docPr id="15" name="Picture 15" descr="System-Archite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System-Architectur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89600" cy="2959100"/>
                    </a:xfrm>
                    <a:prstGeom prst="rect">
                      <a:avLst/>
                    </a:prstGeom>
                    <a:noFill/>
                    <a:ln>
                      <a:noFill/>
                    </a:ln>
                  </pic:spPr>
                </pic:pic>
              </a:graphicData>
            </a:graphic>
          </wp:inline>
        </w:drawing>
      </w:r>
    </w:p>
    <w:p w:rsidR="00F53945" w:rsidRPr="00984A05" w:rsidRDefault="00F53945" w:rsidP="00F53945">
      <w:pPr>
        <w:pStyle w:val="Lgende"/>
      </w:pPr>
      <w:bookmarkStart w:id="26" w:name="_Ref311008089"/>
      <w:bookmarkStart w:id="27" w:name="_Ref310935488"/>
      <w:r>
        <w:t xml:space="preserve">Figure </w:t>
      </w:r>
      <w:r>
        <w:fldChar w:fldCharType="begin"/>
      </w:r>
      <w:r>
        <w:instrText xml:space="preserve"> SEQ Figure \* ARABIC </w:instrText>
      </w:r>
      <w:r>
        <w:fldChar w:fldCharType="separate"/>
      </w:r>
      <w:r>
        <w:rPr>
          <w:noProof/>
        </w:rPr>
        <w:t>2</w:t>
      </w:r>
      <w:r>
        <w:rPr>
          <w:noProof/>
        </w:rPr>
        <w:fldChar w:fldCharType="end"/>
      </w:r>
      <w:bookmarkEnd w:id="26"/>
      <w:r>
        <w:t xml:space="preserve">: </w:t>
      </w:r>
      <w:r w:rsidRPr="00032CE3">
        <w:t>System architecture for broadband DA2G communication</w:t>
      </w:r>
      <w:bookmarkEnd w:id="27"/>
      <w:r w:rsidRPr="00986B11">
        <w:t xml:space="preserve"> </w:t>
      </w:r>
    </w:p>
    <w:p w:rsidR="00F53945" w:rsidRPr="007C0E88" w:rsidRDefault="00F53945" w:rsidP="00F53945">
      <w:pPr>
        <w:pStyle w:val="ECCParagraph"/>
        <w:rPr>
          <w:lang w:val="en-US"/>
        </w:rPr>
      </w:pPr>
      <w:r w:rsidRPr="00661904">
        <w:t>T</w:t>
      </w:r>
      <w:r w:rsidRPr="007252B7">
        <w:t>he BDA2GC system</w:t>
      </w:r>
      <w:r w:rsidRPr="00661904">
        <w:t xml:space="preserve"> </w:t>
      </w:r>
      <w:r>
        <w:t xml:space="preserve">under consideration in this Report </w:t>
      </w:r>
      <w:r w:rsidRPr="007252B7">
        <w:t xml:space="preserve">is based on the 3GPP LTE (also called E-UTRA) standard (Rel. 8 or higher), as described in more detail in ETSI TR 103 054. </w:t>
      </w:r>
      <w:r w:rsidRPr="00661904">
        <w:t>The general characteristics of the DA2GC RF and digital baseband signals are also based on the LTE specification.</w:t>
      </w:r>
      <w:r>
        <w:t xml:space="preserve"> </w:t>
      </w:r>
      <w:r w:rsidRPr="00661904">
        <w:t>To adapt the</w:t>
      </w:r>
      <w:r w:rsidRPr="007252B7">
        <w:t xml:space="preserve"> LTE system</w:t>
      </w:r>
      <w:r>
        <w:t xml:space="preserve"> </w:t>
      </w:r>
      <w:r w:rsidRPr="00661904">
        <w:t>functionalities to the DA2GC link specifics, some modifications are required</w:t>
      </w:r>
      <w:r w:rsidRPr="00E11E17">
        <w:t xml:space="preserve">. In particular synchronization algorithms as well as the maximum OBU </w:t>
      </w:r>
      <w:proofErr w:type="spellStart"/>
      <w:r w:rsidRPr="00E11E17">
        <w:t>Tx</w:t>
      </w:r>
      <w:proofErr w:type="spellEnd"/>
      <w:r w:rsidRPr="00E11E17">
        <w:t xml:space="preserve"> power are to be modified compared to terrestrial mobile radio usage in order to cope with high Doppler frequency shift caused by aircraft speed and large cell sizes. In addition the BS antenna adjustment has to be matched to cover typical aircraft altitudes between 3 and </w:t>
      </w:r>
      <w:smartTag w:uri="urn:schemas-microsoft-com:office:smarttags" w:element="metricconverter">
        <w:smartTagPr>
          <w:attr w:name="ProductID" w:val="12 km"/>
        </w:smartTagPr>
        <w:r w:rsidRPr="00E11E17">
          <w:t>12 km</w:t>
        </w:r>
      </w:smartTag>
      <w:r w:rsidRPr="00E11E17">
        <w:t xml:space="preserve"> by up-tilt of vertical diagrams. </w:t>
      </w:r>
      <w:proofErr w:type="spellStart"/>
      <w:r w:rsidRPr="00E11E17">
        <w:t>Ongoing</w:t>
      </w:r>
      <w:proofErr w:type="spellEnd"/>
      <w:r w:rsidRPr="00E11E17">
        <w:t xml:space="preserve"> investigations will determine whether further modifications are required</w:t>
      </w:r>
      <w:r>
        <w:rPr>
          <w:rStyle w:val="Appelnotedebasdep"/>
        </w:rPr>
        <w:footnoteReference w:id="14"/>
      </w:r>
      <w:r w:rsidRPr="00E11E17">
        <w:t>.</w:t>
      </w:r>
    </w:p>
    <w:p w:rsidR="00F53945" w:rsidRDefault="00F53945" w:rsidP="00F53945">
      <w:pPr>
        <w:pStyle w:val="ECCParagraph"/>
      </w:pPr>
      <w:r w:rsidRPr="005762C8">
        <w:t>The main application field would be Air Passenger Communications (APC</w:t>
      </w:r>
      <w:r w:rsidRPr="00661904">
        <w:t>),</w:t>
      </w:r>
      <w:r w:rsidRPr="005762C8">
        <w:t xml:space="preserve"> e.g. </w:t>
      </w:r>
      <w:proofErr w:type="spellStart"/>
      <w:r w:rsidRPr="005762C8">
        <w:t>WiFi</w:t>
      </w:r>
      <w:proofErr w:type="spellEnd"/>
      <w:r w:rsidRPr="005762C8">
        <w:t xml:space="preserve"> or GSM based internet/company intranet access, data synchronization and voice communication</w:t>
      </w:r>
      <w:r w:rsidRPr="00661904">
        <w:t>. In addition the system could also support Airline Administrative Communications services (AAC), e.g. flight data, crew scheduling and lodging information, aircraft supply requirements (catering etc.), miscellaneous crew information and requests for medical assista</w:t>
      </w:r>
      <w:r w:rsidRPr="006F65EB">
        <w:t>nce</w:t>
      </w:r>
      <w:r>
        <w:t xml:space="preserve">. </w:t>
      </w:r>
      <w:r w:rsidRPr="005762C8">
        <w:t>The envisaged broadband DA2GC system is not intended to be used for safety-relevant communications such as Air Traffic Control (ATC) and related services.</w:t>
      </w:r>
      <w:r w:rsidRPr="007C15A8">
        <w:t xml:space="preserve"> </w:t>
      </w:r>
      <w:r w:rsidRPr="00E11E17">
        <w:t>It should also be noted that in continental US an Air to Ground system has been established with more than 1.</w:t>
      </w:r>
      <w:r>
        <w:t>3</w:t>
      </w:r>
      <w:r w:rsidRPr="00E11E17">
        <w:t>00 commercial aircraft</w:t>
      </w:r>
      <w:r>
        <w:t>s</w:t>
      </w:r>
      <w:r w:rsidRPr="00E11E17">
        <w:t xml:space="preserve"> equipped so far</w:t>
      </w:r>
      <w:r>
        <w:t xml:space="preserve"> </w:t>
      </w:r>
      <w:r w:rsidRPr="00314EE2">
        <w:rPr>
          <w:i/>
          <w:highlight w:val="yellow"/>
        </w:rPr>
        <w:t>[Editorial note: reference</w:t>
      </w:r>
      <w:r>
        <w:rPr>
          <w:i/>
          <w:highlight w:val="yellow"/>
        </w:rPr>
        <w:t>(s)</w:t>
      </w:r>
      <w:r w:rsidRPr="00314EE2">
        <w:rPr>
          <w:i/>
          <w:highlight w:val="yellow"/>
        </w:rPr>
        <w:t xml:space="preserve"> to be provided by DT]</w:t>
      </w:r>
      <w:r w:rsidRPr="00E11E17">
        <w:t>.</w:t>
      </w:r>
    </w:p>
    <w:p w:rsidR="00F53945" w:rsidRPr="00E11E17" w:rsidRDefault="00F53945" w:rsidP="00F53945">
      <w:pPr>
        <w:pStyle w:val="ECCParagraph"/>
      </w:pPr>
      <w:r>
        <w:t>There are other proposals in Europe for BDA2GC systems to be used in ISM bands using different technologies (see also section 3.7.3).</w:t>
      </w:r>
      <w:r w:rsidRPr="007C15A8">
        <w:t xml:space="preserve"> </w:t>
      </w:r>
    </w:p>
    <w:p w:rsidR="00F53945" w:rsidRDefault="00F53945" w:rsidP="00F53945">
      <w:pPr>
        <w:pStyle w:val="Titre3"/>
        <w:rPr>
          <w:i/>
          <w:sz w:val="24"/>
          <w:szCs w:val="24"/>
        </w:rPr>
      </w:pPr>
      <w:bookmarkStart w:id="28" w:name="_Toc321318123"/>
      <w:r w:rsidRPr="00661904">
        <w:t>Justification</w:t>
      </w:r>
      <w:bookmarkEnd w:id="28"/>
    </w:p>
    <w:p w:rsidR="00F53945" w:rsidRPr="00E11E17" w:rsidRDefault="00F53945" w:rsidP="00F53945">
      <w:pPr>
        <w:pStyle w:val="ECCParagraph"/>
      </w:pPr>
      <w:r w:rsidRPr="00E11E17">
        <w:t xml:space="preserve">Mobile customers expect to be connected everywhere, every time, with all kind of mobile devices. </w:t>
      </w:r>
      <w:r>
        <w:t>A</w:t>
      </w:r>
      <w:r w:rsidRPr="00E11E17">
        <w:t xml:space="preserve"> </w:t>
      </w:r>
      <w:r w:rsidRPr="00661904">
        <w:t>terrestrial</w:t>
      </w:r>
      <w:r w:rsidRPr="00E11E17">
        <w:t xml:space="preserve"> BDA2GC system in </w:t>
      </w:r>
      <w:smartTag w:uri="urn:schemas-microsoft-com:office:smarttags" w:element="place">
        <w:r w:rsidRPr="00E11E17">
          <w:t>Europe</w:t>
        </w:r>
      </w:smartTag>
      <w:r w:rsidRPr="00E11E17">
        <w:t xml:space="preserve"> </w:t>
      </w:r>
      <w:r>
        <w:t xml:space="preserve">is proposed to be an alternative to the already existing satellite based services. A number of </w:t>
      </w:r>
      <w:r w:rsidRPr="00E11E17">
        <w:t>European airlines have great interest to offer internet services to their flight passengers in their continental fleets as soon as possible. The costs for the aircraft installation and maintenance are a key issue.</w:t>
      </w:r>
    </w:p>
    <w:p w:rsidR="00F53945" w:rsidRPr="007C0E88" w:rsidRDefault="00F53945" w:rsidP="00F53945">
      <w:pPr>
        <w:pStyle w:val="ECCParagraph"/>
        <w:rPr>
          <w:lang w:val="en-US"/>
        </w:rPr>
      </w:pPr>
      <w:r>
        <w:rPr>
          <w:lang w:val="en-US"/>
        </w:rPr>
        <w:lastRenderedPageBreak/>
        <w:t xml:space="preserve">A forecast </w:t>
      </w:r>
      <w:r w:rsidRPr="006F65EB">
        <w:rPr>
          <w:lang w:val="en-US"/>
        </w:rPr>
        <w:t xml:space="preserve">from </w:t>
      </w:r>
      <w:proofErr w:type="spellStart"/>
      <w:r w:rsidRPr="006F65EB">
        <w:rPr>
          <w:lang w:val="en-US"/>
        </w:rPr>
        <w:t>Eurocontrol</w:t>
      </w:r>
      <w:proofErr w:type="spellEnd"/>
      <w:r w:rsidRPr="006F65EB">
        <w:rPr>
          <w:vertAlign w:val="superscript"/>
          <w:lang w:val="en-US"/>
        </w:rPr>
        <w:footnoteReference w:id="15"/>
      </w:r>
      <w:r w:rsidRPr="006F65EB">
        <w:rPr>
          <w:lang w:val="en-US"/>
        </w:rPr>
        <w:t xml:space="preserve"> </w:t>
      </w:r>
      <w:r>
        <w:rPr>
          <w:lang w:val="en-US"/>
        </w:rPr>
        <w:t xml:space="preserve">published in October 2011 estimates 11.5 million movements according Instrument Flight Rules (IFR) in </w:t>
      </w:r>
      <w:smartTag w:uri="urn:schemas-microsoft-com:office:smarttags" w:element="place">
        <w:r>
          <w:rPr>
            <w:lang w:val="en-US"/>
          </w:rPr>
          <w:t>Europe</w:t>
        </w:r>
      </w:smartTag>
      <w:r>
        <w:rPr>
          <w:lang w:val="en-US"/>
        </w:rPr>
        <w:t xml:space="preserve"> in 2017. This is 21% more than in 2010</w:t>
      </w:r>
      <w:r w:rsidRPr="006F65EB">
        <w:rPr>
          <w:lang w:val="en-US"/>
        </w:rPr>
        <w:t xml:space="preserve">. Studies on air passenger demand for onboard connectivity are </w:t>
      </w:r>
      <w:r>
        <w:rPr>
          <w:lang w:val="en-US"/>
        </w:rPr>
        <w:t xml:space="preserve">currently </w:t>
      </w:r>
      <w:r w:rsidRPr="006F65EB">
        <w:rPr>
          <w:lang w:val="en-US"/>
        </w:rPr>
        <w:t>not publicly available</w:t>
      </w:r>
      <w:r w:rsidRPr="00156D04">
        <w:rPr>
          <w:rStyle w:val="Appelnotedebasdep"/>
        </w:rPr>
        <w:footnoteReference w:id="16"/>
      </w:r>
      <w:r>
        <w:rPr>
          <w:lang w:val="en-US"/>
        </w:rPr>
        <w:t>.</w:t>
      </w:r>
      <w:r w:rsidRPr="006F65EB">
        <w:rPr>
          <w:lang w:val="en-US"/>
        </w:rPr>
        <w:t xml:space="preserve"> </w:t>
      </w:r>
    </w:p>
    <w:p w:rsidR="00F53945" w:rsidRPr="00E11E17" w:rsidRDefault="00F53945" w:rsidP="00F53945">
      <w:pPr>
        <w:pStyle w:val="ECCParagraph"/>
      </w:pPr>
      <w:r w:rsidRPr="00E11E17">
        <w:t xml:space="preserve">Currently, there is </w:t>
      </w:r>
      <w:r w:rsidRPr="00661904">
        <w:t>no</w:t>
      </w:r>
      <w:r w:rsidRPr="00E11E17">
        <w:t xml:space="preserve"> spectrum designated </w:t>
      </w:r>
      <w:proofErr w:type="gramStart"/>
      <w:r w:rsidRPr="00E11E17">
        <w:t>for</w:t>
      </w:r>
      <w:r>
        <w:t xml:space="preserve">  </w:t>
      </w:r>
      <w:r w:rsidRPr="00E11E17">
        <w:t>BDA2GC</w:t>
      </w:r>
      <w:proofErr w:type="gramEnd"/>
      <w:r w:rsidRPr="00E11E17">
        <w:t xml:space="preserve"> in </w:t>
      </w:r>
      <w:smartTag w:uri="urn:schemas-microsoft-com:office:smarttags" w:element="place">
        <w:r w:rsidRPr="00E11E17">
          <w:t>Europe</w:t>
        </w:r>
      </w:smartTag>
      <w:r w:rsidRPr="00E11E17">
        <w:t xml:space="preserve">. In order to allow European citizens and airlines to </w:t>
      </w:r>
      <w:r>
        <w:t xml:space="preserve">derive </w:t>
      </w:r>
      <w:r w:rsidRPr="00E11E17">
        <w:t xml:space="preserve">social and economic benefits of the implementation of </w:t>
      </w:r>
      <w:r>
        <w:t xml:space="preserve">such </w:t>
      </w:r>
      <w:r w:rsidRPr="00661904">
        <w:t xml:space="preserve">a </w:t>
      </w:r>
      <w:r w:rsidRPr="00E11E17">
        <w:t xml:space="preserve">system, a spectrum designation on a Europe-wide basis would be necessary. </w:t>
      </w:r>
    </w:p>
    <w:p w:rsidR="00F53945" w:rsidRPr="0083513E" w:rsidRDefault="00F53945" w:rsidP="00F53945">
      <w:pPr>
        <w:pStyle w:val="Titre3"/>
      </w:pPr>
      <w:bookmarkStart w:id="29" w:name="_Toc321318124"/>
      <w:r w:rsidRPr="0083513E">
        <w:t>Spectrum requirements</w:t>
      </w:r>
      <w:bookmarkEnd w:id="29"/>
    </w:p>
    <w:p w:rsidR="00F53945" w:rsidRPr="00984A05" w:rsidRDefault="00F53945" w:rsidP="00F53945">
      <w:pPr>
        <w:pStyle w:val="ECCParagraph"/>
      </w:pPr>
      <w:r w:rsidRPr="00984A05">
        <w:t xml:space="preserve">The spectrum demand for the BDA2GC system is derived from a summary of relevant factors to be essential to cope with future capacity demand as well as from results achieved by system performance evaluations. </w:t>
      </w:r>
    </w:p>
    <w:p w:rsidR="00F53945" w:rsidRPr="00984A05" w:rsidRDefault="00F53945" w:rsidP="00F53945">
      <w:pPr>
        <w:pStyle w:val="ECCParagraph"/>
      </w:pPr>
      <w:r w:rsidRPr="0083513E">
        <w:t>WG FM agreed that for BDA2GC paired spectrum of 2 x 10 MHz for FDD operation is considered necessary to cope with short- to medium-term demand</w:t>
      </w:r>
      <w:r>
        <w:t>.</w:t>
      </w:r>
      <w:r w:rsidRPr="00661904">
        <w:t xml:space="preserve"> </w:t>
      </w:r>
      <w:r w:rsidRPr="0083513E">
        <w:t>Unpaired spectrum for TDD operation (20 MHz) would also be an option, but system performance would slightly suffer due to guard time intervals required for large cell sizes</w:t>
      </w:r>
      <w:r w:rsidRPr="00984A05">
        <w:t>.</w:t>
      </w:r>
      <w:r>
        <w:t xml:space="preserve"> </w:t>
      </w:r>
      <w:r>
        <w:rPr>
          <w:lang w:val="en-US"/>
        </w:rPr>
        <w:t xml:space="preserve">CEPT is looking to designate in total 20 MHz for </w:t>
      </w:r>
      <w:r>
        <w:t>BDA2GC</w:t>
      </w:r>
      <w:r w:rsidRPr="00D84BFF">
        <w:rPr>
          <w:vertAlign w:val="superscript"/>
          <w:lang w:val="en-US"/>
        </w:rPr>
        <w:footnoteReference w:id="17"/>
      </w:r>
      <w:r>
        <w:rPr>
          <w:lang w:val="en-US"/>
        </w:rPr>
        <w:t>.</w:t>
      </w:r>
      <w:r w:rsidRPr="005541CF">
        <w:rPr>
          <w:vertAlign w:val="superscript"/>
          <w:lang w:val="en-US"/>
        </w:rPr>
        <w:t xml:space="preserve"> </w:t>
      </w:r>
    </w:p>
    <w:p w:rsidR="00F53945" w:rsidRDefault="00F53945" w:rsidP="00F53945">
      <w:pPr>
        <w:pStyle w:val="ECCParagraph"/>
      </w:pPr>
      <w:r w:rsidRPr="00661904">
        <w:rPr>
          <w:lang w:val="en-US"/>
        </w:rPr>
        <w:t>T</w:t>
      </w:r>
      <w:r w:rsidRPr="00A33652">
        <w:rPr>
          <w:lang w:val="en-US"/>
        </w:rPr>
        <w:t xml:space="preserve">he </w:t>
      </w:r>
      <w:r>
        <w:t xml:space="preserve">whole spectrum requirement </w:t>
      </w:r>
      <w:r w:rsidRPr="00E11E17">
        <w:t xml:space="preserve">of </w:t>
      </w:r>
      <w:r w:rsidRPr="00661904">
        <w:t>2 x 10 MHz of paired spectrum for FDD or 20 MHz of unpaired spectrum for TDD operation</w:t>
      </w:r>
      <w:r w:rsidRPr="00E11E17">
        <w:t xml:space="preserve"> or a part</w:t>
      </w:r>
      <w:r>
        <w:t xml:space="preserve"> of it may be satisfied in the 1452-1492 MHz band.</w:t>
      </w:r>
    </w:p>
    <w:p w:rsidR="00AA17CC" w:rsidRDefault="00AA17CC">
      <w:pPr>
        <w:rPr>
          <w:lang w:val="en-GB"/>
        </w:rPr>
      </w:pPr>
      <w:r>
        <w:br w:type="page"/>
      </w:r>
    </w:p>
    <w:p w:rsidR="00F53945" w:rsidRPr="003A401A" w:rsidRDefault="00F53945" w:rsidP="00AA17CC">
      <w:pPr>
        <w:pStyle w:val="ECCAnnexheading1"/>
      </w:pPr>
      <w:bookmarkStart w:id="30" w:name="_Toc321318126"/>
      <w:r w:rsidRPr="003A401A">
        <w:lastRenderedPageBreak/>
        <w:t>Extract of the Radio Regulations Article 5 for 1452-1492 MHz</w:t>
      </w:r>
      <w:bookmarkEnd w:id="30"/>
    </w:p>
    <w:p w:rsidR="00F53945" w:rsidRPr="003A401A" w:rsidRDefault="00F53945" w:rsidP="00F53945">
      <w:pPr>
        <w:pStyle w:val="Note"/>
        <w:rPr>
          <w:rFonts w:ascii="Arial" w:hAnsi="Arial" w:cs="Arial"/>
          <w:color w:val="000000"/>
          <w:lang w:val="en-AU"/>
        </w:rPr>
      </w:pPr>
      <w:r w:rsidRPr="003A401A">
        <w:rPr>
          <w:rFonts w:ascii="Arial" w:hAnsi="Arial" w:cs="Arial"/>
          <w:color w:val="000000"/>
          <w:lang w:val="nl-NL"/>
        </w:rPr>
        <w:tab/>
      </w:r>
    </w:p>
    <w:p w:rsidR="00F53945" w:rsidRPr="003A401A" w:rsidRDefault="00F53945" w:rsidP="00F53945">
      <w:pPr>
        <w:rPr>
          <w:rFonts w:cs="Arial"/>
          <w:color w:val="000000"/>
          <w:szCs w:val="20"/>
          <w:lang w:val="en-AU"/>
        </w:rPr>
        <w:sectPr w:rsidR="00F53945" w:rsidRPr="003A401A" w:rsidSect="00F53945">
          <w:headerReference w:type="even" r:id="rId15"/>
          <w:headerReference w:type="default" r:id="rId16"/>
          <w:headerReference w:type="first" r:id="rId17"/>
          <w:pgSz w:w="11906" w:h="16838"/>
          <w:pgMar w:top="1418" w:right="1418" w:bottom="1418" w:left="1418" w:header="709" w:footer="709" w:gutter="0"/>
          <w:pgNumType w:start="2"/>
          <w:cols w:space="708"/>
          <w:docGrid w:linePitch="272"/>
        </w:sectPr>
      </w:pPr>
    </w:p>
    <w:p w:rsidR="00F53945" w:rsidRPr="003A401A" w:rsidRDefault="00F53945" w:rsidP="00AA17CC">
      <w:pPr>
        <w:pStyle w:val="ECCAnnexheading1"/>
      </w:pPr>
      <w:bookmarkStart w:id="31" w:name="_Toc321318127"/>
      <w:r w:rsidRPr="003A401A">
        <w:lastRenderedPageBreak/>
        <w:t>Flexibility in MA02revCO07 Special Arrangement (1452 - 1479.5 MHz)</w:t>
      </w:r>
      <w:bookmarkEnd w:id="31"/>
    </w:p>
    <w:p w:rsidR="00F53945" w:rsidRPr="003A401A" w:rsidRDefault="00F53945" w:rsidP="00F53945">
      <w:pPr>
        <w:tabs>
          <w:tab w:val="center" w:pos="4513"/>
        </w:tabs>
        <w:suppressAutoHyphens/>
        <w:jc w:val="center"/>
        <w:rPr>
          <w:rFonts w:cs="Arial"/>
          <w:b/>
          <w:bCs/>
          <w:szCs w:val="20"/>
        </w:rPr>
      </w:pPr>
    </w:p>
    <w:p w:rsidR="00F53945" w:rsidRPr="003A401A" w:rsidRDefault="00F53945" w:rsidP="00F53945">
      <w:pPr>
        <w:rPr>
          <w:rFonts w:cs="Arial"/>
          <w:szCs w:val="20"/>
        </w:rPr>
        <w:sectPr w:rsidR="00F53945" w:rsidRPr="003A401A">
          <w:pgSz w:w="11906" w:h="16838"/>
          <w:pgMar w:top="1418" w:right="1418" w:bottom="1418" w:left="1418" w:header="709" w:footer="709" w:gutter="0"/>
          <w:cols w:space="708"/>
        </w:sectPr>
      </w:pPr>
    </w:p>
    <w:p w:rsidR="00F53945" w:rsidRPr="003A401A" w:rsidRDefault="00F53945" w:rsidP="00AA17CC">
      <w:pPr>
        <w:pStyle w:val="ECCAnnexheading1"/>
      </w:pPr>
      <w:bookmarkStart w:id="32" w:name="_Toc321318128"/>
      <w:r w:rsidRPr="003A401A">
        <w:lastRenderedPageBreak/>
        <w:t>L-band utilisation in some CEPT countries (updated information compared to the ECC survey conducted in December 2010 – January 2011)</w:t>
      </w:r>
      <w:bookmarkEnd w:id="32"/>
    </w:p>
    <w:p w:rsidR="00F53945" w:rsidRPr="003A401A" w:rsidRDefault="00F53945" w:rsidP="00F53945">
      <w:pPr>
        <w:pStyle w:val="ECCParagraph"/>
        <w:rPr>
          <w:rFonts w:cs="Arial"/>
          <w:b/>
          <w:szCs w:val="20"/>
        </w:rPr>
      </w:pPr>
    </w:p>
    <w:p w:rsidR="00F53945" w:rsidRPr="003A401A" w:rsidRDefault="00F53945" w:rsidP="00F53945">
      <w:pPr>
        <w:rPr>
          <w:rFonts w:cs="Arial"/>
          <w:szCs w:val="20"/>
        </w:rPr>
        <w:sectPr w:rsidR="00F53945" w:rsidRPr="003A401A">
          <w:pgSz w:w="11906" w:h="16838"/>
          <w:pgMar w:top="1418" w:right="1418" w:bottom="1418" w:left="1418" w:header="709" w:footer="709" w:gutter="0"/>
          <w:cols w:space="708"/>
        </w:sectPr>
      </w:pPr>
    </w:p>
    <w:p w:rsidR="00F53945" w:rsidRPr="00AA17CC" w:rsidRDefault="00F53945" w:rsidP="00AA17CC">
      <w:pPr>
        <w:pStyle w:val="ECCAnnexheading1"/>
      </w:pPr>
      <w:bookmarkStart w:id="33" w:name="_Toc321318129"/>
      <w:r w:rsidRPr="00AA17CC">
        <w:rPr>
          <w:rStyle w:val="Artdef"/>
          <w:rFonts w:cs="Arial"/>
          <w:b/>
          <w:bCs/>
          <w:color w:val="D2232A"/>
        </w:rPr>
        <w:lastRenderedPageBreak/>
        <w:t>Overview of the use/regulations of the band 1452 – 1492 MHz in a number of countries outside from CEPT</w:t>
      </w:r>
      <w:bookmarkEnd w:id="33"/>
    </w:p>
    <w:p w:rsidR="00F53945" w:rsidRDefault="00F53945" w:rsidP="00F53945">
      <w:pPr>
        <w:rPr>
          <w:rFonts w:cs="Arial"/>
          <w:b/>
          <w:bCs/>
          <w:caps/>
          <w:color w:val="D2232A"/>
          <w:kern w:val="32"/>
          <w:szCs w:val="20"/>
          <w:lang w:val="en-GB"/>
        </w:rPr>
      </w:pPr>
      <w:r>
        <w:rPr>
          <w:szCs w:val="20"/>
        </w:rPr>
        <w:br w:type="page"/>
      </w:r>
    </w:p>
    <w:p w:rsidR="00F53945" w:rsidRPr="003A401A" w:rsidRDefault="00F53945" w:rsidP="00AA17CC">
      <w:pPr>
        <w:pStyle w:val="ECCAnnexheading1"/>
      </w:pPr>
      <w:bookmarkStart w:id="34" w:name="_Toc321318130"/>
      <w:r w:rsidRPr="003A401A">
        <w:lastRenderedPageBreak/>
        <w:t>Broadcasting standards</w:t>
      </w:r>
      <w:bookmarkEnd w:id="34"/>
    </w:p>
    <w:p w:rsidR="00F53945" w:rsidRPr="00BE1E73" w:rsidRDefault="00F53945" w:rsidP="00AA17CC">
      <w:pPr>
        <w:pStyle w:val="ECCAnnexheading2"/>
      </w:pPr>
      <w:r w:rsidRPr="00BE1E73">
        <w:t>Terrestrial broadcasting</w:t>
      </w:r>
    </w:p>
    <w:p w:rsidR="00F53945" w:rsidRPr="00BE1E73" w:rsidRDefault="00F53945" w:rsidP="00F53945">
      <w:pPr>
        <w:pStyle w:val="ECCParagraph"/>
        <w:rPr>
          <w:b/>
          <w:i/>
        </w:rPr>
      </w:pPr>
      <w:r w:rsidRPr="00BE1E73">
        <w:rPr>
          <w:b/>
          <w:i/>
        </w:rPr>
        <w:t>T-DAB / T-DMB</w:t>
      </w:r>
    </w:p>
    <w:p w:rsidR="00F53945" w:rsidRDefault="00F53945" w:rsidP="00F53945">
      <w:pPr>
        <w:pStyle w:val="ECCParagraph"/>
        <w:spacing w:before="120" w:after="0"/>
      </w:pPr>
      <w:r>
        <w:t xml:space="preserve">Terrestrial </w:t>
      </w:r>
      <w:proofErr w:type="gramStart"/>
      <w:r>
        <w:t>Broadcasting</w:t>
      </w:r>
      <w:proofErr w:type="gramEnd"/>
      <w:r>
        <w:t xml:space="preserve"> using the </w:t>
      </w:r>
      <w:smartTag w:uri="urn:schemas-microsoft-com:office:smarttags" w:element="place">
        <w:smartTag w:uri="urn:schemas-microsoft-com:office:smarttags" w:element="City">
          <w:r>
            <w:t>Eureka</w:t>
          </w:r>
        </w:smartTag>
      </w:smartTag>
      <w:r>
        <w:t xml:space="preserve"> 147 family of standards (T-DAB)</w:t>
      </w:r>
    </w:p>
    <w:p w:rsidR="00F53945" w:rsidRDefault="00F53945" w:rsidP="00F53945">
      <w:pPr>
        <w:pStyle w:val="ECCParagraph"/>
        <w:spacing w:before="120" w:after="0"/>
      </w:pPr>
      <w:r>
        <w:t xml:space="preserve">The DAB system is a sound broadcasting system intended to supersede the existing analogue amplitude and frequency modulation systems. </w:t>
      </w:r>
    </w:p>
    <w:p w:rsidR="00F53945" w:rsidRDefault="00F53945" w:rsidP="00F53945">
      <w:pPr>
        <w:pStyle w:val="ECCParagraph"/>
        <w:spacing w:before="120" w:after="0"/>
      </w:pPr>
      <w:r>
        <w:t>It has been designed for terrestrial and satellite as well as for hybrid and mixed delivery.</w:t>
      </w:r>
    </w:p>
    <w:p w:rsidR="00F53945" w:rsidRDefault="00F53945" w:rsidP="00F53945">
      <w:pPr>
        <w:pStyle w:val="ECCParagraph"/>
        <w:spacing w:before="120" w:after="0"/>
      </w:pPr>
      <w:r>
        <w:t>It is now in regular service in many European countries and throughout the world.</w:t>
      </w:r>
    </w:p>
    <w:p w:rsidR="00F53945" w:rsidRDefault="00F53945" w:rsidP="00F53945">
      <w:pPr>
        <w:pStyle w:val="ECCParagraph"/>
        <w:spacing w:before="120" w:after="0"/>
      </w:pPr>
      <w:r>
        <w:t>DAB and DAB+ offer an identical consumer experience centred on radio, with text, slideshow, EPG and other multimedia features. DAB offers eight to ten radio services within a 1.5 MHz multiplex whilst DAB+ (using HE AACv2) can accommodate up to 20–30 radio services in the same spectrum. DMB is primarily a mobile TV platform, sharing the same multiplex and carrier structure as DAB, but it can be used for a visual radio service with similar multimedia properties to DAB and DAB+.</w:t>
      </w:r>
    </w:p>
    <w:p w:rsidR="00F53945" w:rsidRDefault="00F53945" w:rsidP="00F53945">
      <w:pPr>
        <w:pStyle w:val="ECCParagraph"/>
        <w:spacing w:before="120" w:after="0"/>
      </w:pPr>
      <w:r>
        <w:t>Single frequency networks are commonly built to provide wide area coverage with great spectrum efficiency. Multi-frequency networks, allowing more localised content, are also provided with comprehensive service following mechanisms to allow mobile and handheld receivers to retune automatically when travelling between coverage areas.</w:t>
      </w:r>
    </w:p>
    <w:p w:rsidR="00F53945" w:rsidRDefault="00F53945" w:rsidP="00F53945">
      <w:pPr>
        <w:pStyle w:val="ECCParagraph"/>
        <w:spacing w:before="120" w:after="0"/>
      </w:pPr>
      <w:r>
        <w:t>DAB, DAB+, DMB-radio and DMB-</w:t>
      </w:r>
      <w:proofErr w:type="spellStart"/>
      <w:r>
        <w:t>tv</w:t>
      </w:r>
      <w:proofErr w:type="spellEnd"/>
      <w:r>
        <w:t xml:space="preserve"> services may all be present in the same DAB multiplex.</w:t>
      </w:r>
    </w:p>
    <w:p w:rsidR="00F53945" w:rsidRDefault="00F53945" w:rsidP="00F53945">
      <w:pPr>
        <w:pStyle w:val="ECCParagraph"/>
        <w:spacing w:before="120" w:after="0"/>
      </w:pPr>
      <w:r>
        <w:t>Typical services carried by a DAB multiplex are:</w:t>
      </w:r>
    </w:p>
    <w:p w:rsidR="00F53945" w:rsidRDefault="00F53945" w:rsidP="00F53945">
      <w:pPr>
        <w:pStyle w:val="ECCParagraph"/>
        <w:spacing w:before="120" w:after="0"/>
        <w:ind w:left="567" w:hanging="283"/>
      </w:pPr>
      <w:r>
        <w:t>•</w:t>
      </w:r>
      <w:r>
        <w:tab/>
        <w:t>Audio programs</w:t>
      </w:r>
    </w:p>
    <w:p w:rsidR="00F53945" w:rsidRDefault="00F53945" w:rsidP="00F53945">
      <w:pPr>
        <w:pStyle w:val="ECCParagraph"/>
        <w:spacing w:after="0"/>
        <w:ind w:left="567" w:hanging="283"/>
      </w:pPr>
      <w:r>
        <w:t>•</w:t>
      </w:r>
      <w:r>
        <w:tab/>
        <w:t>Video programs</w:t>
      </w:r>
    </w:p>
    <w:p w:rsidR="00F53945" w:rsidRDefault="00F53945" w:rsidP="00F53945">
      <w:pPr>
        <w:pStyle w:val="ECCParagraph"/>
        <w:spacing w:after="0"/>
        <w:ind w:left="567" w:hanging="283"/>
      </w:pPr>
      <w:r>
        <w:t>•</w:t>
      </w:r>
      <w:r>
        <w:tab/>
        <w:t>Slideshow (SL)</w:t>
      </w:r>
    </w:p>
    <w:p w:rsidR="00F53945" w:rsidRDefault="00F53945" w:rsidP="00F53945">
      <w:pPr>
        <w:pStyle w:val="ECCParagraph"/>
        <w:spacing w:after="0"/>
        <w:ind w:left="567" w:hanging="283"/>
      </w:pPr>
      <w:r>
        <w:t>•</w:t>
      </w:r>
      <w:r>
        <w:tab/>
        <w:t>Dynamic text (DL)</w:t>
      </w:r>
    </w:p>
    <w:p w:rsidR="00F53945" w:rsidRDefault="00F53945" w:rsidP="00F53945">
      <w:pPr>
        <w:pStyle w:val="ECCParagraph"/>
        <w:spacing w:after="0"/>
        <w:ind w:left="567" w:hanging="283"/>
      </w:pPr>
      <w:r>
        <w:t>•</w:t>
      </w:r>
      <w:r>
        <w:tab/>
        <w:t>Traffic information (TPEG)</w:t>
      </w:r>
    </w:p>
    <w:p w:rsidR="00F53945" w:rsidRDefault="00F53945" w:rsidP="00F53945">
      <w:pPr>
        <w:pStyle w:val="ECCParagraph"/>
        <w:spacing w:after="0"/>
        <w:ind w:left="567" w:hanging="283"/>
      </w:pPr>
      <w:r>
        <w:t>•</w:t>
      </w:r>
      <w:r>
        <w:tab/>
        <w:t>Multimedia object delivery</w:t>
      </w:r>
    </w:p>
    <w:p w:rsidR="00F53945" w:rsidRDefault="00F53945" w:rsidP="00F53945">
      <w:pPr>
        <w:pStyle w:val="ECCParagraph"/>
        <w:rPr>
          <w:b/>
          <w:i/>
        </w:rPr>
      </w:pPr>
    </w:p>
    <w:p w:rsidR="00F53945" w:rsidRPr="00BE1E73" w:rsidRDefault="00F53945" w:rsidP="00F53945">
      <w:pPr>
        <w:pStyle w:val="ECCParagraph"/>
        <w:spacing w:after="120"/>
        <w:rPr>
          <w:b/>
          <w:i/>
        </w:rPr>
      </w:pPr>
      <w:r w:rsidRPr="00BE1E73">
        <w:rPr>
          <w:b/>
          <w:i/>
        </w:rPr>
        <w:t>DAB-IP</w:t>
      </w:r>
    </w:p>
    <w:p w:rsidR="00F53945" w:rsidRDefault="00F53945" w:rsidP="00F53945">
      <w:pPr>
        <w:pStyle w:val="ECCParagraph"/>
        <w:spacing w:before="120" w:after="0"/>
      </w:pPr>
      <w:r>
        <w:t>The use of IP tunnelling provides DAB with a mechanism for the adaptation of Internet services to DAB and is also a key component for DAB services using two-way interaction with personal DAB as specified in TS 101 736. The use of IP tunnelling enables the use of IP as a common network layer protocol, end-to-end, for DAB data services. The IP tunnelling through DAB is unidirectional. The tunnel is created from the packet mode encoder on the transmitting side, to the packet mode decoder on the receiving side, of the DAB system.</w:t>
      </w:r>
    </w:p>
    <w:p w:rsidR="00F53945" w:rsidRDefault="00F53945" w:rsidP="00F53945">
      <w:pPr>
        <w:pStyle w:val="ECCParagraph"/>
        <w:spacing w:before="120" w:after="0"/>
      </w:pPr>
      <w:r>
        <w:t>This system, commonly called DAB-IP, can provide data services including mobile television, to handheld devices. When coupled with a return channel it allows the downlink of multimedia services.</w:t>
      </w:r>
    </w:p>
    <w:p w:rsidR="00F53945" w:rsidRDefault="00F53945" w:rsidP="00F53945">
      <w:pPr>
        <w:pStyle w:val="ECCParagraph"/>
        <w:spacing w:before="120" w:after="0"/>
      </w:pPr>
      <w:r>
        <w:t>The benefits of the DAB family of standards:</w:t>
      </w:r>
    </w:p>
    <w:p w:rsidR="00F53945" w:rsidRDefault="00F53945" w:rsidP="00F53945">
      <w:pPr>
        <w:pStyle w:val="ECCParagraph"/>
        <w:spacing w:after="0"/>
        <w:ind w:left="568" w:hanging="284"/>
      </w:pPr>
      <w:r>
        <w:t>•</w:t>
      </w:r>
      <w:r>
        <w:tab/>
        <w:t xml:space="preserve">Easy programme selection </w:t>
      </w:r>
    </w:p>
    <w:p w:rsidR="00F53945" w:rsidRDefault="00F53945" w:rsidP="00F53945">
      <w:pPr>
        <w:pStyle w:val="ECCParagraph"/>
        <w:spacing w:after="0"/>
        <w:ind w:left="567" w:hanging="283"/>
      </w:pPr>
      <w:r>
        <w:t>•</w:t>
      </w:r>
      <w:r>
        <w:tab/>
        <w:t xml:space="preserve">Improved reception </w:t>
      </w:r>
    </w:p>
    <w:p w:rsidR="00F53945" w:rsidRDefault="00F53945" w:rsidP="00F53945">
      <w:pPr>
        <w:pStyle w:val="ECCParagraph"/>
        <w:spacing w:after="0"/>
        <w:ind w:left="567" w:hanging="283"/>
      </w:pPr>
      <w:r>
        <w:t>•</w:t>
      </w:r>
      <w:r>
        <w:tab/>
        <w:t xml:space="preserve">Programme-associated data </w:t>
      </w:r>
    </w:p>
    <w:p w:rsidR="00F53945" w:rsidRDefault="00F53945" w:rsidP="00F53945">
      <w:pPr>
        <w:pStyle w:val="ECCParagraph"/>
        <w:spacing w:after="0"/>
        <w:ind w:left="567" w:hanging="283"/>
      </w:pPr>
      <w:r>
        <w:t>•</w:t>
      </w:r>
      <w:r>
        <w:tab/>
        <w:t xml:space="preserve">Information services </w:t>
      </w:r>
    </w:p>
    <w:p w:rsidR="00F53945" w:rsidRDefault="00F53945" w:rsidP="00F53945">
      <w:pPr>
        <w:pStyle w:val="ECCParagraph"/>
        <w:spacing w:after="0"/>
        <w:ind w:left="567" w:hanging="283"/>
      </w:pPr>
      <w:r>
        <w:t>•</w:t>
      </w:r>
      <w:r>
        <w:tab/>
        <w:t xml:space="preserve">Targeted music or data services </w:t>
      </w:r>
    </w:p>
    <w:p w:rsidR="00F53945" w:rsidRDefault="00F53945" w:rsidP="00F53945">
      <w:pPr>
        <w:pStyle w:val="ECCParagraph"/>
        <w:spacing w:after="0"/>
        <w:ind w:left="567" w:hanging="283"/>
      </w:pPr>
      <w:r>
        <w:t>•</w:t>
      </w:r>
      <w:r>
        <w:tab/>
        <w:t xml:space="preserve">Wide choice of receivers </w:t>
      </w:r>
    </w:p>
    <w:p w:rsidR="00F53945" w:rsidRDefault="00F53945" w:rsidP="00F53945">
      <w:pPr>
        <w:pStyle w:val="ECCParagraph"/>
        <w:spacing w:after="0"/>
        <w:ind w:left="567" w:hanging="283"/>
      </w:pPr>
      <w:r>
        <w:t>•</w:t>
      </w:r>
      <w:r>
        <w:tab/>
        <w:t xml:space="preserve">Lower transmission costs for broadcasters </w:t>
      </w:r>
    </w:p>
    <w:p w:rsidR="00F53945" w:rsidRDefault="00F53945" w:rsidP="00F53945">
      <w:pPr>
        <w:pStyle w:val="ECCParagraph"/>
      </w:pPr>
    </w:p>
    <w:p w:rsidR="00F53945" w:rsidRPr="0029501C" w:rsidRDefault="00F53945" w:rsidP="00F53945">
      <w:pPr>
        <w:pStyle w:val="ECCParagraph"/>
        <w:spacing w:after="120"/>
        <w:rPr>
          <w:b/>
          <w:i/>
        </w:rPr>
      </w:pPr>
      <w:r w:rsidRPr="0029501C">
        <w:rPr>
          <w:b/>
          <w:i/>
        </w:rPr>
        <w:t>DVB-H</w:t>
      </w:r>
    </w:p>
    <w:p w:rsidR="00F53945" w:rsidRDefault="00F53945" w:rsidP="00F53945">
      <w:pPr>
        <w:pStyle w:val="ECCParagraph"/>
        <w:spacing w:before="120" w:after="0"/>
      </w:pPr>
      <w:r>
        <w:t xml:space="preserve">DVB-H is a technical specification for the transmission of digital TV to handheld receivers such as mobile telephones and PDAs. Published as a formal standard (EN 203 204) by ETSI in November 2004, it is a physical layer specification designed to enable the efficient delivery of IP-encapsulated data over terrestrial </w:t>
      </w:r>
      <w:r>
        <w:lastRenderedPageBreak/>
        <w:t xml:space="preserve">networks. The creation of DVB-H, which is closely related to DVB-T, also entailed modifications of some other DVB standards dealing with data broadcasting, Service Information, etc. It can be used as a bearer in conjunction with the DVB-IPDC systems layer specifications or alternatively with the OMA BCAST specifications. </w:t>
      </w:r>
    </w:p>
    <w:p w:rsidR="00F53945" w:rsidRDefault="00F53945" w:rsidP="00F53945">
      <w:pPr>
        <w:pStyle w:val="ECCParagraph"/>
        <w:spacing w:before="120" w:after="0"/>
      </w:pPr>
      <w:r>
        <w:t xml:space="preserve">In March 2008 the European Commission endorsed DVB-H as the recommended standard for mobile TV in </w:t>
      </w:r>
      <w:smartTag w:uri="urn:schemas-microsoft-com:office:smarttags" w:element="place">
        <w:r>
          <w:t>Europe</w:t>
        </w:r>
      </w:smartTag>
      <w:r>
        <w:t xml:space="preserve">, recommending EU member states to encourage its </w:t>
      </w:r>
      <w:proofErr w:type="gramStart"/>
      <w:r>
        <w:t>implementation.,</w:t>
      </w:r>
      <w:proofErr w:type="gramEnd"/>
      <w:r>
        <w:t xml:space="preserve"> However, commercial deployment has not been successful. ..</w:t>
      </w:r>
    </w:p>
    <w:p w:rsidR="00F53945" w:rsidRDefault="00F53945" w:rsidP="00F53945">
      <w:pPr>
        <w:pStyle w:val="ECCParagraph"/>
      </w:pPr>
    </w:p>
    <w:p w:rsidR="00F53945" w:rsidRPr="0029501C" w:rsidRDefault="00F53945" w:rsidP="00F53945">
      <w:pPr>
        <w:pStyle w:val="ECCParagraph"/>
        <w:rPr>
          <w:b/>
          <w:i/>
        </w:rPr>
      </w:pPr>
      <w:r w:rsidRPr="0029501C">
        <w:rPr>
          <w:b/>
          <w:i/>
        </w:rPr>
        <w:t>DVB-T2 - Base</w:t>
      </w:r>
    </w:p>
    <w:p w:rsidR="00F53945" w:rsidRDefault="00F53945" w:rsidP="00F53945">
      <w:pPr>
        <w:pStyle w:val="ECCParagraph"/>
        <w:spacing w:before="120" w:after="0"/>
      </w:pPr>
      <w:r>
        <w:t xml:space="preserve">DVB-T2 is the follow-up system of the digital terrestrial transmission (DTT) system DVB-T. It offers higher efficiency, robustness and flexibility. It introduces the latest modulation and coding techniques to enable highly efficient use of the terrestrial spectrum for the delivery of audio, video and data services to fixed, portable and mobile devices. These new techniques make DVB-T2 much more efficient than previous DTT systems. Possible bandwidths for the DVB-T2 operation are 1.7, 5, 6, 7, 8 and 10 </w:t>
      </w:r>
      <w:proofErr w:type="spellStart"/>
      <w:r>
        <w:t>MHz.</w:t>
      </w:r>
      <w:proofErr w:type="spellEnd"/>
    </w:p>
    <w:p w:rsidR="00F53945" w:rsidRDefault="00F53945" w:rsidP="00F53945">
      <w:pPr>
        <w:pStyle w:val="ECCParagraph"/>
        <w:spacing w:before="120" w:after="0"/>
      </w:pPr>
      <w:r>
        <w:t>As with its predecessor, DVB-T2 uses OFDM (orthogonal frequency division multiplex) modulation with a large number of sub-carriers delivering a robust signal. Just like DVB-T, DVB-T2 also offers a range of different modes, making it a very flexible standard. Several options are available in areas such as the number of carriers, guard interval sizes and pilot signals, so that the overheads can be optimised for any target transmission channel.</w:t>
      </w:r>
    </w:p>
    <w:p w:rsidR="00F53945" w:rsidRDefault="00F53945" w:rsidP="00F53945">
      <w:pPr>
        <w:pStyle w:val="ECCParagraph"/>
        <w:spacing w:before="120" w:after="0"/>
      </w:pPr>
      <w:r>
        <w:t xml:space="preserve">An important new element of DVB-T2 are Multiple Physical Layer Pipes (MPLP) which allow separate adjustment of the robustness of each delivered service within a channel to meet the required reception conditions (e.g. in-door or roof-top antenna). It also allows transmissions to be tailored such that a receiver can save power by decoding only a single service rather than the whole multiplex of services. Furthermore Future Extension Frames (FEF) </w:t>
      </w:r>
      <w:proofErr w:type="gramStart"/>
      <w:r>
        <w:t>allow</w:t>
      </w:r>
      <w:proofErr w:type="gramEnd"/>
      <w:r>
        <w:t xml:space="preserve"> the standard to be compatibly enhanced in the future. FEF are basically placeholders for new services which are not supported by the already existing receiver population. An existing receiver will detect the FEF and not decode its content. New receivers may access the FEF and provide additional services. </w:t>
      </w:r>
    </w:p>
    <w:p w:rsidR="00F53945" w:rsidRDefault="00F53945" w:rsidP="00F53945">
      <w:pPr>
        <w:pStyle w:val="ECCParagraph"/>
      </w:pPr>
    </w:p>
    <w:p w:rsidR="00F53945" w:rsidRPr="00BE1E73" w:rsidRDefault="00F53945" w:rsidP="00F53945">
      <w:pPr>
        <w:pStyle w:val="ECCParagraph"/>
        <w:rPr>
          <w:b/>
          <w:i/>
        </w:rPr>
      </w:pPr>
      <w:r w:rsidRPr="00BE1E73">
        <w:rPr>
          <w:b/>
          <w:i/>
        </w:rPr>
        <w:t>DVB-T2-Lite</w:t>
      </w:r>
    </w:p>
    <w:p w:rsidR="00F53945" w:rsidRDefault="00F53945" w:rsidP="00F53945">
      <w:pPr>
        <w:pStyle w:val="ECCParagraph"/>
        <w:spacing w:before="120" w:after="0"/>
      </w:pPr>
      <w:r>
        <w:t xml:space="preserve">DVB-T2-Lite is the first additional transmission frame type making use of the FEF approach. It is an additional profile that was introduced in July 2011 to even better support mobile as well as portable TV and also to allow for cost-reduced implementation. The new profile is defined as a subset that adds two additional LDPC code rates to the main DVB-T2 specification. Since only elements relevant for mobile and portable reception have been included in the DVB-T2-Lite subset and the data rate is restricted to 4 Mbit/s per PLP, the implementation complexity has been reduced by 50%. The FEF mechanism allows that </w:t>
      </w:r>
    </w:p>
    <w:p w:rsidR="00F53945" w:rsidRDefault="00F53945" w:rsidP="00F53945">
      <w:pPr>
        <w:pStyle w:val="ECCParagraph"/>
        <w:spacing w:before="120" w:after="0"/>
      </w:pPr>
      <w:r>
        <w:t>DVB-T2-Lite and DVB-T2-Base can be transmitted in a same RF channel.</w:t>
      </w:r>
    </w:p>
    <w:p w:rsidR="00F53945" w:rsidRDefault="00F53945" w:rsidP="00F53945">
      <w:pPr>
        <w:pStyle w:val="ECCParagraph"/>
      </w:pPr>
    </w:p>
    <w:p w:rsidR="00F53945" w:rsidRPr="00BE1E73" w:rsidRDefault="00F53945" w:rsidP="00F53945">
      <w:pPr>
        <w:pStyle w:val="ECCParagraph"/>
        <w:rPr>
          <w:b/>
          <w:i/>
        </w:rPr>
      </w:pPr>
      <w:r w:rsidRPr="00BE1E73">
        <w:rPr>
          <w:b/>
          <w:i/>
        </w:rPr>
        <w:t>DVB-T2-xxx</w:t>
      </w:r>
    </w:p>
    <w:p w:rsidR="00F53945" w:rsidRDefault="00F53945" w:rsidP="00F53945">
      <w:pPr>
        <w:pStyle w:val="ECCParagraph"/>
        <w:spacing w:before="120" w:after="0"/>
      </w:pPr>
      <w:r>
        <w:t>DVB-T2-Lite will not be the last additional profile for DVB-T2. The DVB technical group is currently working on an additional profile which will add new technologies to T2-lite. At this moment in time it is too early to predict which new elements will be added, however it can be assumed that MIMO will be a part of the new profile. According to the current schedule this new profile will be finalised by the end of 2011 and will provide the most sophisticated air interface for mobile TV.</w:t>
      </w:r>
    </w:p>
    <w:p w:rsidR="00F53945" w:rsidRPr="00BE1E73" w:rsidRDefault="00F53945" w:rsidP="00AA17CC">
      <w:pPr>
        <w:pStyle w:val="ECCAnnexheading2"/>
      </w:pPr>
      <w:r w:rsidRPr="00BE1E73">
        <w:t>2. SDR</w:t>
      </w:r>
    </w:p>
    <w:p w:rsidR="00F53945" w:rsidRDefault="00F53945" w:rsidP="00F53945">
      <w:pPr>
        <w:pStyle w:val="ECCParagraph"/>
        <w:spacing w:before="120" w:after="0"/>
      </w:pPr>
      <w:r>
        <w:t>ETSI’s SDR standard is a transmission standard (see also section 3.5.) that has been developed for the provision of high quality and high availability digital radio and associated data services to wireless receivers. The standard foresees the deployment of terrestrial and satellite broadcast networks, which may be combined to form “hybrid” systems.</w:t>
      </w:r>
    </w:p>
    <w:p w:rsidR="00F53945" w:rsidRDefault="00F53945" w:rsidP="00F53945">
      <w:pPr>
        <w:pStyle w:val="ECCParagraph"/>
        <w:spacing w:before="120" w:after="0"/>
      </w:pPr>
      <w:r>
        <w:lastRenderedPageBreak/>
        <w:t>The standard specifies the L band as the main candidate band for its deployment. In this band, terrestrial SDR networks (1.7 MHz carrier bandwidth) can be rolled out:</w:t>
      </w:r>
    </w:p>
    <w:p w:rsidR="00F53945" w:rsidRDefault="00F53945" w:rsidP="00F53945">
      <w:pPr>
        <w:pStyle w:val="ECCParagraph"/>
        <w:spacing w:before="120" w:after="0"/>
        <w:ind w:left="567" w:hanging="283"/>
      </w:pPr>
      <w:r>
        <w:t>•</w:t>
      </w:r>
      <w:r>
        <w:tab/>
      </w:r>
      <w:proofErr w:type="gramStart"/>
      <w:r>
        <w:t>in</w:t>
      </w:r>
      <w:proofErr w:type="gramEnd"/>
      <w:r>
        <w:t xml:space="preserve"> the 1452-1579.5 MHz sub band, in compliance with the MA02revCO07 Arrangement (envelope concept), and/or</w:t>
      </w:r>
    </w:p>
    <w:p w:rsidR="00F53945" w:rsidRDefault="00F53945" w:rsidP="00F53945">
      <w:pPr>
        <w:pStyle w:val="ECCParagraph"/>
        <w:spacing w:before="120" w:after="0"/>
        <w:ind w:left="567" w:hanging="283"/>
      </w:pPr>
      <w:r>
        <w:t>•</w:t>
      </w:r>
      <w:r>
        <w:tab/>
      </w:r>
      <w:proofErr w:type="gramStart"/>
      <w:r>
        <w:t>in</w:t>
      </w:r>
      <w:proofErr w:type="gramEnd"/>
      <w:r>
        <w:t xml:space="preserve"> the 1479.5-1492 MHz sub band, in compliance with the ECC/DEC/(03)02 S-DAB Decision, as part of an SDR hybrid system (see also section 3.5)</w:t>
      </w:r>
    </w:p>
    <w:p w:rsidR="00F53945" w:rsidRDefault="00F53945" w:rsidP="00F53945">
      <w:pPr>
        <w:pStyle w:val="ECCParagraph"/>
        <w:spacing w:before="120" w:after="0"/>
      </w:pPr>
      <w:r>
        <w:t xml:space="preserve">Its flexibility enables to mix in a same carrier independent (with different </w:t>
      </w:r>
      <w:proofErr w:type="spellStart"/>
      <w:r>
        <w:t>QoS</w:t>
      </w:r>
      <w:proofErr w:type="spellEnd"/>
      <w:r>
        <w:t xml:space="preserve"> as necessary), linear and non-linear services and free-to-air as well as conditional access (subscription) services.</w:t>
      </w:r>
    </w:p>
    <w:p w:rsidR="00F53945" w:rsidRDefault="00F53945" w:rsidP="00F53945">
      <w:pPr>
        <w:pStyle w:val="ECCParagraph"/>
        <w:spacing w:before="120" w:after="0"/>
      </w:pPr>
      <w:r>
        <w:t xml:space="preserve">Today, the SDR standard is contemplated for the deployment of subscription radio services in </w:t>
      </w:r>
      <w:smartTag w:uri="urn:schemas-microsoft-com:office:smarttags" w:element="place">
        <w:r>
          <w:t>Europe</w:t>
        </w:r>
      </w:smartTag>
      <w:r>
        <w:t>.</w:t>
      </w:r>
    </w:p>
    <w:p w:rsidR="00F53945" w:rsidRPr="00BE1E73" w:rsidRDefault="00F53945" w:rsidP="00AA17CC">
      <w:pPr>
        <w:pStyle w:val="ECCAnnexheading2"/>
      </w:pPr>
      <w:r w:rsidRPr="00BE1E73">
        <w:t>3. Satellite broadcasting</w:t>
      </w:r>
    </w:p>
    <w:p w:rsidR="00F53945" w:rsidRPr="00B12840" w:rsidRDefault="00F53945" w:rsidP="00F53945">
      <w:pPr>
        <w:pStyle w:val="ECCParagraph"/>
        <w:spacing w:before="120" w:after="0"/>
        <w:rPr>
          <w:i/>
        </w:rPr>
      </w:pPr>
      <w:r w:rsidRPr="00B12840">
        <w:rPr>
          <w:i/>
        </w:rPr>
        <w:t>DVB-SH</w:t>
      </w:r>
    </w:p>
    <w:p w:rsidR="00F53945" w:rsidRDefault="00F53945" w:rsidP="00F53945">
      <w:pPr>
        <w:pStyle w:val="ECCParagraph"/>
        <w:spacing w:before="120" w:after="0"/>
      </w:pPr>
      <w:r>
        <w:t xml:space="preserve">DVB-SH is a hybrid satellite/terrestrial system that allows the use of a satellite to achieve coverage of large regions or even a whole country. DVB-SH is a transmission system standard designed to deliver video, audio and data services to vehicles and handheld devices. In areas where direct reception of the satellite signal is not possible, </w:t>
      </w:r>
      <w:proofErr w:type="gramStart"/>
      <w:r>
        <w:t>a terrestrial</w:t>
      </w:r>
      <w:proofErr w:type="gramEnd"/>
      <w:r>
        <w:t xml:space="preserve"> gap filler can be used seamlessly to provide coverage. It is designed to use frequencies below 3 GHz. The system and waveform specifications have been published as ETSI standards (TS 102 584, TS 102 585 and EN 302 583).</w:t>
      </w:r>
    </w:p>
    <w:p w:rsidR="00F53945" w:rsidRDefault="00F53945" w:rsidP="00F53945">
      <w:pPr>
        <w:pStyle w:val="ECCParagraph"/>
        <w:spacing w:before="120" w:after="0"/>
      </w:pPr>
    </w:p>
    <w:p w:rsidR="00F53945" w:rsidRPr="0029501C" w:rsidRDefault="00F53945" w:rsidP="00AA17CC">
      <w:pPr>
        <w:pStyle w:val="ECCAnnexheading1"/>
      </w:pPr>
      <w:r>
        <w:rPr>
          <w:szCs w:val="20"/>
        </w:rPr>
        <w:br w:type="page"/>
      </w:r>
      <w:bookmarkStart w:id="35" w:name="_Ref311675495"/>
      <w:bookmarkStart w:id="36" w:name="_Toc321318131"/>
      <w:r w:rsidRPr="0029501C">
        <w:lastRenderedPageBreak/>
        <w:t xml:space="preserve">Mobile broadband and </w:t>
      </w:r>
      <w:r>
        <w:t xml:space="preserve">MOBILE </w:t>
      </w:r>
      <w:r w:rsidRPr="0029501C">
        <w:t>supplemental downlink standards</w:t>
      </w:r>
      <w:bookmarkEnd w:id="35"/>
      <w:bookmarkEnd w:id="36"/>
    </w:p>
    <w:p w:rsidR="00F53945" w:rsidRPr="0029501C" w:rsidRDefault="00F53945" w:rsidP="00F53945">
      <w:pPr>
        <w:pStyle w:val="ECCParagraph"/>
      </w:pPr>
      <w:r w:rsidRPr="0029501C">
        <w:t xml:space="preserve">The 3GPP has been producing the </w:t>
      </w:r>
      <w:r w:rsidRPr="00996879">
        <w:t xml:space="preserve">Technical Specifications and Technical Reports for the technologies that support mobile broadband since 1998. The success of 3GPP technologies is easily understandable when acknowledging that the number of UMTS </w:t>
      </w:r>
      <w:r w:rsidRPr="0029501C">
        <w:t>subscriptions has passed the 1 billion mark in January 2012</w:t>
      </w:r>
      <w:r w:rsidRPr="0029501C">
        <w:rPr>
          <w:rStyle w:val="Appelnotedebasdep"/>
        </w:rPr>
        <w:footnoteReference w:id="18"/>
      </w:r>
      <w:r w:rsidRPr="0029501C">
        <w:t xml:space="preserve">. </w:t>
      </w:r>
    </w:p>
    <w:p w:rsidR="00F53945" w:rsidRPr="0029501C" w:rsidRDefault="00F53945" w:rsidP="00F53945">
      <w:pPr>
        <w:pStyle w:val="ECCParagraph"/>
      </w:pPr>
      <w:r w:rsidRPr="0029501C">
        <w:t xml:space="preserve">While 3GPP technologies were focusing solely on 5 MHz bandwidth until the release 8 of the 3GPP standards, the 3GPP has become the focal point for mobile systems beyond 3G by standardising technologies supporting increasing bandwidth. From 3GPP Release 10 onwards, 3GPP is compliant with the latest ITU-R requirements for IMT-Advanced ’Systems beyond 3G’. The standard now allows for operation at peak speeds of 100 Mbit/s for high mobility and 1 </w:t>
      </w:r>
      <w:proofErr w:type="spellStart"/>
      <w:r w:rsidRPr="0029501C">
        <w:t>Gbit</w:t>
      </w:r>
      <w:proofErr w:type="spellEnd"/>
      <w:r w:rsidRPr="0029501C">
        <w:t>/s for low mobility communication.</w:t>
      </w:r>
    </w:p>
    <w:p w:rsidR="00F53945" w:rsidRPr="0029501C" w:rsidRDefault="00F53945" w:rsidP="00F53945">
      <w:pPr>
        <w:pStyle w:val="ECCParagraph"/>
      </w:pPr>
      <w:r w:rsidRPr="0029501C">
        <w:t xml:space="preserve">The 3GPP technologies (HSPA+ and LTE) have also evolved to support very large </w:t>
      </w:r>
      <w:proofErr w:type="spellStart"/>
      <w:r w:rsidRPr="0029501C">
        <w:t>badnwidth</w:t>
      </w:r>
      <w:proofErr w:type="spellEnd"/>
      <w:r w:rsidRPr="0029501C">
        <w:t xml:space="preserve"> through the aggregation of carriers across bands. This concurrent dual/multiple band operation is available from the release 9 of HSPA and release 10 of LTE onwards. An overview of the support of wide bandwidth and </w:t>
      </w:r>
      <w:proofErr w:type="spellStart"/>
      <w:r w:rsidRPr="0029501C">
        <w:t>interband</w:t>
      </w:r>
      <w:proofErr w:type="spellEnd"/>
      <w:r w:rsidRPr="0029501C">
        <w:t xml:space="preserve"> carrier aggregation is provided in the </w:t>
      </w:r>
      <w:r w:rsidRPr="00AA17CC">
        <w:rPr>
          <w:highlight w:val="yellow"/>
        </w:rPr>
        <w:t>figure A6-1</w:t>
      </w:r>
      <w:r w:rsidRPr="0029501C">
        <w:t xml:space="preserve"> below.</w:t>
      </w:r>
    </w:p>
    <w:p w:rsidR="00F53945" w:rsidRDefault="00F53945" w:rsidP="00F53945">
      <w:pPr>
        <w:pStyle w:val="ECCParagraph"/>
        <w:rPr>
          <w:noProof/>
          <w:lang w:eastAsia="en-GB"/>
        </w:rPr>
      </w:pPr>
      <w:r>
        <w:rPr>
          <w:noProof/>
          <w:lang w:val="fr-FR" w:eastAsia="fr-FR"/>
        </w:rPr>
        <w:drawing>
          <wp:inline distT="0" distB="0" distL="0" distR="0">
            <wp:extent cx="6057900" cy="317500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57900" cy="3175000"/>
                    </a:xfrm>
                    <a:prstGeom prst="rect">
                      <a:avLst/>
                    </a:prstGeom>
                    <a:noFill/>
                    <a:ln>
                      <a:noFill/>
                    </a:ln>
                  </pic:spPr>
                </pic:pic>
              </a:graphicData>
            </a:graphic>
          </wp:inline>
        </w:drawing>
      </w:r>
    </w:p>
    <w:p w:rsidR="00F53945" w:rsidRDefault="00F53945" w:rsidP="00AA17CC">
      <w:pPr>
        <w:pStyle w:val="ECCFiguretitle"/>
      </w:pPr>
      <w:r w:rsidRPr="0029501C">
        <w:t>Support for increased bandwidth and inter-band carrier aggregation in 3GPP standards</w:t>
      </w:r>
      <w:r w:rsidRPr="0029501C">
        <w:rPr>
          <w:rStyle w:val="Appelnotedebasdep"/>
        </w:rPr>
        <w:footnoteReference w:id="19"/>
      </w:r>
    </w:p>
    <w:p w:rsidR="00F53945" w:rsidRPr="0029501C" w:rsidRDefault="00F53945" w:rsidP="00F53945">
      <w:pPr>
        <w:pStyle w:val="FigureCaption"/>
        <w:rPr>
          <w:b w:val="0"/>
          <w:color w:val="auto"/>
          <w:szCs w:val="20"/>
        </w:rPr>
      </w:pPr>
      <w:r w:rsidRPr="00AA17CC">
        <w:rPr>
          <w:b w:val="0"/>
          <w:color w:val="auto"/>
          <w:szCs w:val="20"/>
          <w:highlight w:val="yellow"/>
        </w:rPr>
        <w:lastRenderedPageBreak/>
        <w:t>Figure A6 -2</w:t>
      </w:r>
      <w:r w:rsidRPr="0029501C">
        <w:rPr>
          <w:b w:val="0"/>
          <w:color w:val="auto"/>
          <w:szCs w:val="20"/>
        </w:rPr>
        <w:t xml:space="preserve">: Results of simulation of performance of an L-band Supplemental Downlink (SDL) for </w:t>
      </w:r>
      <w:proofErr w:type="spellStart"/>
      <w:r w:rsidRPr="0029501C">
        <w:rPr>
          <w:b w:val="0"/>
          <w:color w:val="auto"/>
          <w:szCs w:val="20"/>
        </w:rPr>
        <w:t>bursty</w:t>
      </w:r>
      <w:proofErr w:type="spellEnd"/>
      <w:r w:rsidRPr="0029501C">
        <w:rPr>
          <w:b w:val="0"/>
          <w:color w:val="auto"/>
          <w:szCs w:val="20"/>
        </w:rPr>
        <w:t xml:space="preserve"> applications (c.f. </w:t>
      </w:r>
      <w:proofErr w:type="gramStart"/>
      <w:r w:rsidRPr="0029501C">
        <w:rPr>
          <w:b w:val="0"/>
          <w:color w:val="auto"/>
          <w:szCs w:val="20"/>
        </w:rPr>
        <w:t>FM50(</w:t>
      </w:r>
      <w:proofErr w:type="gramEnd"/>
      <w:r w:rsidRPr="0029501C">
        <w:rPr>
          <w:b w:val="0"/>
          <w:color w:val="auto"/>
          <w:szCs w:val="20"/>
        </w:rPr>
        <w:t>11)19)</w:t>
      </w:r>
    </w:p>
    <w:p w:rsidR="00F53945" w:rsidRDefault="00F53945" w:rsidP="00F53945">
      <w:pPr>
        <w:pStyle w:val="ECCParagraph"/>
        <w:jc w:val="center"/>
        <w:rPr>
          <w:highlight w:val="green"/>
        </w:rPr>
      </w:pPr>
      <w:r>
        <w:rPr>
          <w:noProof/>
          <w:lang w:val="fr-FR" w:eastAsia="fr-FR"/>
        </w:rPr>
        <w:drawing>
          <wp:inline distT="0" distB="0" distL="0" distR="0">
            <wp:extent cx="4533900" cy="3289300"/>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33900" cy="3289300"/>
                    </a:xfrm>
                    <a:prstGeom prst="rect">
                      <a:avLst/>
                    </a:prstGeom>
                    <a:noFill/>
                    <a:ln>
                      <a:noFill/>
                    </a:ln>
                  </pic:spPr>
                </pic:pic>
              </a:graphicData>
            </a:graphic>
          </wp:inline>
        </w:drawing>
      </w:r>
    </w:p>
    <w:p w:rsidR="00AA17CC" w:rsidRPr="00AA17CC" w:rsidRDefault="00AA17CC" w:rsidP="00AA17CC">
      <w:pPr>
        <w:pStyle w:val="ECCFiguretitle"/>
      </w:pPr>
      <w:r w:rsidRPr="00AA17CC">
        <w:t>L-band Supplemental Downlink (SDL)</w:t>
      </w:r>
    </w:p>
    <w:p w:rsidR="00F53945" w:rsidRDefault="00F53945" w:rsidP="00F53945">
      <w:pPr>
        <w:pStyle w:val="ECCParagraph"/>
        <w:rPr>
          <w:rFonts w:cs="Arial"/>
        </w:rPr>
      </w:pPr>
    </w:p>
    <w:p w:rsidR="00F53945" w:rsidRDefault="00F53945" w:rsidP="00F53945">
      <w:pPr>
        <w:pStyle w:val="ECCParagraph"/>
        <w:pageBreakBefore/>
        <w:rPr>
          <w:rFonts w:cs="Arial"/>
        </w:rPr>
      </w:pPr>
    </w:p>
    <w:p w:rsidR="00F53945" w:rsidRDefault="00F53945" w:rsidP="00AA17CC">
      <w:pPr>
        <w:pStyle w:val="ECCAnnexheading1"/>
      </w:pPr>
      <w:r>
        <w:t xml:space="preserve"> </w:t>
      </w:r>
      <w:bookmarkStart w:id="37" w:name="_Toc321318132"/>
      <w:r>
        <w:t>Technical information on PMSE</w:t>
      </w:r>
      <w:bookmarkEnd w:id="37"/>
    </w:p>
    <w:p w:rsidR="00F53945" w:rsidRDefault="00F53945" w:rsidP="00F53945">
      <w:pPr>
        <w:spacing w:after="120" w:line="276" w:lineRule="auto"/>
      </w:pPr>
    </w:p>
    <w:p w:rsidR="00F53945" w:rsidRPr="004A42DC" w:rsidRDefault="00F53945" w:rsidP="00F53945">
      <w:pPr>
        <w:spacing w:after="120" w:line="276" w:lineRule="auto"/>
        <w:rPr>
          <w:rFonts w:cs="Arial"/>
          <w:szCs w:val="20"/>
          <w:lang w:val="en-GB"/>
        </w:rPr>
      </w:pPr>
      <w:r w:rsidRPr="004A42DC">
        <w:rPr>
          <w:rFonts w:cs="Arial"/>
          <w:szCs w:val="20"/>
          <w:lang w:val="en-GB"/>
        </w:rPr>
        <w:t>The following graphic</w:t>
      </w:r>
      <w:r>
        <w:rPr>
          <w:rFonts w:cs="Arial"/>
          <w:szCs w:val="20"/>
          <w:lang w:val="en-GB"/>
        </w:rPr>
        <w:t>s</w:t>
      </w:r>
      <w:r w:rsidRPr="004A42DC">
        <w:rPr>
          <w:rFonts w:cs="Arial"/>
          <w:szCs w:val="20"/>
          <w:lang w:val="en-GB"/>
        </w:rPr>
        <w:t xml:space="preserve"> shows the required spectrum as a function of </w:t>
      </w:r>
      <w:r>
        <w:rPr>
          <w:rFonts w:cs="Arial"/>
          <w:szCs w:val="20"/>
          <w:lang w:val="en-GB"/>
        </w:rPr>
        <w:t xml:space="preserve">number of </w:t>
      </w:r>
      <w:r w:rsidRPr="004A42DC">
        <w:rPr>
          <w:rFonts w:cs="Arial"/>
          <w:szCs w:val="20"/>
          <w:lang w:val="en-GB"/>
        </w:rPr>
        <w:t>microphone</w:t>
      </w:r>
      <w:r>
        <w:rPr>
          <w:rFonts w:cs="Arial"/>
          <w:szCs w:val="20"/>
          <w:lang w:val="en-GB"/>
        </w:rPr>
        <w:t>s</w:t>
      </w:r>
      <w:r w:rsidRPr="004A42DC">
        <w:rPr>
          <w:rFonts w:cs="Arial"/>
          <w:szCs w:val="20"/>
          <w:lang w:val="en-GB"/>
        </w:rPr>
        <w:t xml:space="preserve"> </w:t>
      </w:r>
      <w:r>
        <w:rPr>
          <w:rFonts w:cs="Arial"/>
          <w:szCs w:val="20"/>
          <w:lang w:val="en-GB"/>
        </w:rPr>
        <w:t>operating concurrently at the same location.</w:t>
      </w:r>
    </w:p>
    <w:p w:rsidR="00F53945" w:rsidRPr="00571E2C" w:rsidRDefault="00F53945" w:rsidP="00F53945">
      <w:pPr>
        <w:spacing w:after="120" w:line="276" w:lineRule="auto"/>
        <w:jc w:val="center"/>
        <w:rPr>
          <w:rFonts w:cs="Arial"/>
          <w:b/>
          <w:szCs w:val="20"/>
          <w:highlight w:val="yellow"/>
          <w:lang w:val="en-GB"/>
        </w:rPr>
      </w:pPr>
      <w:r>
        <w:rPr>
          <w:rFonts w:cs="Arial"/>
          <w:noProof/>
          <w:color w:val="3366FF"/>
          <w:szCs w:val="20"/>
          <w:lang w:val="fr-FR" w:eastAsia="fr-FR"/>
        </w:rPr>
        <w:drawing>
          <wp:inline distT="0" distB="0" distL="0" distR="0">
            <wp:extent cx="3517900" cy="2489200"/>
            <wp:effectExtent l="0" t="0" r="6350" b="6350"/>
            <wp:docPr id="17" name="Picture 17" descr="VerlaufMikrofonzahlSpektrumbeda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VerlaufMikrofonzahlSpektrumbedar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517900" cy="2489200"/>
                    </a:xfrm>
                    <a:prstGeom prst="rect">
                      <a:avLst/>
                    </a:prstGeom>
                    <a:noFill/>
                    <a:ln>
                      <a:noFill/>
                    </a:ln>
                  </pic:spPr>
                </pic:pic>
              </a:graphicData>
            </a:graphic>
          </wp:inline>
        </w:drawing>
      </w:r>
    </w:p>
    <w:p w:rsidR="00F53945" w:rsidRPr="00571E2C" w:rsidRDefault="00F53945" w:rsidP="00AA17CC">
      <w:pPr>
        <w:pStyle w:val="ECCFiguretitle"/>
      </w:pPr>
      <w:r w:rsidRPr="00571E2C">
        <w:t>The required spectrum as a function of the number of microphones</w:t>
      </w:r>
      <w:r w:rsidRPr="00117BC0">
        <w:rPr>
          <w:rStyle w:val="Appelnotedebasdep"/>
          <w:szCs w:val="20"/>
        </w:rPr>
        <w:footnoteReference w:id="20"/>
      </w:r>
    </w:p>
    <w:p w:rsidR="00F53945" w:rsidRDefault="00F53945" w:rsidP="00AA17CC">
      <w:pPr>
        <w:pStyle w:val="ECCParagraph"/>
      </w:pPr>
      <w:r w:rsidRPr="00571E2C">
        <w:t>Example: in 20 MHz of a given spectrum 22 wireless microphones can operate in parallel at the required level of transmission security for professional productions. The exponential rise of spectrum demand is caused by intermodulation that is generated when transmitters operate in close proximity. Due to the physical intermodulation and the very little ra</w:t>
      </w:r>
      <w:r w:rsidRPr="00C61F11">
        <w:t>diated power this intermodulation effect has to be taken into consideration when des</w:t>
      </w:r>
      <w:r w:rsidRPr="00571E2C">
        <w:t xml:space="preserve">igning interference free multichannel systems for productions. It shows an almost linear rise below 25 microphones and a strong spectrum demand above </w:t>
      </w:r>
      <w:proofErr w:type="gramStart"/>
      <w:r w:rsidRPr="00571E2C">
        <w:t>The</w:t>
      </w:r>
      <w:proofErr w:type="gramEnd"/>
      <w:r w:rsidRPr="00571E2C">
        <w:t xml:space="preserve"> use of the full 1452-1492 MHz band by audio PMSE would therefore allow the deployment of about 32 additional wireless microphones, compared to the existing solutions.</w:t>
      </w:r>
      <w:r w:rsidRPr="00117BC0">
        <w:t xml:space="preserve"> </w:t>
      </w:r>
    </w:p>
    <w:p w:rsidR="00F53945" w:rsidRDefault="00F53945" w:rsidP="00AA17CC">
      <w:pPr>
        <w:pStyle w:val="ECCParagraph"/>
      </w:pPr>
      <w:r w:rsidRPr="00571E2C">
        <w:rPr>
          <w:highlight w:val="yellow"/>
        </w:rPr>
        <w:t>[Note: The above figure and the text should be updated to refer to the L-Band.]</w:t>
      </w:r>
    </w:p>
    <w:p w:rsidR="00F53945" w:rsidRPr="00C61F11" w:rsidRDefault="00F53945" w:rsidP="00F53945">
      <w:pPr>
        <w:rPr>
          <w:lang w:val="en-GB"/>
        </w:rPr>
      </w:pPr>
    </w:p>
    <w:p w:rsidR="00F53945" w:rsidRDefault="00F53945" w:rsidP="00F53945"/>
    <w:p w:rsidR="00F53945" w:rsidRDefault="00F53945" w:rsidP="00F53945"/>
    <w:p w:rsidR="00F53945" w:rsidRDefault="00F53945" w:rsidP="00F53945">
      <w:pPr>
        <w:pageBreakBefore/>
      </w:pPr>
    </w:p>
    <w:p w:rsidR="00F53945" w:rsidRPr="003A401A" w:rsidRDefault="00F53945" w:rsidP="00AA17CC">
      <w:pPr>
        <w:pStyle w:val="ECCAnnexheading1"/>
      </w:pPr>
      <w:bookmarkStart w:id="38" w:name="_Toc321318133"/>
      <w:r w:rsidRPr="003A401A">
        <w:t>List of reference</w:t>
      </w:r>
      <w:r>
        <w:t>S</w:t>
      </w:r>
      <w:bookmarkEnd w:id="38"/>
    </w:p>
    <w:p w:rsidR="00F53945" w:rsidRPr="003A401A" w:rsidRDefault="00F53945" w:rsidP="00F53945">
      <w:pPr>
        <w:pStyle w:val="reference"/>
        <w:numPr>
          <w:ilvl w:val="0"/>
          <w:numId w:val="7"/>
        </w:numPr>
        <w:rPr>
          <w:rFonts w:cs="Arial"/>
          <w:szCs w:val="20"/>
        </w:rPr>
      </w:pPr>
      <w:r>
        <w:t>ECC Report 125: Guidelines for the implementation of impact assessment</w:t>
      </w:r>
    </w:p>
    <w:p w:rsidR="00F53945" w:rsidRPr="003A401A" w:rsidRDefault="00F53945" w:rsidP="00F53945">
      <w:pPr>
        <w:pStyle w:val="reference"/>
        <w:rPr>
          <w:rFonts w:cs="Arial"/>
          <w:szCs w:val="20"/>
        </w:rPr>
      </w:pPr>
      <w:r>
        <w:rPr>
          <w:rFonts w:cs="Arial"/>
          <w:szCs w:val="20"/>
        </w:rPr>
        <w:t>ECC Report 002: SAP/SAB (Incl. ENG/OB) - Spectrum use and future requirements</w:t>
      </w:r>
    </w:p>
    <w:p w:rsidR="00F53945" w:rsidRPr="00EB3BA7" w:rsidRDefault="00F53945" w:rsidP="00F53945">
      <w:pPr>
        <w:pStyle w:val="reference"/>
        <w:rPr>
          <w:rFonts w:cs="Arial"/>
          <w:szCs w:val="20"/>
        </w:rPr>
      </w:pPr>
      <w:r>
        <w:t xml:space="preserve">ECC Report </w:t>
      </w:r>
      <w:r w:rsidRPr="00571E2C">
        <w:rPr>
          <w:highlight w:val="yellow"/>
        </w:rPr>
        <w:t>XYZ [currently being developed by FM48</w:t>
      </w:r>
      <w:r>
        <w:t>]</w:t>
      </w:r>
    </w:p>
    <w:p w:rsidR="00F53945" w:rsidRPr="00EB3BA7" w:rsidRDefault="00F53945" w:rsidP="00F53945">
      <w:pPr>
        <w:pStyle w:val="reference"/>
        <w:rPr>
          <w:rFonts w:cs="Arial"/>
          <w:szCs w:val="20"/>
        </w:rPr>
      </w:pPr>
      <w:r>
        <w:rPr>
          <w:rFonts w:cs="Arial"/>
          <w:szCs w:val="20"/>
        </w:rPr>
        <w:t xml:space="preserve">CEPT Report 18: </w:t>
      </w:r>
      <w:r>
        <w:t>In response to the Mandate on EU</w:t>
      </w:r>
      <w:r w:rsidRPr="00EB3BA7">
        <w:rPr>
          <w:lang w:val="en-GB"/>
        </w:rPr>
        <w:t xml:space="preserve"> harmonisation</w:t>
      </w:r>
      <w:r>
        <w:t xml:space="preserve"> of the band 1452-1479.5 MHz (lower part of L-band) to allow flexible use by mobile multimedia technologies</w:t>
      </w:r>
    </w:p>
    <w:p w:rsidR="00F53945" w:rsidRDefault="00F53945" w:rsidP="00F53945">
      <w:pPr>
        <w:pStyle w:val="reference"/>
      </w:pPr>
      <w:r w:rsidRPr="00A31296">
        <w:t>ECC/DEC/(03)02: The designation of the frequency band 1479.5-1492MHz for use by Satellite Digital Audio Broadcasting systems</w:t>
      </w:r>
    </w:p>
    <w:p w:rsidR="00F53945" w:rsidRDefault="00F53945" w:rsidP="00F53945">
      <w:pPr>
        <w:pStyle w:val="reference"/>
      </w:pPr>
      <w:r>
        <w:t xml:space="preserve">ECC Report 121: </w:t>
      </w:r>
      <w:r w:rsidRPr="00C748A1">
        <w:rPr>
          <w:color w:val="000000"/>
        </w:rPr>
        <w:t>Compatibility studies between Professional Wireless Microphone Systems (PWMS) and other services/systems</w:t>
      </w:r>
      <w:r>
        <w:rPr>
          <w:color w:val="000000"/>
        </w:rPr>
        <w:t xml:space="preserve"> </w:t>
      </w:r>
      <w:r w:rsidRPr="00C748A1">
        <w:rPr>
          <w:color w:val="000000"/>
        </w:rPr>
        <w:t>in the L band</w:t>
      </w:r>
    </w:p>
    <w:p w:rsidR="00F53945" w:rsidRDefault="00F53945" w:rsidP="00F53945">
      <w:pPr>
        <w:pStyle w:val="reference"/>
      </w:pPr>
      <w:r>
        <w:t>CEPT Report 32: "Technical considerations regarding</w:t>
      </w:r>
      <w:r w:rsidRPr="00A31296">
        <w:rPr>
          <w:lang w:val="en-GB"/>
        </w:rPr>
        <w:t xml:space="preserve"> harmonisation</w:t>
      </w:r>
      <w:r>
        <w:t xml:space="preserve"> options for the digital dividend in the European Union"</w:t>
      </w:r>
    </w:p>
    <w:p w:rsidR="00F53945" w:rsidRDefault="00F53945" w:rsidP="00F53945">
      <w:pPr>
        <w:pStyle w:val="reference"/>
      </w:pPr>
      <w:r>
        <w:t>Directive 2009/140/EC [</w:t>
      </w:r>
      <w:r w:rsidRPr="00D04F36">
        <w:rPr>
          <w:shd w:val="clear" w:color="auto" w:fill="FFFF00"/>
        </w:rPr>
        <w:t>Note:</w:t>
      </w:r>
      <w:r>
        <w:rPr>
          <w:highlight w:val="yellow"/>
        </w:rPr>
        <w:t xml:space="preserve"> </w:t>
      </w:r>
      <w:r w:rsidRPr="00380CD9">
        <w:rPr>
          <w:highlight w:val="yellow"/>
        </w:rPr>
        <w:t>How much of the title do you need see below</w:t>
      </w:r>
      <w:r w:rsidRPr="00D04F36">
        <w:rPr>
          <w:shd w:val="clear" w:color="auto" w:fill="FFFF00"/>
        </w:rPr>
        <w:t>?</w:t>
      </w:r>
      <w:r>
        <w:t>]</w:t>
      </w:r>
    </w:p>
    <w:p w:rsidR="00F53945" w:rsidRPr="00D05062" w:rsidRDefault="00F53945" w:rsidP="00F53945">
      <w:pPr>
        <w:pStyle w:val="reference"/>
      </w:pPr>
    </w:p>
    <w:p w:rsidR="00F53945" w:rsidRDefault="00F53945" w:rsidP="00F53945">
      <w:pPr>
        <w:pStyle w:val="ECCParagraph"/>
        <w:rPr>
          <w:rFonts w:cs="Arial"/>
          <w:szCs w:val="20"/>
        </w:rPr>
      </w:pPr>
      <w:r>
        <w:t>According to the Directive 2009/140/EC “flexibility in spectrum management and access to spectrum should be increased through technology and service neutral authorisations to allow spectrum users to choose the best technologies and services to apply in frequency bands declared available for electronic communications services in the relevant national frequency allocation plans in accordance with Community law (the ‘principles of technology and service neutrality’). The administrative determination of technologies and services should apply when general interest objectives are at stake and should be clearly justified and subject to regular periodic review.”</w:t>
      </w:r>
    </w:p>
    <w:p w:rsidR="00F53945" w:rsidRDefault="00F53945" w:rsidP="00F53945">
      <w:pPr>
        <w:pStyle w:val="ECCParagraph"/>
        <w:rPr>
          <w:rFonts w:cs="Arial"/>
          <w:szCs w:val="20"/>
        </w:rPr>
      </w:pPr>
    </w:p>
    <w:p w:rsidR="00F53945" w:rsidRPr="00C77EBB" w:rsidRDefault="00F53945" w:rsidP="00F53945">
      <w:pPr>
        <w:pStyle w:val="ECCParagraph"/>
        <w:rPr>
          <w:lang w:val="fr-CH" w:eastAsia="de-DE"/>
        </w:rPr>
      </w:pPr>
      <w:r w:rsidRPr="00C77EBB">
        <w:rPr>
          <w:lang w:val="fr-CH" w:eastAsia="de-DE"/>
        </w:rPr>
        <w:t>ETSI standard (TR 102 525, TS 102 550, TS 102 551-1, TS 102 551-2)</w:t>
      </w:r>
    </w:p>
    <w:p w:rsidR="00F53945" w:rsidRPr="00C77EBB" w:rsidRDefault="00F53945" w:rsidP="00F53945">
      <w:pPr>
        <w:pStyle w:val="ECCParagraph"/>
        <w:rPr>
          <w:lang w:val="fr-CH"/>
        </w:rPr>
      </w:pPr>
      <w:r w:rsidRPr="00C77EBB">
        <w:rPr>
          <w:lang w:val="fr-CH"/>
        </w:rPr>
        <w:t>ETSI TR 103 054</w:t>
      </w:r>
    </w:p>
    <w:p w:rsidR="00F53945" w:rsidRDefault="00F53945" w:rsidP="00F53945">
      <w:pPr>
        <w:pStyle w:val="ECCParagraph"/>
      </w:pPr>
      <w:r>
        <w:t>In January 2007 the ETSI-System Reference Document TR 102 546 extended the existing "tuning ranges" for audio PMSE identified in EN 300 422</w:t>
      </w:r>
    </w:p>
    <w:p w:rsidR="00F53945" w:rsidRDefault="00F53945" w:rsidP="00F53945">
      <w:pPr>
        <w:pStyle w:val="ECCParBulleted"/>
        <w:numPr>
          <w:ilvl w:val="0"/>
          <w:numId w:val="28"/>
        </w:numPr>
        <w:spacing w:after="120"/>
      </w:pPr>
      <w:r>
        <w:t>ETSI - TR 102 525: Functionalities, architecture and technologies</w:t>
      </w:r>
    </w:p>
    <w:p w:rsidR="00F53945" w:rsidRDefault="00F53945" w:rsidP="00F53945">
      <w:pPr>
        <w:pStyle w:val="ECCParBulleted"/>
        <w:numPr>
          <w:ilvl w:val="0"/>
          <w:numId w:val="28"/>
        </w:numPr>
        <w:spacing w:after="120"/>
      </w:pPr>
      <w:r>
        <w:t>ETSI - TS 102 550: Outer Physical Layer of the Radio Interface</w:t>
      </w:r>
    </w:p>
    <w:p w:rsidR="00F53945" w:rsidRDefault="00F53945" w:rsidP="00F53945">
      <w:pPr>
        <w:pStyle w:val="ECCParBulleted"/>
        <w:numPr>
          <w:ilvl w:val="0"/>
          <w:numId w:val="28"/>
        </w:numPr>
      </w:pPr>
      <w:r>
        <w:t>ETSI - TS 102 551: Inner Physical Layer of the Radio Interface</w:t>
      </w:r>
    </w:p>
    <w:p w:rsidR="00F53945" w:rsidRDefault="00F53945" w:rsidP="00F53945">
      <w:pPr>
        <w:pStyle w:val="ECCParagraph"/>
      </w:pPr>
      <w:r w:rsidRPr="003A401A">
        <w:t>The required product standard was established in 2007 (ETSI-EN</w:t>
      </w:r>
      <w:r>
        <w:t xml:space="preserve"> </w:t>
      </w:r>
      <w:r w:rsidRPr="003A401A">
        <w:t>300</w:t>
      </w:r>
      <w:r>
        <w:t xml:space="preserve"> </w:t>
      </w:r>
      <w:r w:rsidRPr="003A401A">
        <w:t>422).</w:t>
      </w:r>
    </w:p>
    <w:p w:rsidR="00F53945" w:rsidRDefault="00F53945" w:rsidP="00F53945">
      <w:pPr>
        <w:pStyle w:val="ECCParagraph"/>
        <w:rPr>
          <w:rFonts w:cs="Arial"/>
          <w:szCs w:val="20"/>
        </w:rPr>
      </w:pPr>
      <w:r w:rsidRPr="003A401A">
        <w:rPr>
          <w:rFonts w:cs="Arial"/>
          <w:szCs w:val="20"/>
        </w:rPr>
        <w:t>ETSI standards (TS 102 584, TS 102 585 and EN 302</w:t>
      </w:r>
      <w:r>
        <w:rPr>
          <w:rFonts w:cs="Arial"/>
          <w:szCs w:val="20"/>
        </w:rPr>
        <w:t> </w:t>
      </w:r>
      <w:r w:rsidRPr="003A401A">
        <w:rPr>
          <w:rFonts w:cs="Arial"/>
          <w:szCs w:val="20"/>
        </w:rPr>
        <w:t>583)</w:t>
      </w:r>
    </w:p>
    <w:p w:rsidR="00F53945" w:rsidRDefault="00F53945" w:rsidP="00F53945">
      <w:pPr>
        <w:pStyle w:val="ECCParagraph"/>
      </w:pPr>
    </w:p>
    <w:sectPr w:rsidR="00F53945" w:rsidSect="008A54FC">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E8F" w:rsidRDefault="00595E8F" w:rsidP="008A54FC">
      <w:r>
        <w:separator/>
      </w:r>
    </w:p>
  </w:endnote>
  <w:endnote w:type="continuationSeparator" w:id="0">
    <w:p w:rsidR="00595E8F" w:rsidRDefault="00595E8F" w:rsidP="008A5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Arial Bold">
    <w:panose1 w:val="00000000000000000000"/>
    <w:charset w:val="00"/>
    <w:family w:val="roman"/>
    <w:notTrueType/>
    <w:pitch w:val="default"/>
  </w:font>
  <w:font w:name="Lucida Grande">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E8F" w:rsidRDefault="00595E8F" w:rsidP="008A54FC">
      <w:r>
        <w:separator/>
      </w:r>
    </w:p>
  </w:footnote>
  <w:footnote w:type="continuationSeparator" w:id="0">
    <w:p w:rsidR="00595E8F" w:rsidRDefault="00595E8F" w:rsidP="008A54FC">
      <w:r>
        <w:continuationSeparator/>
      </w:r>
    </w:p>
  </w:footnote>
  <w:footnote w:id="1">
    <w:p w:rsidR="00F53945" w:rsidRDefault="00F53945" w:rsidP="00F53945">
      <w:pPr>
        <w:pStyle w:val="ECCFootnote"/>
      </w:pPr>
      <w:r>
        <w:rPr>
          <w:rStyle w:val="Appelnotedebasdep"/>
        </w:rPr>
        <w:footnoteRef/>
      </w:r>
      <w:r>
        <w:t xml:space="preserve"> See for example: www.obs.coe.int/about/oea/pr/mavise_juin2011.html</w:t>
      </w:r>
    </w:p>
  </w:footnote>
  <w:footnote w:id="2">
    <w:p w:rsidR="00F53945" w:rsidRDefault="00F53945" w:rsidP="00F53945">
      <w:pPr>
        <w:pStyle w:val="ECCFootnote"/>
      </w:pPr>
      <w:r>
        <w:rPr>
          <w:rStyle w:val="Appelnotedebasdep"/>
        </w:rPr>
        <w:footnoteRef/>
      </w:r>
      <w:r>
        <w:t xml:space="preserve"> See R</w:t>
      </w:r>
      <w:r>
        <w:rPr>
          <w:lang w:val="sv-SE"/>
        </w:rPr>
        <w:t>eport ITU-R M.2243</w:t>
      </w:r>
    </w:p>
  </w:footnote>
  <w:footnote w:id="3">
    <w:p w:rsidR="00F53945" w:rsidRPr="006D7AB0" w:rsidRDefault="00F53945" w:rsidP="00F53945">
      <w:pPr>
        <w:pStyle w:val="Notedebasdepage"/>
        <w:rPr>
          <w:sz w:val="16"/>
          <w:szCs w:val="16"/>
        </w:rPr>
      </w:pPr>
      <w:r w:rsidRPr="006D7AB0">
        <w:rPr>
          <w:rStyle w:val="Appelnotedebasdep"/>
          <w:sz w:val="16"/>
          <w:szCs w:val="16"/>
        </w:rPr>
        <w:footnoteRef/>
      </w:r>
      <w:r w:rsidRPr="006D7AB0">
        <w:rPr>
          <w:sz w:val="16"/>
          <w:szCs w:val="16"/>
        </w:rPr>
        <w:t xml:space="preserve"> See </w:t>
      </w:r>
      <w:r>
        <w:rPr>
          <w:sz w:val="16"/>
          <w:szCs w:val="16"/>
        </w:rPr>
        <w:t xml:space="preserve">Document </w:t>
      </w:r>
      <w:proofErr w:type="spellStart"/>
      <w:r>
        <w:rPr>
          <w:sz w:val="16"/>
          <w:szCs w:val="16"/>
        </w:rPr>
        <w:t>RSCom</w:t>
      </w:r>
      <w:proofErr w:type="spellEnd"/>
      <w:r>
        <w:rPr>
          <w:sz w:val="16"/>
          <w:szCs w:val="16"/>
        </w:rPr>
        <w:t xml:space="preserve"> 12-06.</w:t>
      </w:r>
    </w:p>
  </w:footnote>
  <w:footnote w:id="4">
    <w:p w:rsidR="00F53945" w:rsidRPr="007F54BC" w:rsidRDefault="00F53945" w:rsidP="00F53945">
      <w:pPr>
        <w:pStyle w:val="Notedebasdepage"/>
        <w:rPr>
          <w:lang w:val="en-GB"/>
        </w:rPr>
      </w:pPr>
      <w:r>
        <w:rPr>
          <w:rStyle w:val="Appelnotedebasdep"/>
        </w:rPr>
        <w:footnoteRef/>
      </w:r>
      <w:r>
        <w:t xml:space="preserve"> </w:t>
      </w:r>
      <w:r w:rsidRPr="007F54BC">
        <w:rPr>
          <w:lang w:val="en-GB"/>
        </w:rPr>
        <w:t xml:space="preserve">See document </w:t>
      </w:r>
      <w:proofErr w:type="gramStart"/>
      <w:r w:rsidRPr="007F54BC">
        <w:rPr>
          <w:lang w:val="en-GB"/>
        </w:rPr>
        <w:t>FM50(</w:t>
      </w:r>
      <w:proofErr w:type="gramEnd"/>
      <w:r w:rsidRPr="007F54BC">
        <w:rPr>
          <w:lang w:val="en-GB"/>
        </w:rPr>
        <w:t>11)019.</w:t>
      </w:r>
    </w:p>
  </w:footnote>
  <w:footnote w:id="5">
    <w:p w:rsidR="00F53945" w:rsidRDefault="00F53945" w:rsidP="00F53945">
      <w:pPr>
        <w:pStyle w:val="ECCFootnote"/>
      </w:pPr>
      <w:r>
        <w:rPr>
          <w:rStyle w:val="Appelnotedebasdep"/>
        </w:rPr>
        <w:footnoteRef/>
      </w:r>
      <w:r>
        <w:t xml:space="preserve"> </w:t>
      </w:r>
      <w:r w:rsidRPr="004A42DC">
        <w:rPr>
          <w:i/>
          <w:lang w:val="en-GB"/>
        </w:rPr>
        <w:t>Programme</w:t>
      </w:r>
      <w:r>
        <w:rPr>
          <w:i/>
        </w:rPr>
        <w:t xml:space="preserve"> Making</w:t>
      </w:r>
      <w:r>
        <w:t xml:space="preserve"> includes the making of a </w:t>
      </w:r>
      <w:r w:rsidRPr="004A42DC">
        <w:rPr>
          <w:lang w:val="en-GB"/>
        </w:rPr>
        <w:t>programme</w:t>
      </w:r>
      <w:r>
        <w:t xml:space="preserve"> for broadcast, the making of a film, presentation, advertisement or audio or video recordings, and the staging or performance of an entertainment, sporting or other public event.</w:t>
      </w:r>
    </w:p>
  </w:footnote>
  <w:footnote w:id="6">
    <w:p w:rsidR="00F53945" w:rsidRDefault="00F53945" w:rsidP="00F53945">
      <w:pPr>
        <w:pStyle w:val="ECCFootnote"/>
      </w:pPr>
      <w:r>
        <w:rPr>
          <w:rStyle w:val="Appelnotedebasdep"/>
        </w:rPr>
        <w:footnoteRef/>
      </w:r>
      <w:r>
        <w:t xml:space="preserve"> A </w:t>
      </w:r>
      <w:r>
        <w:rPr>
          <w:i/>
        </w:rPr>
        <w:t>Special Event</w:t>
      </w:r>
      <w:r>
        <w:t xml:space="preserve"> is an occurrence of limited duration, typically between one day and a few weeks, which take place on specifically defined locations. Examples include large cultural, sport, entertainment, religious and other festivals, conferences and trade fairs. In the entertainment industry, theatrical productions may run for considerably longer.</w:t>
      </w:r>
    </w:p>
  </w:footnote>
  <w:footnote w:id="7">
    <w:p w:rsidR="00F53945" w:rsidRDefault="00F53945" w:rsidP="00F53945">
      <w:pPr>
        <w:pStyle w:val="ECCFootnote"/>
      </w:pPr>
      <w:r>
        <w:rPr>
          <w:rStyle w:val="Appelnotedebasdep"/>
        </w:rPr>
        <w:footnoteRef/>
      </w:r>
      <w:r>
        <w:t xml:space="preserve"> For further information see the ECC Report 002</w:t>
      </w:r>
    </w:p>
  </w:footnote>
  <w:footnote w:id="8">
    <w:p w:rsidR="00F53945" w:rsidRDefault="00F53945" w:rsidP="00F53945">
      <w:pPr>
        <w:pStyle w:val="ECCFootnote"/>
      </w:pPr>
      <w:r>
        <w:rPr>
          <w:rStyle w:val="Appelnotedebasdep"/>
        </w:rPr>
        <w:footnoteRef/>
      </w:r>
      <w:r>
        <w:t xml:space="preserve"> </w:t>
      </w:r>
      <w:r w:rsidRPr="00A9585B">
        <w:t>For further information see the EN</w:t>
      </w:r>
      <w:r>
        <w:t xml:space="preserve"> </w:t>
      </w:r>
      <w:r w:rsidRPr="00A9585B">
        <w:t>300</w:t>
      </w:r>
      <w:r>
        <w:t xml:space="preserve"> </w:t>
      </w:r>
      <w:r w:rsidRPr="00A9585B">
        <w:t>422</w:t>
      </w:r>
    </w:p>
  </w:footnote>
  <w:footnote w:id="9">
    <w:p w:rsidR="00F53945" w:rsidRDefault="00F53945" w:rsidP="00F53945">
      <w:pPr>
        <w:pStyle w:val="Notedebasdepage"/>
      </w:pPr>
      <w:r w:rsidRPr="00CF151A">
        <w:rPr>
          <w:sz w:val="16"/>
          <w:szCs w:val="24"/>
        </w:rPr>
        <w:footnoteRef/>
      </w:r>
      <w:r w:rsidRPr="00CF151A">
        <w:rPr>
          <w:sz w:val="16"/>
          <w:szCs w:val="24"/>
        </w:rPr>
        <w:t xml:space="preserve"> See: ECC’s Strategic Plan, section 3.</w:t>
      </w:r>
      <w:r>
        <w:rPr>
          <w:sz w:val="16"/>
          <w:szCs w:val="24"/>
        </w:rPr>
        <w:t>1</w:t>
      </w:r>
      <w:r w:rsidRPr="00CF151A">
        <w:rPr>
          <w:sz w:val="16"/>
          <w:szCs w:val="24"/>
        </w:rPr>
        <w:t>:</w:t>
      </w:r>
      <w:r>
        <w:t xml:space="preserve"> </w:t>
      </w:r>
      <w:hyperlink r:id="rId1" w:history="1">
        <w:r>
          <w:rPr>
            <w:rStyle w:val="Lienhypertexte"/>
            <w:sz w:val="14"/>
            <w:szCs w:val="14"/>
          </w:rPr>
          <w:t>http://www.cept.org//files/1051/ECC/About%20ECC/ECC%20Strategic%20plan/ECC%20Strategic%20Plan%20rev%204.pdf</w:t>
        </w:r>
      </w:hyperlink>
    </w:p>
  </w:footnote>
  <w:footnote w:id="10">
    <w:p w:rsidR="00F53945" w:rsidRPr="00C54BD9" w:rsidRDefault="00F53945" w:rsidP="00F53945">
      <w:pPr>
        <w:pStyle w:val="Notedebasdepage"/>
        <w:rPr>
          <w:sz w:val="16"/>
          <w:szCs w:val="16"/>
        </w:rPr>
      </w:pPr>
      <w:r w:rsidRPr="00C54BD9">
        <w:rPr>
          <w:rStyle w:val="Appelnotedebasdep"/>
          <w:sz w:val="16"/>
          <w:szCs w:val="16"/>
        </w:rPr>
        <w:footnoteRef/>
      </w:r>
      <w:r w:rsidRPr="00C54BD9">
        <w:rPr>
          <w:sz w:val="16"/>
          <w:szCs w:val="16"/>
        </w:rPr>
        <w:t xml:space="preserve"> New audio formats require higher resolution, not compressed, from the microphones for storing the signals in highest resolution in order to be able to convert it according to the market needs. The current standard formats (mono or stereo) no longer </w:t>
      </w:r>
      <w:proofErr w:type="spellStart"/>
      <w:r w:rsidRPr="00C54BD9">
        <w:rPr>
          <w:sz w:val="16"/>
          <w:szCs w:val="16"/>
        </w:rPr>
        <w:t>fulfil</w:t>
      </w:r>
      <w:proofErr w:type="spellEnd"/>
      <w:r w:rsidRPr="00C54BD9">
        <w:rPr>
          <w:sz w:val="16"/>
          <w:szCs w:val="16"/>
        </w:rPr>
        <w:t xml:space="preserve"> the expectations of the listeners. Formats like 5.1 or 7.1 are common for today’s productions. They need more equipment at the production frontend and more RF spectrum to transmit the increasing amount of signals. Audio 5.1 and 7.1 are intermediate steps to a real spatial sound experience for the people at home. The next step on the audio side is as format which offers a much more authentic 3D Audio experience.</w:t>
      </w:r>
    </w:p>
  </w:footnote>
  <w:footnote w:id="11">
    <w:p w:rsidR="00F53945" w:rsidRPr="00AD190A" w:rsidRDefault="00F53945" w:rsidP="00F53945">
      <w:pPr>
        <w:pStyle w:val="Notedebasdepage"/>
      </w:pPr>
      <w:r w:rsidRPr="00661904">
        <w:rPr>
          <w:rStyle w:val="Appelnotedebasdep"/>
          <w:highlight w:val="yellow"/>
        </w:rPr>
        <w:footnoteRef/>
      </w:r>
      <w:r w:rsidRPr="00661904">
        <w:rPr>
          <w:highlight w:val="yellow"/>
        </w:rPr>
        <w:t xml:space="preserve"> Reference to the study by German ministry</w:t>
      </w:r>
      <w:r>
        <w:t xml:space="preserve"> to be included </w:t>
      </w:r>
    </w:p>
  </w:footnote>
  <w:footnote w:id="12">
    <w:p w:rsidR="00F53945" w:rsidRDefault="00F53945" w:rsidP="00F53945">
      <w:pPr>
        <w:pStyle w:val="ECCFootnote"/>
      </w:pPr>
      <w:r>
        <w:rPr>
          <w:rStyle w:val="Appelnotedebasdep"/>
        </w:rPr>
        <w:footnoteRef/>
      </w:r>
      <w:r>
        <w:t xml:space="preserve"> </w:t>
      </w:r>
      <w:r>
        <w:tab/>
        <w:t xml:space="preserve">“ECC has received several request for addressing requirement for Public Safety and Security (PSS) wireless communication systems (e.g. from ETSI and from PSCE Forum). The safety and security community needs access to wideband and broadband services such as video and has specific requirements in terms of priority, availability or security. Spectrum harmonization of PSS wireless communication systems will require a long term effort from ECC and relevant CEPT Administrations at national level, but ECC has to face this challenge of facilitating public safety and security operations in </w:t>
      </w:r>
      <w:smartTag w:uri="urn:schemas-microsoft-com:office:smarttags" w:element="place">
        <w:r>
          <w:t>Europe</w:t>
        </w:r>
      </w:smartTag>
      <w:r>
        <w:t>.</w:t>
      </w:r>
    </w:p>
    <w:p w:rsidR="00F53945" w:rsidRDefault="00F53945" w:rsidP="00F53945">
      <w:pPr>
        <w:pStyle w:val="ECCFootnote"/>
      </w:pPr>
      <w:r>
        <w:tab/>
        <w:t>CEPT ECC shall consider future requirements for access to spectrum for PPDR, the need for harmonization of use and shall identify resources accordingly.”</w:t>
      </w:r>
    </w:p>
  </w:footnote>
  <w:footnote w:id="13">
    <w:p w:rsidR="00F53945" w:rsidRDefault="00F53945" w:rsidP="00F53945">
      <w:pPr>
        <w:pStyle w:val="ECCFootnote"/>
      </w:pPr>
      <w:r>
        <w:rPr>
          <w:rStyle w:val="Appelnotedebasdep"/>
        </w:rPr>
        <w:footnoteRef/>
      </w:r>
      <w:r>
        <w:t xml:space="preserve"> </w:t>
      </w:r>
      <w:r>
        <w:tab/>
        <w:t xml:space="preserve">See: ECC’s Strategic Plan, section 3.3: </w:t>
      </w:r>
      <w:hyperlink r:id="rId2" w:history="1">
        <w:r>
          <w:rPr>
            <w:rStyle w:val="Lienhypertexte"/>
            <w:sz w:val="14"/>
            <w:szCs w:val="14"/>
          </w:rPr>
          <w:t>http://www.cept.org//files/1051/ECC/About%20ECC/ECC%20Strategic%20plan/ECC%20Strategic%20Plan%20rev%204.pdf</w:t>
        </w:r>
      </w:hyperlink>
    </w:p>
  </w:footnote>
  <w:footnote w:id="14">
    <w:p w:rsidR="00F53945" w:rsidRPr="002A5237" w:rsidRDefault="00F53945" w:rsidP="00F53945">
      <w:pPr>
        <w:pStyle w:val="ECCFootnote"/>
      </w:pPr>
      <w:r>
        <w:rPr>
          <w:rStyle w:val="Appelnotedebasdep"/>
        </w:rPr>
        <w:footnoteRef/>
      </w:r>
      <w:r w:rsidRPr="002A5237">
        <w:rPr>
          <w:rStyle w:val="Appelnotedebasdep"/>
        </w:rPr>
        <w:t xml:space="preserve"> </w:t>
      </w:r>
      <w:r>
        <w:t xml:space="preserve">A press release on trial flight: </w:t>
      </w:r>
      <w:hyperlink r:id="rId3" w:history="1">
        <w:r w:rsidRPr="000B38A1">
          <w:rPr>
            <w:rStyle w:val="Lienhypertexte"/>
          </w:rPr>
          <w:t>http://www.telekom.com/media/company/107626</w:t>
        </w:r>
      </w:hyperlink>
      <w:r>
        <w:t xml:space="preserve"> </w:t>
      </w:r>
    </w:p>
  </w:footnote>
  <w:footnote w:id="15">
    <w:p w:rsidR="00F53945" w:rsidRDefault="00F53945" w:rsidP="00F53945">
      <w:pPr>
        <w:pStyle w:val="ECCFootnote"/>
        <w:rPr>
          <w:szCs w:val="16"/>
        </w:rPr>
      </w:pPr>
      <w:r w:rsidRPr="00661904">
        <w:rPr>
          <w:rStyle w:val="Appelnotedebasdep"/>
          <w:szCs w:val="16"/>
        </w:rPr>
        <w:footnoteRef/>
      </w:r>
      <w:r w:rsidRPr="00661904">
        <w:rPr>
          <w:szCs w:val="16"/>
        </w:rPr>
        <w:t xml:space="preserve"> </w:t>
      </w:r>
      <w:r w:rsidRPr="00661904">
        <w:rPr>
          <w:rFonts w:eastAsia="MS Mincho"/>
          <w:color w:val="0000FF"/>
          <w:szCs w:val="16"/>
          <w:lang w:eastAsia="ja-JP"/>
        </w:rPr>
        <w:t>http://www.eurocontrol.int/statfor/public/subsite_homepage/homepage.html</w:t>
      </w:r>
    </w:p>
  </w:footnote>
  <w:footnote w:id="16">
    <w:p w:rsidR="00F53945" w:rsidRPr="00D3135F" w:rsidRDefault="00F53945" w:rsidP="00F53945">
      <w:pPr>
        <w:pStyle w:val="ECCFootnote"/>
      </w:pPr>
      <w:r w:rsidRPr="00D3135F">
        <w:rPr>
          <w:rStyle w:val="Appelnotedebasdep"/>
        </w:rPr>
        <w:footnoteRef/>
      </w:r>
      <w:r w:rsidRPr="00D3135F">
        <w:rPr>
          <w:rStyle w:val="Appelnotedebasdep"/>
        </w:rPr>
        <w:t xml:space="preserve"> </w:t>
      </w:r>
      <w:r w:rsidRPr="00D3135F">
        <w:t xml:space="preserve">See document FM50(12)017_Air_passenger_survey_results at </w:t>
      </w:r>
      <w:hyperlink r:id="rId4" w:history="1">
        <w:r w:rsidRPr="00D3135F">
          <w:t>http://www.cept.org/ecc/groups/ecc/wg-fm/fm-</w:t>
        </w:r>
        <w:r w:rsidRPr="00D3135F">
          <w:br/>
          <w:t>50/client/meeting-documents</w:t>
        </w:r>
      </w:hyperlink>
      <w:r w:rsidRPr="00D3135F">
        <w:t>; 2012; M5 – 6-9 March; Input documents</w:t>
      </w:r>
      <w:r>
        <w:t xml:space="preserve"> </w:t>
      </w:r>
    </w:p>
  </w:footnote>
  <w:footnote w:id="17">
    <w:p w:rsidR="00F53945" w:rsidRDefault="00F53945" w:rsidP="00F53945">
      <w:pPr>
        <w:pStyle w:val="ECCFootnote"/>
      </w:pPr>
      <w:r w:rsidRPr="00211082">
        <w:rPr>
          <w:rStyle w:val="Appelnotedebasdep"/>
        </w:rPr>
        <w:footnoteRef/>
      </w:r>
      <w:r w:rsidRPr="00211082">
        <w:t xml:space="preserve"> See Minutes of the 73rd WG FM Meeting, </w:t>
      </w:r>
      <w:proofErr w:type="gramStart"/>
      <w:r w:rsidRPr="00211082">
        <w:t>FM(</w:t>
      </w:r>
      <w:proofErr w:type="gramEnd"/>
      <w:r w:rsidRPr="00211082">
        <w:t>11)202_Minutes of 73WGFM_Lille_2011: The amount of spectrum for this radio application is considered independent from the number of system proposals.</w:t>
      </w:r>
    </w:p>
  </w:footnote>
  <w:footnote w:id="18">
    <w:p w:rsidR="00F53945" w:rsidRDefault="00F53945" w:rsidP="00F53945">
      <w:pPr>
        <w:pStyle w:val="ECCFootnote"/>
      </w:pPr>
      <w:r>
        <w:rPr>
          <w:rStyle w:val="Appelnotedebasdep"/>
        </w:rPr>
        <w:footnoteRef/>
      </w:r>
      <w:r>
        <w:t xml:space="preserve"> Source: UMTS Forum</w:t>
      </w:r>
    </w:p>
  </w:footnote>
  <w:footnote w:id="19">
    <w:p w:rsidR="00F53945" w:rsidRDefault="00F53945" w:rsidP="00F53945">
      <w:pPr>
        <w:pStyle w:val="ECCFootnote"/>
      </w:pPr>
      <w:r>
        <w:rPr>
          <w:rStyle w:val="Appelnotedebasdep"/>
        </w:rPr>
        <w:footnoteRef/>
      </w:r>
      <w:r>
        <w:t xml:space="preserve"> Source: Qualcomm</w:t>
      </w:r>
    </w:p>
  </w:footnote>
  <w:footnote w:id="20">
    <w:p w:rsidR="00F53945" w:rsidRPr="0003058B" w:rsidRDefault="00F53945" w:rsidP="00F53945">
      <w:pPr>
        <w:pStyle w:val="Notedebasdepage"/>
        <w:rPr>
          <w:lang w:val="en-GB"/>
        </w:rPr>
      </w:pPr>
      <w:r w:rsidRPr="00D674B5">
        <w:rPr>
          <w:rStyle w:val="Appelnotedebasdep"/>
        </w:rPr>
        <w:footnoteRef/>
      </w:r>
      <w:r w:rsidRPr="00D674B5">
        <w:t xml:space="preserve"> The wireless microphones are assumed to operate in accordance with </w:t>
      </w:r>
      <w:r w:rsidRPr="00D674B5">
        <w:rPr>
          <w:lang w:val="en-GB"/>
        </w:rPr>
        <w:t>EN300 422.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945" w:rsidRPr="007C5F95" w:rsidRDefault="00F53945">
    <w:pPr>
      <w:pStyle w:val="En-tte"/>
      <w:rPr>
        <w:b w:val="0"/>
        <w:lang w:val="da-DK"/>
      </w:rPr>
    </w:pPr>
    <w:r w:rsidRPr="007C5F95">
      <w:rPr>
        <w:b w:val="0"/>
        <w:lang w:val="da-DK"/>
      </w:rPr>
      <w:t>Draft ECC REPORT XXX</w:t>
    </w:r>
  </w:p>
  <w:p w:rsidR="00F53945" w:rsidRPr="007C5F95" w:rsidRDefault="00F53945">
    <w:pPr>
      <w:pStyle w:val="En-tte"/>
      <w:rPr>
        <w:szCs w:val="16"/>
        <w:lang w:val="da-DK"/>
      </w:rPr>
    </w:pPr>
    <w:r>
      <w:rPr>
        <w:szCs w:val="16"/>
        <w:lang w:val="da-DK"/>
      </w:rPr>
      <w:t xml:space="preserve">Page </w:t>
    </w:r>
    <w:r>
      <w:fldChar w:fldCharType="begin"/>
    </w:r>
    <w:r>
      <w:instrText xml:space="preserve"> PAGE  \* Arabic  \* MERGEFORMAT </w:instrText>
    </w:r>
    <w:r>
      <w:fldChar w:fldCharType="separate"/>
    </w:r>
    <w:r w:rsidRPr="00F53945">
      <w:rPr>
        <w:noProof/>
        <w:szCs w:val="16"/>
        <w:lang w:val="da-DK"/>
      </w:rPr>
      <w:t>16</w:t>
    </w:r>
    <w:r>
      <w:rPr>
        <w:noProof/>
        <w:szCs w:val="16"/>
        <w:lang w:val="da-DK"/>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945" w:rsidRPr="007C5F95" w:rsidRDefault="00F53945" w:rsidP="008A54FC">
    <w:pPr>
      <w:pStyle w:val="En-tte"/>
      <w:jc w:val="right"/>
      <w:rPr>
        <w:b w:val="0"/>
        <w:lang w:val="da-DK"/>
      </w:rPr>
    </w:pPr>
    <w:r w:rsidRPr="007C5F95">
      <w:rPr>
        <w:b w:val="0"/>
        <w:lang w:val="da-DK"/>
      </w:rPr>
      <w:t>Draft ECC REPORT XXX</w:t>
    </w:r>
  </w:p>
  <w:p w:rsidR="00F53945" w:rsidRPr="007C5F95" w:rsidRDefault="00F53945" w:rsidP="008A54FC">
    <w:pPr>
      <w:pStyle w:val="En-tte"/>
      <w:jc w:val="right"/>
      <w:rPr>
        <w:szCs w:val="16"/>
        <w:lang w:val="da-DK"/>
      </w:rPr>
    </w:pPr>
    <w:r>
      <w:rPr>
        <w:szCs w:val="16"/>
        <w:lang w:val="da-DK"/>
      </w:rPr>
      <w:t xml:space="preserve">Page </w:t>
    </w:r>
    <w:r>
      <w:fldChar w:fldCharType="begin"/>
    </w:r>
    <w:r>
      <w:instrText xml:space="preserve"> PAGE  \* Arabic  \* MERGEFORMAT </w:instrText>
    </w:r>
    <w:r>
      <w:fldChar w:fldCharType="separate"/>
    </w:r>
    <w:r w:rsidRPr="00F53945">
      <w:rPr>
        <w:noProof/>
        <w:szCs w:val="16"/>
        <w:lang w:val="da-DK"/>
      </w:rPr>
      <w:t>17</w:t>
    </w:r>
    <w:r>
      <w:rPr>
        <w:noProof/>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945" w:rsidRDefault="00F53945">
    <w:pPr>
      <w:pStyle w:val="En-tte"/>
    </w:pPr>
    <w:r>
      <w:rPr>
        <w:noProof/>
        <w:szCs w:val="20"/>
        <w:lang w:val="fr-FR" w:eastAsia="fr-FR"/>
      </w:rPr>
      <w:drawing>
        <wp:anchor distT="0" distB="0" distL="114300" distR="114300" simplePos="0" relativeHeight="251658240" behindDoc="0" locked="0" layoutInCell="1" allowOverlap="1" wp14:anchorId="0116A120" wp14:editId="5C300564">
          <wp:simplePos x="0" y="0"/>
          <wp:positionH relativeFrom="page">
            <wp:posOffset>5717540</wp:posOffset>
          </wp:positionH>
          <wp:positionV relativeFrom="page">
            <wp:posOffset>648335</wp:posOffset>
          </wp:positionV>
          <wp:extent cx="1461770" cy="546100"/>
          <wp:effectExtent l="25400" t="0" r="11430" b="0"/>
          <wp:wrapNone/>
          <wp:docPr id="2"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Pr>
        <w:noProof/>
        <w:szCs w:val="20"/>
        <w:lang w:val="fr-FR" w:eastAsia="fr-FR"/>
      </w:rPr>
      <w:drawing>
        <wp:anchor distT="0" distB="0" distL="114300" distR="114300" simplePos="0" relativeHeight="251657216" behindDoc="0" locked="0" layoutInCell="1" allowOverlap="1" wp14:anchorId="394BB315" wp14:editId="28220532">
          <wp:simplePos x="0" y="0"/>
          <wp:positionH relativeFrom="page">
            <wp:posOffset>572770</wp:posOffset>
          </wp:positionH>
          <wp:positionV relativeFrom="page">
            <wp:posOffset>457200</wp:posOffset>
          </wp:positionV>
          <wp:extent cx="889000" cy="889000"/>
          <wp:effectExtent l="25400" t="0" r="0" b="0"/>
          <wp:wrapNone/>
          <wp:docPr id="1"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945" w:rsidRPr="007C5F95" w:rsidRDefault="00F53945">
    <w:pPr>
      <w:pStyle w:val="En-tte"/>
      <w:rPr>
        <w:szCs w:val="16"/>
        <w:lang w:val="da-DK"/>
      </w:rPr>
    </w:pPr>
    <w:r>
      <w:rPr>
        <w:lang w:val="da-DK"/>
      </w:rPr>
      <w:t>ECC REPORT &lt;N</w:t>
    </w:r>
    <w:r w:rsidRPr="007C5F95">
      <w:rPr>
        <w:lang w:val="da-DK"/>
      </w:rPr>
      <w:t>o</w:t>
    </w:r>
    <w:r>
      <w:rPr>
        <w:lang w:val="da-DK"/>
      </w:rPr>
      <w:t xml:space="preserve">&gt;- </w:t>
    </w:r>
    <w:r w:rsidRPr="007C5F95">
      <w:rPr>
        <w:lang w:val="da-DK"/>
      </w:rPr>
      <w:t xml:space="preserve"> </w:t>
    </w:r>
    <w:r>
      <w:rPr>
        <w:szCs w:val="16"/>
        <w:lang w:val="da-DK"/>
      </w:rPr>
      <w:t xml:space="preserve">Page </w:t>
    </w:r>
    <w:r>
      <w:fldChar w:fldCharType="begin"/>
    </w:r>
    <w:r>
      <w:instrText xml:space="preserve"> PAGE  \* Arabic  \* MERGEFORMAT </w:instrText>
    </w:r>
    <w:r>
      <w:fldChar w:fldCharType="separate"/>
    </w:r>
    <w:r w:rsidR="00755D08" w:rsidRPr="00755D08">
      <w:rPr>
        <w:noProof/>
        <w:szCs w:val="16"/>
        <w:lang w:val="da-DK"/>
      </w:rPr>
      <w:t>20</w:t>
    </w:r>
    <w:r>
      <w:rPr>
        <w:noProof/>
        <w:szCs w:val="16"/>
        <w:lang w:val="da-DK"/>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945" w:rsidRPr="007C5F95" w:rsidRDefault="00F53945" w:rsidP="008A54FC">
    <w:pPr>
      <w:pStyle w:val="En-tte"/>
      <w:jc w:val="right"/>
      <w:rPr>
        <w:szCs w:val="16"/>
        <w:lang w:val="da-DK"/>
      </w:rPr>
    </w:pPr>
    <w:r>
      <w:rPr>
        <w:lang w:val="da-DK"/>
      </w:rPr>
      <w:t xml:space="preserve">ECC REPORT &lt;No&gt;- </w:t>
    </w:r>
    <w:r w:rsidRPr="007C5F95">
      <w:rPr>
        <w:lang w:val="da-DK"/>
      </w:rPr>
      <w:t xml:space="preserve"> </w:t>
    </w:r>
    <w:r>
      <w:rPr>
        <w:szCs w:val="16"/>
        <w:lang w:val="da-DK"/>
      </w:rPr>
      <w:t xml:space="preserve">Page </w:t>
    </w:r>
    <w:r>
      <w:fldChar w:fldCharType="begin"/>
    </w:r>
    <w:r>
      <w:instrText xml:space="preserve"> PAGE  \* Arabic  \* MERGEFORMAT </w:instrText>
    </w:r>
    <w:r>
      <w:fldChar w:fldCharType="separate"/>
    </w:r>
    <w:r w:rsidR="00755D08" w:rsidRPr="00755D08">
      <w:rPr>
        <w:noProof/>
        <w:szCs w:val="16"/>
        <w:lang w:val="da-DK"/>
      </w:rPr>
      <w:t>21</w:t>
    </w:r>
    <w:r>
      <w:rPr>
        <w:noProof/>
        <w:szCs w:val="16"/>
        <w:lang w:val="da-DK"/>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945" w:rsidRPr="001223D0" w:rsidRDefault="00F53945" w:rsidP="008A54FC">
    <w:pPr>
      <w:pStyle w:val="En-tte"/>
      <w:rPr>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C3539"/>
    <w:multiLevelType w:val="multilevel"/>
    <w:tmpl w:val="FCEC7FBC"/>
    <w:numStyleLink w:val="ECCBullets"/>
  </w:abstractNum>
  <w:abstractNum w:abstractNumId="1">
    <w:nsid w:val="16706F19"/>
    <w:multiLevelType w:val="multilevel"/>
    <w:tmpl w:val="FCEC7FBC"/>
    <w:numStyleLink w:val="ECCBullets"/>
  </w:abstractNum>
  <w:abstractNum w:abstractNumId="2">
    <w:nsid w:val="16BD08F8"/>
    <w:multiLevelType w:val="multilevel"/>
    <w:tmpl w:val="FCEC7FBC"/>
    <w:styleLink w:val="ECCBullets"/>
    <w:lvl w:ilvl="0">
      <w:start w:val="1"/>
      <w:numFmt w:val="bullet"/>
      <w:lvlText w:val=""/>
      <w:lvlJc w:val="left"/>
      <w:pPr>
        <w:tabs>
          <w:tab w:val="num" w:pos="340"/>
        </w:tabs>
        <w:ind w:left="340" w:hanging="340"/>
      </w:pPr>
      <w:rPr>
        <w:rFonts w:ascii="Wingdings" w:hAnsi="Wingdings" w:hint="default"/>
        <w:color w:val="D2232A"/>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bullet"/>
      <w:lvlText w:val=""/>
      <w:lvlJc w:val="left"/>
      <w:pPr>
        <w:tabs>
          <w:tab w:val="num" w:pos="1361"/>
        </w:tabs>
        <w:ind w:left="1361" w:hanging="340"/>
      </w:pPr>
      <w:rPr>
        <w:rFonts w:ascii="Wingdings" w:hAnsi="Wingdings" w:hint="default"/>
        <w:color w:val="D2232A"/>
      </w:rPr>
    </w:lvl>
    <w:lvl w:ilvl="4">
      <w:start w:val="1"/>
      <w:numFmt w:val="bullet"/>
      <w:lvlText w:val="o"/>
      <w:lvlJc w:val="left"/>
      <w:pPr>
        <w:tabs>
          <w:tab w:val="num" w:pos="2579"/>
        </w:tabs>
        <w:ind w:left="2579" w:hanging="360"/>
      </w:pPr>
      <w:rPr>
        <w:rFonts w:ascii="Courier New" w:hAnsi="Courier New" w:hint="default"/>
      </w:rPr>
    </w:lvl>
    <w:lvl w:ilvl="5">
      <w:start w:val="1"/>
      <w:numFmt w:val="bullet"/>
      <w:lvlText w:val=""/>
      <w:lvlJc w:val="left"/>
      <w:pPr>
        <w:tabs>
          <w:tab w:val="num" w:pos="3299"/>
        </w:tabs>
        <w:ind w:left="3299" w:hanging="360"/>
      </w:pPr>
      <w:rPr>
        <w:rFonts w:ascii="Wingdings" w:hAnsi="Wingdings" w:hint="default"/>
      </w:rPr>
    </w:lvl>
    <w:lvl w:ilvl="6">
      <w:start w:val="1"/>
      <w:numFmt w:val="bullet"/>
      <w:lvlText w:val=""/>
      <w:lvlJc w:val="left"/>
      <w:pPr>
        <w:tabs>
          <w:tab w:val="num" w:pos="4019"/>
        </w:tabs>
        <w:ind w:left="4019" w:hanging="360"/>
      </w:pPr>
      <w:rPr>
        <w:rFonts w:ascii="Symbol" w:hAnsi="Symbol" w:hint="default"/>
      </w:rPr>
    </w:lvl>
    <w:lvl w:ilvl="7">
      <w:start w:val="1"/>
      <w:numFmt w:val="bullet"/>
      <w:lvlText w:val="o"/>
      <w:lvlJc w:val="left"/>
      <w:pPr>
        <w:tabs>
          <w:tab w:val="num" w:pos="4739"/>
        </w:tabs>
        <w:ind w:left="4739" w:hanging="360"/>
      </w:pPr>
      <w:rPr>
        <w:rFonts w:ascii="Courier New" w:hAnsi="Courier New" w:hint="default"/>
      </w:rPr>
    </w:lvl>
    <w:lvl w:ilvl="8">
      <w:start w:val="1"/>
      <w:numFmt w:val="bullet"/>
      <w:lvlText w:val=""/>
      <w:lvlJc w:val="left"/>
      <w:pPr>
        <w:tabs>
          <w:tab w:val="num" w:pos="5459"/>
        </w:tabs>
        <w:ind w:left="5459" w:hanging="360"/>
      </w:pPr>
      <w:rPr>
        <w:rFonts w:ascii="Wingdings" w:hAnsi="Wingdings" w:hint="default"/>
      </w:rPr>
    </w:lvl>
  </w:abstractNum>
  <w:abstractNum w:abstractNumId="3">
    <w:nsid w:val="1AEA27DC"/>
    <w:multiLevelType w:val="multilevel"/>
    <w:tmpl w:val="7A768A70"/>
    <w:lvl w:ilvl="0">
      <w:numFmt w:val="decimal"/>
      <w:lvlText w:val="%1"/>
      <w:lvlJc w:val="left"/>
      <w:pPr>
        <w:tabs>
          <w:tab w:val="num" w:pos="432"/>
        </w:tabs>
        <w:ind w:left="432" w:hanging="432"/>
      </w:pPr>
      <w:rPr>
        <w:rFonts w:ascii="Arial" w:hAnsi="Arial" w:cs="Times New Roman" w:hint="default"/>
        <w:b/>
        <w:i w:val="0"/>
        <w:color w:val="D2232A"/>
        <w:sz w:val="20"/>
        <w:szCs w:val="20"/>
      </w:rPr>
    </w:lvl>
    <w:lvl w:ilvl="1">
      <w:start w:val="1"/>
      <w:numFmt w:val="decimal"/>
      <w:lvlText w:val="%1.%2"/>
      <w:lvlJc w:val="left"/>
      <w:pPr>
        <w:tabs>
          <w:tab w:val="num" w:pos="1144"/>
        </w:tabs>
        <w:ind w:left="1144" w:hanging="576"/>
      </w:pPr>
      <w:rPr>
        <w:rFonts w:ascii="Arial" w:hAnsi="Arial" w:cs="Times New Roman" w:hint="default"/>
        <w:b/>
        <w:i w:val="0"/>
        <w:sz w:val="20"/>
      </w:rPr>
    </w:lvl>
    <w:lvl w:ilvl="2">
      <w:start w:val="1"/>
      <w:numFmt w:val="decimal"/>
      <w:lvlText w:val="%1.%2.%3"/>
      <w:lvlJc w:val="left"/>
      <w:pPr>
        <w:tabs>
          <w:tab w:val="num" w:pos="720"/>
        </w:tabs>
        <w:ind w:left="720" w:hanging="720"/>
      </w:pPr>
      <w:rPr>
        <w:rFonts w:ascii="Arial" w:hAnsi="Arial" w:cs="Times New Roman" w:hint="default"/>
        <w:b/>
        <w:i w:val="0"/>
        <w:caps w:val="0"/>
        <w:sz w:val="20"/>
        <w:szCs w:val="20"/>
      </w:rPr>
    </w:lvl>
    <w:lvl w:ilvl="3">
      <w:start w:val="1"/>
      <w:numFmt w:val="decimal"/>
      <w:lvlText w:val="%1.%2.%3.%4"/>
      <w:lvlJc w:val="left"/>
      <w:pPr>
        <w:tabs>
          <w:tab w:val="num" w:pos="864"/>
        </w:tabs>
        <w:ind w:left="864" w:hanging="864"/>
      </w:pPr>
      <w:rPr>
        <w:rFonts w:ascii="Arial" w:hAnsi="Arial" w:cs="Times New Roman" w:hint="default"/>
        <w:b w:val="0"/>
        <w:i/>
        <w:sz w:val="20"/>
      </w:rPr>
    </w:lvl>
    <w:lvl w:ilvl="4">
      <w:start w:val="1"/>
      <w:numFmt w:val="decimal"/>
      <w:lvlText w:val="%1.%2.%3.%4.%5"/>
      <w:lvlJc w:val="left"/>
      <w:pPr>
        <w:tabs>
          <w:tab w:val="num" w:pos="1008"/>
        </w:tabs>
        <w:ind w:left="1008" w:hanging="1008"/>
      </w:pPr>
      <w:rPr>
        <w:rFonts w:cs="Times New Roman" w:hint="default"/>
        <w:sz w:val="24"/>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nsid w:val="20A87A02"/>
    <w:multiLevelType w:val="hybridMultilevel"/>
    <w:tmpl w:val="3962F2D4"/>
    <w:lvl w:ilvl="0" w:tplc="6E3A243C">
      <w:start w:val="1"/>
      <w:numFmt w:val="bullet"/>
      <w:pStyle w:val="ECCParBulleted"/>
      <w:lvlText w:val=""/>
      <w:lvlJc w:val="left"/>
      <w:pPr>
        <w:tabs>
          <w:tab w:val="num" w:pos="340"/>
        </w:tabs>
        <w:ind w:left="340" w:hanging="340"/>
      </w:pPr>
      <w:rPr>
        <w:rFonts w:ascii="Wingdings" w:hAnsi="Wingdings" w:hint="default"/>
        <w:color w:val="D2232A"/>
      </w:rPr>
    </w:lvl>
    <w:lvl w:ilvl="1" w:tplc="04090003">
      <w:start w:val="1"/>
      <w:numFmt w:val="bullet"/>
      <w:lvlText w:val="o"/>
      <w:lvlJc w:val="left"/>
      <w:pPr>
        <w:tabs>
          <w:tab w:val="num" w:pos="419"/>
        </w:tabs>
        <w:ind w:left="419" w:hanging="360"/>
      </w:pPr>
      <w:rPr>
        <w:rFonts w:ascii="Courier New" w:hAnsi="Courier New" w:cs="Arial Bold" w:hint="default"/>
      </w:rPr>
    </w:lvl>
    <w:lvl w:ilvl="2" w:tplc="04090005">
      <w:start w:val="1"/>
      <w:numFmt w:val="bullet"/>
      <w:lvlText w:val=""/>
      <w:lvlJc w:val="left"/>
      <w:pPr>
        <w:tabs>
          <w:tab w:val="num" w:pos="1139"/>
        </w:tabs>
        <w:ind w:left="1139" w:hanging="360"/>
      </w:pPr>
      <w:rPr>
        <w:rFonts w:ascii="Wingdings" w:hAnsi="Wingdings" w:hint="default"/>
      </w:rPr>
    </w:lvl>
    <w:lvl w:ilvl="3" w:tplc="04090001">
      <w:start w:val="1"/>
      <w:numFmt w:val="bullet"/>
      <w:lvlText w:val=""/>
      <w:lvlJc w:val="left"/>
      <w:pPr>
        <w:tabs>
          <w:tab w:val="num" w:pos="1859"/>
        </w:tabs>
        <w:ind w:left="1859" w:hanging="360"/>
      </w:pPr>
      <w:rPr>
        <w:rFonts w:ascii="Symbol" w:hAnsi="Symbol" w:hint="default"/>
      </w:rPr>
    </w:lvl>
    <w:lvl w:ilvl="4" w:tplc="04090003">
      <w:start w:val="1"/>
      <w:numFmt w:val="bullet"/>
      <w:lvlText w:val="o"/>
      <w:lvlJc w:val="left"/>
      <w:pPr>
        <w:tabs>
          <w:tab w:val="num" w:pos="2579"/>
        </w:tabs>
        <w:ind w:left="2579" w:hanging="360"/>
      </w:pPr>
      <w:rPr>
        <w:rFonts w:ascii="Courier New" w:hAnsi="Courier New" w:cs="Arial Bold" w:hint="default"/>
      </w:rPr>
    </w:lvl>
    <w:lvl w:ilvl="5" w:tplc="04090005">
      <w:start w:val="1"/>
      <w:numFmt w:val="bullet"/>
      <w:lvlText w:val=""/>
      <w:lvlJc w:val="left"/>
      <w:pPr>
        <w:tabs>
          <w:tab w:val="num" w:pos="3299"/>
        </w:tabs>
        <w:ind w:left="3299" w:hanging="360"/>
      </w:pPr>
      <w:rPr>
        <w:rFonts w:ascii="Wingdings" w:hAnsi="Wingdings" w:hint="default"/>
      </w:rPr>
    </w:lvl>
    <w:lvl w:ilvl="6" w:tplc="04090001">
      <w:start w:val="1"/>
      <w:numFmt w:val="bullet"/>
      <w:lvlText w:val=""/>
      <w:lvlJc w:val="left"/>
      <w:pPr>
        <w:tabs>
          <w:tab w:val="num" w:pos="4019"/>
        </w:tabs>
        <w:ind w:left="4019" w:hanging="360"/>
      </w:pPr>
      <w:rPr>
        <w:rFonts w:ascii="Symbol" w:hAnsi="Symbol" w:hint="default"/>
      </w:rPr>
    </w:lvl>
    <w:lvl w:ilvl="7" w:tplc="04090003">
      <w:start w:val="1"/>
      <w:numFmt w:val="bullet"/>
      <w:lvlText w:val="o"/>
      <w:lvlJc w:val="left"/>
      <w:pPr>
        <w:tabs>
          <w:tab w:val="num" w:pos="4739"/>
        </w:tabs>
        <w:ind w:left="4739" w:hanging="360"/>
      </w:pPr>
      <w:rPr>
        <w:rFonts w:ascii="Courier New" w:hAnsi="Courier New" w:cs="Arial Bold" w:hint="default"/>
      </w:rPr>
    </w:lvl>
    <w:lvl w:ilvl="8" w:tplc="04090005" w:tentative="1">
      <w:start w:val="1"/>
      <w:numFmt w:val="bullet"/>
      <w:lvlText w:val=""/>
      <w:lvlJc w:val="left"/>
      <w:pPr>
        <w:tabs>
          <w:tab w:val="num" w:pos="5459"/>
        </w:tabs>
        <w:ind w:left="5459" w:hanging="360"/>
      </w:pPr>
      <w:rPr>
        <w:rFonts w:ascii="Wingdings" w:hAnsi="Wingdings" w:hint="default"/>
      </w:rPr>
    </w:lvl>
  </w:abstractNum>
  <w:abstractNum w:abstractNumId="5">
    <w:nsid w:val="212F4188"/>
    <w:multiLevelType w:val="multilevel"/>
    <w:tmpl w:val="169232EE"/>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2AC50144"/>
    <w:multiLevelType w:val="hybridMultilevel"/>
    <w:tmpl w:val="8ED639D2"/>
    <w:lvl w:ilvl="0" w:tplc="0809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8">
    <w:nsid w:val="3B57373D"/>
    <w:multiLevelType w:val="multilevel"/>
    <w:tmpl w:val="2034D866"/>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9">
    <w:nsid w:val="3D163F7A"/>
    <w:multiLevelType w:val="multilevel"/>
    <w:tmpl w:val="D95E6588"/>
    <w:lvl w:ilvl="0">
      <w:numFmt w:val="decimal"/>
      <w:pStyle w:val="Titre1"/>
      <w:lvlText w:val="%1"/>
      <w:lvlJc w:val="left"/>
      <w:pPr>
        <w:tabs>
          <w:tab w:val="num" w:pos="432"/>
        </w:tabs>
        <w:ind w:left="432" w:hanging="432"/>
      </w:pPr>
      <w:rPr>
        <w:rFonts w:ascii="Arial" w:hAnsi="Arial" w:hint="default"/>
        <w:b/>
        <w:i w:val="0"/>
        <w:color w:val="D2232A"/>
        <w:sz w:val="20"/>
        <w:szCs w:val="20"/>
      </w:rPr>
    </w:lvl>
    <w:lvl w:ilvl="1">
      <w:start w:val="1"/>
      <w:numFmt w:val="decimal"/>
      <w:pStyle w:val="Titre2"/>
      <w:lvlText w:val="%1.%2"/>
      <w:lvlJc w:val="left"/>
      <w:pPr>
        <w:tabs>
          <w:tab w:val="num" w:pos="576"/>
        </w:tabs>
        <w:ind w:left="576" w:hanging="576"/>
      </w:pPr>
      <w:rPr>
        <w:rFonts w:ascii="Arial" w:hAnsi="Arial" w:hint="default"/>
        <w:b/>
        <w:i w:val="0"/>
        <w:sz w:val="20"/>
      </w:rPr>
    </w:lvl>
    <w:lvl w:ilvl="2">
      <w:start w:val="1"/>
      <w:numFmt w:val="decimal"/>
      <w:pStyle w:val="Titre3"/>
      <w:lvlText w:val="%1.%2.%3"/>
      <w:lvlJc w:val="left"/>
      <w:pPr>
        <w:tabs>
          <w:tab w:val="num" w:pos="720"/>
        </w:tabs>
        <w:ind w:left="720" w:hanging="720"/>
      </w:pPr>
      <w:rPr>
        <w:rFonts w:ascii="Arial" w:hAnsi="Arial" w:hint="default"/>
        <w:b/>
        <w:i w:val="0"/>
        <w:caps w:val="0"/>
        <w:sz w:val="20"/>
        <w:szCs w:val="20"/>
      </w:rPr>
    </w:lvl>
    <w:lvl w:ilvl="3">
      <w:start w:val="1"/>
      <w:numFmt w:val="decimal"/>
      <w:pStyle w:val="Titre4"/>
      <w:lvlText w:val="%1.%2.%3.%4"/>
      <w:lvlJc w:val="left"/>
      <w:pPr>
        <w:tabs>
          <w:tab w:val="num" w:pos="864"/>
        </w:tabs>
        <w:ind w:left="864" w:hanging="864"/>
      </w:pPr>
      <w:rPr>
        <w:rFonts w:ascii="Arial" w:hAnsi="Arial" w:hint="default"/>
        <w:b w:val="0"/>
        <w:i/>
        <w:sz w:val="20"/>
      </w:rPr>
    </w:lvl>
    <w:lvl w:ilvl="4">
      <w:start w:val="1"/>
      <w:numFmt w:val="decimal"/>
      <w:pStyle w:val="Titre5"/>
      <w:lvlText w:val="%1.%2.%3.%4.%5"/>
      <w:lvlJc w:val="left"/>
      <w:pPr>
        <w:tabs>
          <w:tab w:val="num" w:pos="1008"/>
        </w:tabs>
        <w:ind w:left="1008" w:hanging="1008"/>
      </w:pPr>
      <w:rPr>
        <w:rFonts w:hint="default"/>
        <w:sz w:val="24"/>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10">
    <w:nsid w:val="3F891911"/>
    <w:multiLevelType w:val="hybridMultilevel"/>
    <w:tmpl w:val="CAD0092E"/>
    <w:lvl w:ilvl="0" w:tplc="AA7A784A">
      <w:start w:val="1"/>
      <w:numFmt w:val="bullet"/>
      <w:lvlText w:val="•"/>
      <w:lvlJc w:val="left"/>
      <w:pPr>
        <w:ind w:left="360" w:hanging="360"/>
      </w:pPr>
      <w:rPr>
        <w:rFonts w:ascii="Arial" w:hAnsi="Arial" w:hint="default"/>
        <w:sz w:val="2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46E6242A"/>
    <w:multiLevelType w:val="hybridMultilevel"/>
    <w:tmpl w:val="9146C086"/>
    <w:lvl w:ilvl="0" w:tplc="5D1C976A">
      <w:start w:val="1"/>
      <w:numFmt w:val="decimal"/>
      <w:pStyle w:val="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8262D09"/>
    <w:multiLevelType w:val="multilevel"/>
    <w:tmpl w:val="91FCFD4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3">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4E264B24"/>
    <w:multiLevelType w:val="multilevel"/>
    <w:tmpl w:val="8DB4B36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5">
    <w:nsid w:val="572326EE"/>
    <w:multiLevelType w:val="multilevel"/>
    <w:tmpl w:val="2034D866"/>
    <w:styleLink w:val="ECCNumbers-Bullets"/>
    <w:lvl w:ilvl="0">
      <w:start w:val="1"/>
      <w:numFmt w:val="decimal"/>
      <w:pStyle w:val="ECCNumberedBullets"/>
      <w:lvlText w:val="%1."/>
      <w:lvlJc w:val="left"/>
      <w:pPr>
        <w:tabs>
          <w:tab w:val="num" w:pos="340"/>
        </w:tabs>
        <w:ind w:left="340" w:hanging="340"/>
      </w:pPr>
      <w:rPr>
        <w:rFonts w:ascii="Arial" w:hAnsi="Arial"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16">
    <w:nsid w:val="5C8C20E3"/>
    <w:multiLevelType w:val="multilevel"/>
    <w:tmpl w:val="FCEC7FBC"/>
    <w:numStyleLink w:val="ECCBullets"/>
  </w:abstractNum>
  <w:abstractNum w:abstractNumId="17">
    <w:nsid w:val="5C9214DC"/>
    <w:multiLevelType w:val="multilevel"/>
    <w:tmpl w:val="0AD4A2D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18">
    <w:nsid w:val="5D1D6380"/>
    <w:multiLevelType w:val="multilevel"/>
    <w:tmpl w:val="8DB4B360"/>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9">
    <w:nsid w:val="66E36C84"/>
    <w:multiLevelType w:val="multilevel"/>
    <w:tmpl w:val="FCEC7FBC"/>
    <w:numStyleLink w:val="ECCBullets"/>
  </w:abstractNum>
  <w:abstractNum w:abstractNumId="20">
    <w:nsid w:val="6D7D324C"/>
    <w:multiLevelType w:val="multilevel"/>
    <w:tmpl w:val="FCEC7FBC"/>
    <w:numStyleLink w:val="ECCBullets"/>
  </w:abstractNum>
  <w:abstractNum w:abstractNumId="21">
    <w:nsid w:val="718B2FF0"/>
    <w:multiLevelType w:val="hybridMultilevel"/>
    <w:tmpl w:val="6B10DE5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nsid w:val="71EC350B"/>
    <w:multiLevelType w:val="multilevel"/>
    <w:tmpl w:val="CB1A2F26"/>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ascii="Arial" w:hAnsi="Arial" w:hint="default"/>
        <w:b/>
        <w:i w:val="0"/>
        <w:caps w:val="0"/>
        <w:sz w:val="20"/>
        <w:szCs w:val="20"/>
      </w:rPr>
    </w:lvl>
    <w:lvl w:ilvl="3">
      <w:start w:val="1"/>
      <w:numFmt w:val="decimal"/>
      <w:lvlText w:val="%1.%2.%3.%4"/>
      <w:lvlJc w:val="left"/>
      <w:pPr>
        <w:tabs>
          <w:tab w:val="num" w:pos="864"/>
        </w:tabs>
        <w:ind w:left="864" w:hanging="864"/>
      </w:pPr>
      <w:rPr>
        <w:rFonts w:ascii="Arial" w:hAnsi="Arial"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4"/>
  </w:num>
  <w:num w:numId="2">
    <w:abstractNumId w:val="9"/>
  </w:num>
  <w:num w:numId="3">
    <w:abstractNumId w:val="23"/>
  </w:num>
  <w:num w:numId="4">
    <w:abstractNumId w:val="13"/>
  </w:num>
  <w:num w:numId="5">
    <w:abstractNumId w:val="5"/>
  </w:num>
  <w:num w:numId="6">
    <w:abstractNumId w:val="11"/>
  </w:num>
  <w:num w:numId="7">
    <w:abstractNumId w:val="11"/>
    <w:lvlOverride w:ilvl="0">
      <w:startOverride w:val="1"/>
    </w:lvlOverride>
  </w:num>
  <w:num w:numId="8">
    <w:abstractNumId w:val="2"/>
  </w:num>
  <w:num w:numId="9">
    <w:abstractNumId w:val="19"/>
  </w:num>
  <w:num w:numId="10">
    <w:abstractNumId w:val="17"/>
  </w:num>
  <w:num w:numId="11">
    <w:abstractNumId w:val="12"/>
  </w:num>
  <w:num w:numId="12">
    <w:abstractNumId w:val="8"/>
  </w:num>
  <w:num w:numId="13">
    <w:abstractNumId w:val="18"/>
  </w:num>
  <w:num w:numId="14">
    <w:abstractNumId w:val="15"/>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0"/>
  </w:num>
  <w:num w:numId="20">
    <w:abstractNumId w:val="16"/>
  </w:num>
  <w:num w:numId="21">
    <w:abstractNumId w:val="1"/>
  </w:num>
  <w:num w:numId="22">
    <w:abstractNumId w:val="21"/>
  </w:num>
  <w:num w:numId="23">
    <w:abstractNumId w:val="7"/>
  </w:num>
  <w:num w:numId="24">
    <w:abstractNumId w:val="10"/>
  </w:num>
  <w:num w:numId="25">
    <w:abstractNumId w:val="3"/>
  </w:num>
  <w:num w:numId="26">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hyphenationZone w:val="425"/>
  <w:evenAndOddHeaders/>
  <w:characterSpacingControl w:val="doNotCompress"/>
  <w:hdrShapeDefaults>
    <o:shapedefaults v:ext="edit" spidmax="2049">
      <o:colormru v:ext="edit" colors="#7b6c58,#887e6e,#b0a696"/>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2D4"/>
    <w:rsid w:val="00067793"/>
    <w:rsid w:val="000C028F"/>
    <w:rsid w:val="000E42F5"/>
    <w:rsid w:val="00274F84"/>
    <w:rsid w:val="00550D79"/>
    <w:rsid w:val="00557B5A"/>
    <w:rsid w:val="00594186"/>
    <w:rsid w:val="00595E8F"/>
    <w:rsid w:val="005C10EB"/>
    <w:rsid w:val="00734A4F"/>
    <w:rsid w:val="00755D08"/>
    <w:rsid w:val="00763BA3"/>
    <w:rsid w:val="00767BB2"/>
    <w:rsid w:val="00797D4C"/>
    <w:rsid w:val="008A54FC"/>
    <w:rsid w:val="008B70CD"/>
    <w:rsid w:val="009E47EB"/>
    <w:rsid w:val="00A076B5"/>
    <w:rsid w:val="00A95ACB"/>
    <w:rsid w:val="00AA086A"/>
    <w:rsid w:val="00AA17CC"/>
    <w:rsid w:val="00B30D3B"/>
    <w:rsid w:val="00B432D4"/>
    <w:rsid w:val="00C324FE"/>
    <w:rsid w:val="00DF2C67"/>
    <w:rsid w:val="00E71AE7"/>
    <w:rsid w:val="00EA6088"/>
    <w:rsid w:val="00F53945"/>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metricconverter"/>
  <w:shapeDefaults>
    <o:shapedefaults v:ext="edit" spidmax="2049">
      <o:colormru v:ext="edit" colors="#7b6c58,#887e6e,#b0a69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rPr>
  </w:style>
  <w:style w:type="paragraph" w:styleId="Titre1">
    <w:name w:val="heading 1"/>
    <w:aliases w:val="ECC Heading 1"/>
    <w:basedOn w:val="Normal"/>
    <w:next w:val="ECCParagraph"/>
    <w:autoRedefine/>
    <w:uiPriority w:val="99"/>
    <w:qFormat/>
    <w:rsid w:val="00F53945"/>
    <w:pPr>
      <w:numPr>
        <w:numId w:val="2"/>
      </w:numPr>
      <w:spacing w:after="240"/>
      <w:outlineLvl w:val="0"/>
    </w:pPr>
    <w:rPr>
      <w:rFonts w:cs="Arial"/>
      <w:b/>
      <w:bCs/>
      <w:caps/>
      <w:color w:val="D2232A"/>
      <w:kern w:val="32"/>
      <w:szCs w:val="32"/>
      <w:lang w:val="en-GB"/>
    </w:rPr>
  </w:style>
  <w:style w:type="paragraph" w:styleId="Titre2">
    <w:name w:val="heading 2"/>
    <w:aliases w:val="ECC Heading 2"/>
    <w:basedOn w:val="Normal"/>
    <w:next w:val="ECCParagraph"/>
    <w:autoRedefine/>
    <w:uiPriority w:val="99"/>
    <w:qFormat/>
    <w:rsid w:val="00F53945"/>
    <w:pPr>
      <w:keepNext/>
      <w:numPr>
        <w:ilvl w:val="1"/>
        <w:numId w:val="2"/>
      </w:numPr>
      <w:spacing w:before="480" w:after="240"/>
      <w:outlineLvl w:val="1"/>
    </w:pPr>
    <w:rPr>
      <w:rFonts w:cs="Arial"/>
      <w:b/>
      <w:bCs/>
      <w:iCs/>
      <w:caps/>
      <w:szCs w:val="28"/>
    </w:rPr>
  </w:style>
  <w:style w:type="paragraph" w:styleId="Titre3">
    <w:name w:val="heading 3"/>
    <w:aliases w:val="ECC Heading 3"/>
    <w:basedOn w:val="Normal"/>
    <w:next w:val="ECCParagraph"/>
    <w:autoRedefine/>
    <w:qFormat/>
    <w:rsid w:val="00F53945"/>
    <w:pPr>
      <w:keepNext/>
      <w:numPr>
        <w:ilvl w:val="2"/>
        <w:numId w:val="2"/>
      </w:numPr>
      <w:spacing w:before="360" w:after="120"/>
      <w:outlineLvl w:val="2"/>
    </w:pPr>
    <w:rPr>
      <w:rFonts w:cs="Arial"/>
      <w:b/>
      <w:bCs/>
      <w:szCs w:val="26"/>
    </w:rPr>
  </w:style>
  <w:style w:type="paragraph" w:styleId="Titre4">
    <w:name w:val="heading 4"/>
    <w:aliases w:val="ECC Heading 4"/>
    <w:basedOn w:val="Normal"/>
    <w:next w:val="ECCParagraph"/>
    <w:autoRedefine/>
    <w:uiPriority w:val="99"/>
    <w:qFormat/>
    <w:rsid w:val="00767BB2"/>
    <w:pPr>
      <w:numPr>
        <w:ilvl w:val="3"/>
        <w:numId w:val="2"/>
      </w:numPr>
      <w:spacing w:before="360" w:after="120"/>
      <w:outlineLvl w:val="3"/>
    </w:pPr>
    <w:rPr>
      <w:rFonts w:cs="Arial"/>
      <w:bCs/>
      <w:i/>
      <w:color w:val="D2232A"/>
      <w:szCs w:val="26"/>
    </w:rPr>
  </w:style>
  <w:style w:type="paragraph" w:styleId="Titre5">
    <w:name w:val="heading 5"/>
    <w:basedOn w:val="Normal"/>
    <w:next w:val="Normal"/>
    <w:uiPriority w:val="99"/>
    <w:qFormat/>
    <w:rsid w:val="009E47EB"/>
    <w:pPr>
      <w:numPr>
        <w:ilvl w:val="4"/>
        <w:numId w:val="2"/>
      </w:numPr>
      <w:spacing w:before="240" w:after="60"/>
      <w:outlineLvl w:val="4"/>
    </w:pPr>
    <w:rPr>
      <w:b/>
      <w:bCs/>
      <w:i/>
      <w:iCs/>
      <w:sz w:val="26"/>
      <w:szCs w:val="26"/>
    </w:rPr>
  </w:style>
  <w:style w:type="paragraph" w:styleId="Titre6">
    <w:name w:val="heading 6"/>
    <w:basedOn w:val="Normal"/>
    <w:next w:val="Normal"/>
    <w:uiPriority w:val="99"/>
    <w:qFormat/>
    <w:rsid w:val="009E47EB"/>
    <w:pPr>
      <w:numPr>
        <w:ilvl w:val="5"/>
        <w:numId w:val="2"/>
      </w:numPr>
      <w:spacing w:before="240" w:after="60"/>
      <w:outlineLvl w:val="5"/>
    </w:pPr>
    <w:rPr>
      <w:b/>
      <w:bCs/>
      <w:sz w:val="22"/>
      <w:szCs w:val="22"/>
    </w:rPr>
  </w:style>
  <w:style w:type="paragraph" w:styleId="Titre7">
    <w:name w:val="heading 7"/>
    <w:basedOn w:val="Normal"/>
    <w:next w:val="Normal"/>
    <w:uiPriority w:val="99"/>
    <w:qFormat/>
    <w:rsid w:val="009E47EB"/>
    <w:pPr>
      <w:numPr>
        <w:ilvl w:val="6"/>
        <w:numId w:val="2"/>
      </w:numPr>
      <w:spacing w:before="240" w:after="60"/>
      <w:outlineLvl w:val="6"/>
    </w:pPr>
    <w:rPr>
      <w:sz w:val="24"/>
    </w:rPr>
  </w:style>
  <w:style w:type="paragraph" w:styleId="Titre8">
    <w:name w:val="heading 8"/>
    <w:basedOn w:val="Normal"/>
    <w:next w:val="Normal"/>
    <w:uiPriority w:val="99"/>
    <w:qFormat/>
    <w:rsid w:val="009E47EB"/>
    <w:pPr>
      <w:numPr>
        <w:ilvl w:val="7"/>
        <w:numId w:val="2"/>
      </w:numPr>
      <w:spacing w:before="240" w:after="60"/>
      <w:outlineLvl w:val="7"/>
    </w:pPr>
    <w:rPr>
      <w:i/>
      <w:iCs/>
      <w:sz w:val="24"/>
    </w:rPr>
  </w:style>
  <w:style w:type="paragraph" w:styleId="Titre9">
    <w:name w:val="heading 9"/>
    <w:basedOn w:val="Normal"/>
    <w:next w:val="Normal"/>
    <w:uiPriority w:val="99"/>
    <w:qFormat/>
    <w:rsid w:val="009E47EB"/>
    <w:pPr>
      <w:numPr>
        <w:ilvl w:val="8"/>
        <w:numId w:val="2"/>
      </w:numPr>
      <w:spacing w:before="240" w:after="60"/>
      <w:outlineLvl w:val="8"/>
    </w:pPr>
    <w:rPr>
      <w:rFonts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uiPriority w:val="99"/>
    <w:rsid w:val="00CB0AD7"/>
    <w:pPr>
      <w:numPr>
        <w:numId w:val="1"/>
      </w:numPr>
      <w:spacing w:after="0"/>
    </w:pPr>
  </w:style>
  <w:style w:type="paragraph" w:styleId="En-tte">
    <w:name w:val="header"/>
    <w:basedOn w:val="Normal"/>
    <w:link w:val="En-tteCar"/>
    <w:uiPriority w:val="99"/>
    <w:semiHidden/>
    <w:rsid w:val="00C95C7C"/>
    <w:pPr>
      <w:tabs>
        <w:tab w:val="center" w:pos="4320"/>
        <w:tab w:val="right" w:pos="8640"/>
      </w:tabs>
    </w:pPr>
    <w:rPr>
      <w:b/>
      <w:sz w:val="16"/>
    </w:rPr>
  </w:style>
  <w:style w:type="paragraph" w:styleId="Pieddepage">
    <w:name w:val="footer"/>
    <w:basedOn w:val="Normal"/>
    <w:semiHidden/>
    <w:rsid w:val="0077244E"/>
    <w:pPr>
      <w:tabs>
        <w:tab w:val="center" w:pos="4320"/>
        <w:tab w:val="right" w:pos="8640"/>
      </w:tabs>
    </w:pPr>
  </w:style>
  <w:style w:type="paragraph" w:customStyle="1" w:styleId="ECCAnnexheading1">
    <w:name w:val="ECC Annex heading1"/>
    <w:basedOn w:val="Titre1"/>
    <w:next w:val="ECCParagraph"/>
    <w:uiPriority w:val="99"/>
    <w:rsid w:val="00550D79"/>
    <w:pPr>
      <w:numPr>
        <w:numId w:val="5"/>
      </w:numPr>
    </w:pPr>
  </w:style>
  <w:style w:type="paragraph" w:styleId="TM1">
    <w:name w:val="toc 1"/>
    <w:basedOn w:val="Normal"/>
    <w:next w:val="Normal"/>
    <w:autoRedefine/>
    <w:uiPriority w:val="39"/>
    <w:rsid w:val="00EA7A83"/>
    <w:pPr>
      <w:tabs>
        <w:tab w:val="left" w:pos="360"/>
        <w:tab w:val="right" w:leader="dot" w:pos="9629"/>
      </w:tabs>
      <w:spacing w:before="240"/>
    </w:pPr>
    <w:rPr>
      <w:b/>
      <w:caps/>
    </w:rPr>
  </w:style>
  <w:style w:type="character" w:styleId="Lienhypertexte">
    <w:name w:val="Hyperlink"/>
    <w:basedOn w:val="Policepardfaut"/>
    <w:uiPriority w:val="99"/>
    <w:rsid w:val="00A82384"/>
    <w:rPr>
      <w:color w:val="0000FF"/>
      <w:u w:val="single"/>
    </w:rPr>
  </w:style>
  <w:style w:type="paragraph" w:styleId="TM2">
    <w:name w:val="toc 2"/>
    <w:basedOn w:val="Normal"/>
    <w:next w:val="Normal"/>
    <w:autoRedefine/>
    <w:uiPriority w:val="39"/>
    <w:rsid w:val="00EA7A83"/>
    <w:pPr>
      <w:tabs>
        <w:tab w:val="left" w:pos="900"/>
        <w:tab w:val="right" w:leader="dot" w:pos="9629"/>
      </w:tabs>
      <w:ind w:left="360"/>
    </w:pPr>
  </w:style>
  <w:style w:type="paragraph" w:styleId="TM3">
    <w:name w:val="toc 3"/>
    <w:basedOn w:val="Normal"/>
    <w:next w:val="Normal"/>
    <w:autoRedefine/>
    <w:uiPriority w:val="39"/>
    <w:rsid w:val="00CF7259"/>
    <w:pPr>
      <w:tabs>
        <w:tab w:val="left" w:pos="1440"/>
        <w:tab w:val="right" w:leader="dot" w:pos="9629"/>
      </w:tabs>
      <w:ind w:left="900"/>
    </w:pPr>
  </w:style>
  <w:style w:type="paragraph" w:styleId="TM4">
    <w:name w:val="toc 4"/>
    <w:basedOn w:val="Normal"/>
    <w:next w:val="Normal"/>
    <w:autoRedefine/>
    <w:uiPriority w:val="39"/>
    <w:rsid w:val="007D1E37"/>
    <w:pPr>
      <w:tabs>
        <w:tab w:val="left" w:pos="2340"/>
        <w:tab w:val="right" w:leader="dot" w:pos="9629"/>
      </w:tabs>
      <w:ind w:left="1440"/>
    </w:pPr>
    <w:rPr>
      <w:i/>
    </w:rPr>
  </w:style>
  <w:style w:type="table" w:styleId="Grilledutableau">
    <w:name w:val="Table Grid"/>
    <w:basedOn w:val="TableauNormal"/>
    <w:semiHidden/>
    <w:rsid w:val="006F49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CFiguretitle">
    <w:name w:val="ECC Figure title"/>
    <w:basedOn w:val="ECCParagraph"/>
    <w:next w:val="ECCParagraph"/>
    <w:rsid w:val="00C95C7C"/>
    <w:pPr>
      <w:numPr>
        <w:numId w:val="4"/>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3"/>
      </w:numPr>
      <w:spacing w:before="360" w:after="240"/>
    </w:pPr>
  </w:style>
  <w:style w:type="paragraph" w:customStyle="1" w:styleId="ECCFootnote">
    <w:name w:val="ECC Footnote"/>
    <w:basedOn w:val="Normal"/>
    <w:autoRedefine/>
    <w:rsid w:val="008935B9"/>
    <w:pPr>
      <w:ind w:left="454" w:hanging="454"/>
    </w:pPr>
    <w:rPr>
      <w:sz w:val="16"/>
    </w:rPr>
  </w:style>
  <w:style w:type="paragraph" w:styleId="Notedebasdepage">
    <w:name w:val="footnote text"/>
    <w:aliases w:val="ALTS FOOTNOTE,Footnote Text Char1,Footnote Text Char Char1,Footnote Text Char4 Char Char,Footnote Text Char1 Char1 Char1 Char,Footnote Text Char Char1 Char1 Char Char,Footnote Text Char1 Char1 Char1 Char Char Char1,DNV-FT,DN"/>
    <w:basedOn w:val="Normal"/>
    <w:link w:val="NotedebasdepageCar"/>
    <w:uiPriority w:val="99"/>
    <w:rsid w:val="008935B9"/>
    <w:rPr>
      <w:szCs w:val="20"/>
    </w:rPr>
  </w:style>
  <w:style w:type="character" w:styleId="Appelnotedebasdep">
    <w:name w:val="footnote reference"/>
    <w:aliases w:val="Appel note de bas de p,Footnote Reference/,Footnote"/>
    <w:basedOn w:val="Policepardfaut"/>
    <w:semiHidden/>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uiPriority w:val="99"/>
    <w:rsid w:val="0031313E"/>
    <w:pPr>
      <w:spacing w:after="0"/>
      <w:ind w:left="284" w:hanging="284"/>
    </w:pPr>
    <w:rPr>
      <w:sz w:val="16"/>
      <w:szCs w:val="16"/>
    </w:rPr>
  </w:style>
  <w:style w:type="paragraph" w:customStyle="1" w:styleId="reference">
    <w:name w:val="reference"/>
    <w:basedOn w:val="Normal"/>
    <w:uiPriority w:val="99"/>
    <w:rsid w:val="00A50B64"/>
    <w:pPr>
      <w:numPr>
        <w:numId w:val="6"/>
      </w:numPr>
    </w:pPr>
    <w:rPr>
      <w:lang w:eastAsia="ja-JP"/>
    </w:rPr>
  </w:style>
  <w:style w:type="paragraph" w:customStyle="1" w:styleId="ECCAnnexheading2">
    <w:name w:val="ECC Annex heading2"/>
    <w:basedOn w:val="Normal"/>
    <w:next w:val="ECCParagraph"/>
    <w:uiPriority w:val="99"/>
    <w:rsid w:val="00C95C7C"/>
    <w:pPr>
      <w:numPr>
        <w:ilvl w:val="1"/>
        <w:numId w:val="5"/>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uiPriority w:val="99"/>
    <w:rsid w:val="00485B05"/>
    <w:pPr>
      <w:numPr>
        <w:ilvl w:val="2"/>
        <w:numId w:val="5"/>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uiPriority w:val="99"/>
    <w:rsid w:val="00C95C7C"/>
    <w:pPr>
      <w:numPr>
        <w:ilvl w:val="3"/>
        <w:numId w:val="5"/>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080D86"/>
    <w:pPr>
      <w:spacing w:before="120" w:after="120"/>
      <w:ind w:left="3402"/>
    </w:pPr>
    <w:rPr>
      <w:bCs/>
      <w:sz w:val="18"/>
    </w:rPr>
  </w:style>
  <w:style w:type="paragraph" w:customStyle="1" w:styleId="Reporttitledescription">
    <w:name w:val="Report title/description"/>
    <w:basedOn w:val="Normal"/>
    <w:rsid w:val="009B4646"/>
    <w:pPr>
      <w:spacing w:before="600" w:line="288" w:lineRule="auto"/>
      <w:ind w:left="3402"/>
    </w:pPr>
    <w:rPr>
      <w:sz w:val="24"/>
    </w:rPr>
  </w:style>
  <w:style w:type="paragraph" w:styleId="Lgende">
    <w:name w:val="caption"/>
    <w:basedOn w:val="Normal"/>
    <w:next w:val="Normal"/>
    <w:uiPriority w:val="99"/>
    <w:unhideWhenUsed/>
    <w:qFormat/>
    <w:rsid w:val="00C4710C"/>
    <w:pPr>
      <w:spacing w:before="240" w:after="240"/>
      <w:jc w:val="center"/>
    </w:pPr>
    <w:rPr>
      <w:b/>
      <w:bCs/>
      <w:color w:val="D2232A"/>
      <w:szCs w:val="20"/>
    </w:rPr>
  </w:style>
  <w:style w:type="numbering" w:customStyle="1" w:styleId="ECCBullets">
    <w:name w:val="ECC Bullets"/>
    <w:basedOn w:val="Aucuneliste"/>
    <w:rsid w:val="00B113AE"/>
    <w:pPr>
      <w:numPr>
        <w:numId w:val="8"/>
      </w:numPr>
    </w:pPr>
  </w:style>
  <w:style w:type="paragraph" w:customStyle="1" w:styleId="ECCNumbered-LetteredList">
    <w:name w:val="ECC Numbered-Lettered List"/>
    <w:basedOn w:val="Normal"/>
    <w:qFormat/>
    <w:rsid w:val="00DF2C67"/>
    <w:pPr>
      <w:numPr>
        <w:numId w:val="16"/>
      </w:numPr>
    </w:pPr>
  </w:style>
  <w:style w:type="paragraph" w:customStyle="1" w:styleId="ECCNumberedBullets">
    <w:name w:val="ECC Numbered Bullets"/>
    <w:basedOn w:val="Normal"/>
    <w:uiPriority w:val="99"/>
    <w:rsid w:val="00DF2C67"/>
    <w:pPr>
      <w:numPr>
        <w:numId w:val="14"/>
      </w:numPr>
    </w:pPr>
  </w:style>
  <w:style w:type="paragraph" w:styleId="Textedebulles">
    <w:name w:val="Balloon Text"/>
    <w:basedOn w:val="Normal"/>
    <w:link w:val="TextedebullesCar"/>
    <w:uiPriority w:val="99"/>
    <w:semiHidden/>
    <w:unhideWhenUsed/>
    <w:rsid w:val="009E47EB"/>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9E47EB"/>
    <w:rPr>
      <w:rFonts w:ascii="Lucida Grande" w:hAnsi="Lucida Grande" w:cs="Lucida Grande"/>
      <w:sz w:val="18"/>
      <w:szCs w:val="18"/>
      <w:lang w:val="en-US"/>
    </w:rPr>
  </w:style>
  <w:style w:type="numbering" w:customStyle="1" w:styleId="ECCNumbers-Bullets">
    <w:name w:val="ECC Numbers-Bullets"/>
    <w:rsid w:val="00DF2C67"/>
    <w:pPr>
      <w:numPr>
        <w:numId w:val="14"/>
      </w:numPr>
    </w:pPr>
  </w:style>
  <w:style w:type="numbering" w:customStyle="1" w:styleId="ECCNumbers-Letters">
    <w:name w:val="ECC Numbers-Letters"/>
    <w:uiPriority w:val="99"/>
    <w:rsid w:val="00DF2C67"/>
    <w:pPr>
      <w:numPr>
        <w:numId w:val="16"/>
      </w:numPr>
    </w:pPr>
  </w:style>
  <w:style w:type="character" w:customStyle="1" w:styleId="NotedebasdepageCar">
    <w:name w:val="Note de bas de page Car"/>
    <w:aliases w:val="ALTS FOOTNOTE Car,Footnote Text Char1 Car,Footnote Text Char Char1 Car,Footnote Text Char4 Char Char Car,Footnote Text Char1 Char1 Char1 Char Car,Footnote Text Char Char1 Char1 Char Char Car,DNV-FT Car,DN Car"/>
    <w:link w:val="Notedebasdepage"/>
    <w:uiPriority w:val="99"/>
    <w:locked/>
    <w:rsid w:val="00F53945"/>
    <w:rPr>
      <w:rFonts w:ascii="Arial" w:hAnsi="Arial"/>
      <w:lang w:val="en-US"/>
    </w:rPr>
  </w:style>
  <w:style w:type="paragraph" w:customStyle="1" w:styleId="ListParagraph1">
    <w:name w:val="List Paragraph1"/>
    <w:basedOn w:val="Normal"/>
    <w:qFormat/>
    <w:rsid w:val="00F53945"/>
    <w:pPr>
      <w:ind w:left="720"/>
      <w:jc w:val="both"/>
    </w:pPr>
    <w:rPr>
      <w:rFonts w:ascii="Times New Roman" w:hAnsi="Times New Roman"/>
      <w:sz w:val="22"/>
      <w:szCs w:val="22"/>
      <w:lang w:val="en-GB" w:eastAsia="de-DE"/>
    </w:rPr>
  </w:style>
  <w:style w:type="paragraph" w:customStyle="1" w:styleId="Sansinterligne1">
    <w:name w:val="Sans interligne1"/>
    <w:uiPriority w:val="99"/>
    <w:qFormat/>
    <w:rsid w:val="00F53945"/>
    <w:rPr>
      <w:sz w:val="24"/>
      <w:szCs w:val="24"/>
      <w:lang w:val="fr-FR" w:eastAsia="fr-FR"/>
    </w:rPr>
  </w:style>
  <w:style w:type="character" w:customStyle="1" w:styleId="En-tteCar">
    <w:name w:val="En-tête Car"/>
    <w:link w:val="En-tte"/>
    <w:uiPriority w:val="99"/>
    <w:semiHidden/>
    <w:locked/>
    <w:rsid w:val="00F53945"/>
    <w:rPr>
      <w:rFonts w:ascii="Arial" w:hAnsi="Arial"/>
      <w:b/>
      <w:sz w:val="16"/>
      <w:szCs w:val="24"/>
      <w:lang w:val="en-US"/>
    </w:rPr>
  </w:style>
  <w:style w:type="character" w:customStyle="1" w:styleId="NoteChar">
    <w:name w:val="Note Char"/>
    <w:link w:val="Note"/>
    <w:uiPriority w:val="99"/>
    <w:locked/>
    <w:rsid w:val="00F53945"/>
    <w:rPr>
      <w:lang w:val="fr-FR"/>
    </w:rPr>
  </w:style>
  <w:style w:type="paragraph" w:customStyle="1" w:styleId="Note">
    <w:name w:val="Note"/>
    <w:basedOn w:val="Normal"/>
    <w:link w:val="NoteChar"/>
    <w:uiPriority w:val="99"/>
    <w:rsid w:val="00F53945"/>
    <w:pPr>
      <w:tabs>
        <w:tab w:val="left" w:pos="284"/>
        <w:tab w:val="left" w:pos="1134"/>
        <w:tab w:val="left" w:pos="1871"/>
        <w:tab w:val="left" w:pos="2268"/>
      </w:tabs>
      <w:overflowPunct w:val="0"/>
      <w:autoSpaceDE w:val="0"/>
      <w:autoSpaceDN w:val="0"/>
      <w:adjustRightInd w:val="0"/>
      <w:spacing w:before="160"/>
      <w:jc w:val="both"/>
    </w:pPr>
    <w:rPr>
      <w:rFonts w:ascii="Times New Roman" w:hAnsi="Times New Roman"/>
      <w:szCs w:val="20"/>
      <w:lang w:val="fr-FR"/>
    </w:rPr>
  </w:style>
  <w:style w:type="character" w:customStyle="1" w:styleId="Artdef">
    <w:name w:val="Art_def"/>
    <w:uiPriority w:val="99"/>
    <w:rsid w:val="00F53945"/>
    <w:rPr>
      <w:rFonts w:cs="Times New Roman"/>
      <w:b/>
      <w:bCs/>
      <w:color w:val="auto"/>
    </w:rPr>
  </w:style>
  <w:style w:type="paragraph" w:customStyle="1" w:styleId="B1">
    <w:name w:val="B1+"/>
    <w:basedOn w:val="Normal"/>
    <w:uiPriority w:val="99"/>
    <w:rsid w:val="00F53945"/>
    <w:pPr>
      <w:numPr>
        <w:numId w:val="27"/>
      </w:numPr>
      <w:overflowPunct w:val="0"/>
      <w:autoSpaceDE w:val="0"/>
      <w:autoSpaceDN w:val="0"/>
      <w:adjustRightInd w:val="0"/>
      <w:spacing w:after="180"/>
    </w:pPr>
    <w:rPr>
      <w:rFonts w:ascii="Times New Roman" w:hAnsi="Times New Roman"/>
      <w:szCs w:val="20"/>
      <w:lang w:val="en-GB"/>
    </w:rPr>
  </w:style>
  <w:style w:type="paragraph" w:customStyle="1" w:styleId="FigureCaption">
    <w:name w:val="Figure Caption"/>
    <w:basedOn w:val="Normal"/>
    <w:next w:val="Corpsdetexte"/>
    <w:uiPriority w:val="99"/>
    <w:rsid w:val="00F53945"/>
    <w:pPr>
      <w:keepNext/>
      <w:keepLines/>
      <w:spacing w:before="360" w:after="120" w:line="288" w:lineRule="auto"/>
    </w:pPr>
    <w:rPr>
      <w:b/>
      <w:color w:val="939598"/>
      <w:lang w:val="en-GB" w:eastAsia="en-GB"/>
    </w:rPr>
  </w:style>
  <w:style w:type="paragraph" w:styleId="Corpsdetexte">
    <w:name w:val="Body Text"/>
    <w:basedOn w:val="Normal"/>
    <w:link w:val="CorpsdetexteCar"/>
    <w:uiPriority w:val="99"/>
    <w:semiHidden/>
    <w:unhideWhenUsed/>
    <w:rsid w:val="00F53945"/>
    <w:pPr>
      <w:spacing w:after="120"/>
    </w:pPr>
  </w:style>
  <w:style w:type="character" w:customStyle="1" w:styleId="CorpsdetexteCar">
    <w:name w:val="Corps de texte Car"/>
    <w:basedOn w:val="Policepardfaut"/>
    <w:link w:val="Corpsdetexte"/>
    <w:uiPriority w:val="99"/>
    <w:semiHidden/>
    <w:rsid w:val="00F53945"/>
    <w:rPr>
      <w:rFonts w:ascii="Arial" w:hAnsi="Arial"/>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rPr>
  </w:style>
  <w:style w:type="paragraph" w:styleId="Titre1">
    <w:name w:val="heading 1"/>
    <w:aliases w:val="ECC Heading 1"/>
    <w:basedOn w:val="Normal"/>
    <w:next w:val="ECCParagraph"/>
    <w:autoRedefine/>
    <w:uiPriority w:val="99"/>
    <w:qFormat/>
    <w:rsid w:val="00F53945"/>
    <w:pPr>
      <w:numPr>
        <w:numId w:val="2"/>
      </w:numPr>
      <w:spacing w:after="240"/>
      <w:outlineLvl w:val="0"/>
    </w:pPr>
    <w:rPr>
      <w:rFonts w:cs="Arial"/>
      <w:b/>
      <w:bCs/>
      <w:caps/>
      <w:color w:val="D2232A"/>
      <w:kern w:val="32"/>
      <w:szCs w:val="32"/>
      <w:lang w:val="en-GB"/>
    </w:rPr>
  </w:style>
  <w:style w:type="paragraph" w:styleId="Titre2">
    <w:name w:val="heading 2"/>
    <w:aliases w:val="ECC Heading 2"/>
    <w:basedOn w:val="Normal"/>
    <w:next w:val="ECCParagraph"/>
    <w:autoRedefine/>
    <w:uiPriority w:val="99"/>
    <w:qFormat/>
    <w:rsid w:val="00F53945"/>
    <w:pPr>
      <w:keepNext/>
      <w:numPr>
        <w:ilvl w:val="1"/>
        <w:numId w:val="2"/>
      </w:numPr>
      <w:spacing w:before="480" w:after="240"/>
      <w:outlineLvl w:val="1"/>
    </w:pPr>
    <w:rPr>
      <w:rFonts w:cs="Arial"/>
      <w:b/>
      <w:bCs/>
      <w:iCs/>
      <w:caps/>
      <w:szCs w:val="28"/>
    </w:rPr>
  </w:style>
  <w:style w:type="paragraph" w:styleId="Titre3">
    <w:name w:val="heading 3"/>
    <w:aliases w:val="ECC Heading 3"/>
    <w:basedOn w:val="Normal"/>
    <w:next w:val="ECCParagraph"/>
    <w:autoRedefine/>
    <w:qFormat/>
    <w:rsid w:val="00F53945"/>
    <w:pPr>
      <w:keepNext/>
      <w:numPr>
        <w:ilvl w:val="2"/>
        <w:numId w:val="2"/>
      </w:numPr>
      <w:spacing w:before="360" w:after="120"/>
      <w:outlineLvl w:val="2"/>
    </w:pPr>
    <w:rPr>
      <w:rFonts w:cs="Arial"/>
      <w:b/>
      <w:bCs/>
      <w:szCs w:val="26"/>
    </w:rPr>
  </w:style>
  <w:style w:type="paragraph" w:styleId="Titre4">
    <w:name w:val="heading 4"/>
    <w:aliases w:val="ECC Heading 4"/>
    <w:basedOn w:val="Normal"/>
    <w:next w:val="ECCParagraph"/>
    <w:autoRedefine/>
    <w:uiPriority w:val="99"/>
    <w:qFormat/>
    <w:rsid w:val="00767BB2"/>
    <w:pPr>
      <w:numPr>
        <w:ilvl w:val="3"/>
        <w:numId w:val="2"/>
      </w:numPr>
      <w:spacing w:before="360" w:after="120"/>
      <w:outlineLvl w:val="3"/>
    </w:pPr>
    <w:rPr>
      <w:rFonts w:cs="Arial"/>
      <w:bCs/>
      <w:i/>
      <w:color w:val="D2232A"/>
      <w:szCs w:val="26"/>
    </w:rPr>
  </w:style>
  <w:style w:type="paragraph" w:styleId="Titre5">
    <w:name w:val="heading 5"/>
    <w:basedOn w:val="Normal"/>
    <w:next w:val="Normal"/>
    <w:uiPriority w:val="99"/>
    <w:qFormat/>
    <w:rsid w:val="009E47EB"/>
    <w:pPr>
      <w:numPr>
        <w:ilvl w:val="4"/>
        <w:numId w:val="2"/>
      </w:numPr>
      <w:spacing w:before="240" w:after="60"/>
      <w:outlineLvl w:val="4"/>
    </w:pPr>
    <w:rPr>
      <w:b/>
      <w:bCs/>
      <w:i/>
      <w:iCs/>
      <w:sz w:val="26"/>
      <w:szCs w:val="26"/>
    </w:rPr>
  </w:style>
  <w:style w:type="paragraph" w:styleId="Titre6">
    <w:name w:val="heading 6"/>
    <w:basedOn w:val="Normal"/>
    <w:next w:val="Normal"/>
    <w:uiPriority w:val="99"/>
    <w:qFormat/>
    <w:rsid w:val="009E47EB"/>
    <w:pPr>
      <w:numPr>
        <w:ilvl w:val="5"/>
        <w:numId w:val="2"/>
      </w:numPr>
      <w:spacing w:before="240" w:after="60"/>
      <w:outlineLvl w:val="5"/>
    </w:pPr>
    <w:rPr>
      <w:b/>
      <w:bCs/>
      <w:sz w:val="22"/>
      <w:szCs w:val="22"/>
    </w:rPr>
  </w:style>
  <w:style w:type="paragraph" w:styleId="Titre7">
    <w:name w:val="heading 7"/>
    <w:basedOn w:val="Normal"/>
    <w:next w:val="Normal"/>
    <w:uiPriority w:val="99"/>
    <w:qFormat/>
    <w:rsid w:val="009E47EB"/>
    <w:pPr>
      <w:numPr>
        <w:ilvl w:val="6"/>
        <w:numId w:val="2"/>
      </w:numPr>
      <w:spacing w:before="240" w:after="60"/>
      <w:outlineLvl w:val="6"/>
    </w:pPr>
    <w:rPr>
      <w:sz w:val="24"/>
    </w:rPr>
  </w:style>
  <w:style w:type="paragraph" w:styleId="Titre8">
    <w:name w:val="heading 8"/>
    <w:basedOn w:val="Normal"/>
    <w:next w:val="Normal"/>
    <w:uiPriority w:val="99"/>
    <w:qFormat/>
    <w:rsid w:val="009E47EB"/>
    <w:pPr>
      <w:numPr>
        <w:ilvl w:val="7"/>
        <w:numId w:val="2"/>
      </w:numPr>
      <w:spacing w:before="240" w:after="60"/>
      <w:outlineLvl w:val="7"/>
    </w:pPr>
    <w:rPr>
      <w:i/>
      <w:iCs/>
      <w:sz w:val="24"/>
    </w:rPr>
  </w:style>
  <w:style w:type="paragraph" w:styleId="Titre9">
    <w:name w:val="heading 9"/>
    <w:basedOn w:val="Normal"/>
    <w:next w:val="Normal"/>
    <w:uiPriority w:val="99"/>
    <w:qFormat/>
    <w:rsid w:val="009E47EB"/>
    <w:pPr>
      <w:numPr>
        <w:ilvl w:val="8"/>
        <w:numId w:val="2"/>
      </w:numPr>
      <w:spacing w:before="240" w:after="60"/>
      <w:outlineLvl w:val="8"/>
    </w:pPr>
    <w:rPr>
      <w:rFonts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uiPriority w:val="99"/>
    <w:rsid w:val="00CB0AD7"/>
    <w:pPr>
      <w:numPr>
        <w:numId w:val="1"/>
      </w:numPr>
      <w:spacing w:after="0"/>
    </w:pPr>
  </w:style>
  <w:style w:type="paragraph" w:styleId="En-tte">
    <w:name w:val="header"/>
    <w:basedOn w:val="Normal"/>
    <w:link w:val="En-tteCar"/>
    <w:uiPriority w:val="99"/>
    <w:semiHidden/>
    <w:rsid w:val="00C95C7C"/>
    <w:pPr>
      <w:tabs>
        <w:tab w:val="center" w:pos="4320"/>
        <w:tab w:val="right" w:pos="8640"/>
      </w:tabs>
    </w:pPr>
    <w:rPr>
      <w:b/>
      <w:sz w:val="16"/>
    </w:rPr>
  </w:style>
  <w:style w:type="paragraph" w:styleId="Pieddepage">
    <w:name w:val="footer"/>
    <w:basedOn w:val="Normal"/>
    <w:semiHidden/>
    <w:rsid w:val="0077244E"/>
    <w:pPr>
      <w:tabs>
        <w:tab w:val="center" w:pos="4320"/>
        <w:tab w:val="right" w:pos="8640"/>
      </w:tabs>
    </w:pPr>
  </w:style>
  <w:style w:type="paragraph" w:customStyle="1" w:styleId="ECCAnnexheading1">
    <w:name w:val="ECC Annex heading1"/>
    <w:basedOn w:val="Titre1"/>
    <w:next w:val="ECCParagraph"/>
    <w:uiPriority w:val="99"/>
    <w:rsid w:val="00550D79"/>
    <w:pPr>
      <w:numPr>
        <w:numId w:val="5"/>
      </w:numPr>
    </w:pPr>
  </w:style>
  <w:style w:type="paragraph" w:styleId="TM1">
    <w:name w:val="toc 1"/>
    <w:basedOn w:val="Normal"/>
    <w:next w:val="Normal"/>
    <w:autoRedefine/>
    <w:uiPriority w:val="39"/>
    <w:rsid w:val="00EA7A83"/>
    <w:pPr>
      <w:tabs>
        <w:tab w:val="left" w:pos="360"/>
        <w:tab w:val="right" w:leader="dot" w:pos="9629"/>
      </w:tabs>
      <w:spacing w:before="240"/>
    </w:pPr>
    <w:rPr>
      <w:b/>
      <w:caps/>
    </w:rPr>
  </w:style>
  <w:style w:type="character" w:styleId="Lienhypertexte">
    <w:name w:val="Hyperlink"/>
    <w:basedOn w:val="Policepardfaut"/>
    <w:uiPriority w:val="99"/>
    <w:rsid w:val="00A82384"/>
    <w:rPr>
      <w:color w:val="0000FF"/>
      <w:u w:val="single"/>
    </w:rPr>
  </w:style>
  <w:style w:type="paragraph" w:styleId="TM2">
    <w:name w:val="toc 2"/>
    <w:basedOn w:val="Normal"/>
    <w:next w:val="Normal"/>
    <w:autoRedefine/>
    <w:uiPriority w:val="39"/>
    <w:rsid w:val="00EA7A83"/>
    <w:pPr>
      <w:tabs>
        <w:tab w:val="left" w:pos="900"/>
        <w:tab w:val="right" w:leader="dot" w:pos="9629"/>
      </w:tabs>
      <w:ind w:left="360"/>
    </w:pPr>
  </w:style>
  <w:style w:type="paragraph" w:styleId="TM3">
    <w:name w:val="toc 3"/>
    <w:basedOn w:val="Normal"/>
    <w:next w:val="Normal"/>
    <w:autoRedefine/>
    <w:uiPriority w:val="39"/>
    <w:rsid w:val="00CF7259"/>
    <w:pPr>
      <w:tabs>
        <w:tab w:val="left" w:pos="1440"/>
        <w:tab w:val="right" w:leader="dot" w:pos="9629"/>
      </w:tabs>
      <w:ind w:left="900"/>
    </w:pPr>
  </w:style>
  <w:style w:type="paragraph" w:styleId="TM4">
    <w:name w:val="toc 4"/>
    <w:basedOn w:val="Normal"/>
    <w:next w:val="Normal"/>
    <w:autoRedefine/>
    <w:uiPriority w:val="39"/>
    <w:rsid w:val="007D1E37"/>
    <w:pPr>
      <w:tabs>
        <w:tab w:val="left" w:pos="2340"/>
        <w:tab w:val="right" w:leader="dot" w:pos="9629"/>
      </w:tabs>
      <w:ind w:left="1440"/>
    </w:pPr>
    <w:rPr>
      <w:i/>
    </w:rPr>
  </w:style>
  <w:style w:type="table" w:styleId="Grilledutableau">
    <w:name w:val="Table Grid"/>
    <w:basedOn w:val="TableauNormal"/>
    <w:semiHidden/>
    <w:rsid w:val="006F49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CFiguretitle">
    <w:name w:val="ECC Figure title"/>
    <w:basedOn w:val="ECCParagraph"/>
    <w:next w:val="ECCParagraph"/>
    <w:rsid w:val="00C95C7C"/>
    <w:pPr>
      <w:numPr>
        <w:numId w:val="4"/>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3"/>
      </w:numPr>
      <w:spacing w:before="360" w:after="240"/>
    </w:pPr>
  </w:style>
  <w:style w:type="paragraph" w:customStyle="1" w:styleId="ECCFootnote">
    <w:name w:val="ECC Footnote"/>
    <w:basedOn w:val="Normal"/>
    <w:autoRedefine/>
    <w:rsid w:val="008935B9"/>
    <w:pPr>
      <w:ind w:left="454" w:hanging="454"/>
    </w:pPr>
    <w:rPr>
      <w:sz w:val="16"/>
    </w:rPr>
  </w:style>
  <w:style w:type="paragraph" w:styleId="Notedebasdepage">
    <w:name w:val="footnote text"/>
    <w:aliases w:val="ALTS FOOTNOTE,Footnote Text Char1,Footnote Text Char Char1,Footnote Text Char4 Char Char,Footnote Text Char1 Char1 Char1 Char,Footnote Text Char Char1 Char1 Char Char,Footnote Text Char1 Char1 Char1 Char Char Char1,DNV-FT,DN"/>
    <w:basedOn w:val="Normal"/>
    <w:link w:val="NotedebasdepageCar"/>
    <w:uiPriority w:val="99"/>
    <w:rsid w:val="008935B9"/>
    <w:rPr>
      <w:szCs w:val="20"/>
    </w:rPr>
  </w:style>
  <w:style w:type="character" w:styleId="Appelnotedebasdep">
    <w:name w:val="footnote reference"/>
    <w:aliases w:val="Appel note de bas de p,Footnote Reference/,Footnote"/>
    <w:basedOn w:val="Policepardfaut"/>
    <w:semiHidden/>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uiPriority w:val="99"/>
    <w:rsid w:val="0031313E"/>
    <w:pPr>
      <w:spacing w:after="0"/>
      <w:ind w:left="284" w:hanging="284"/>
    </w:pPr>
    <w:rPr>
      <w:sz w:val="16"/>
      <w:szCs w:val="16"/>
    </w:rPr>
  </w:style>
  <w:style w:type="paragraph" w:customStyle="1" w:styleId="reference">
    <w:name w:val="reference"/>
    <w:basedOn w:val="Normal"/>
    <w:uiPriority w:val="99"/>
    <w:rsid w:val="00A50B64"/>
    <w:pPr>
      <w:numPr>
        <w:numId w:val="6"/>
      </w:numPr>
    </w:pPr>
    <w:rPr>
      <w:lang w:eastAsia="ja-JP"/>
    </w:rPr>
  </w:style>
  <w:style w:type="paragraph" w:customStyle="1" w:styleId="ECCAnnexheading2">
    <w:name w:val="ECC Annex heading2"/>
    <w:basedOn w:val="Normal"/>
    <w:next w:val="ECCParagraph"/>
    <w:uiPriority w:val="99"/>
    <w:rsid w:val="00C95C7C"/>
    <w:pPr>
      <w:numPr>
        <w:ilvl w:val="1"/>
        <w:numId w:val="5"/>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uiPriority w:val="99"/>
    <w:rsid w:val="00485B05"/>
    <w:pPr>
      <w:numPr>
        <w:ilvl w:val="2"/>
        <w:numId w:val="5"/>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uiPriority w:val="99"/>
    <w:rsid w:val="00C95C7C"/>
    <w:pPr>
      <w:numPr>
        <w:ilvl w:val="3"/>
        <w:numId w:val="5"/>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080D86"/>
    <w:pPr>
      <w:spacing w:before="120" w:after="120"/>
      <w:ind w:left="3402"/>
    </w:pPr>
    <w:rPr>
      <w:bCs/>
      <w:sz w:val="18"/>
    </w:rPr>
  </w:style>
  <w:style w:type="paragraph" w:customStyle="1" w:styleId="Reporttitledescription">
    <w:name w:val="Report title/description"/>
    <w:basedOn w:val="Normal"/>
    <w:rsid w:val="009B4646"/>
    <w:pPr>
      <w:spacing w:before="600" w:line="288" w:lineRule="auto"/>
      <w:ind w:left="3402"/>
    </w:pPr>
    <w:rPr>
      <w:sz w:val="24"/>
    </w:rPr>
  </w:style>
  <w:style w:type="paragraph" w:styleId="Lgende">
    <w:name w:val="caption"/>
    <w:basedOn w:val="Normal"/>
    <w:next w:val="Normal"/>
    <w:uiPriority w:val="99"/>
    <w:unhideWhenUsed/>
    <w:qFormat/>
    <w:rsid w:val="00C4710C"/>
    <w:pPr>
      <w:spacing w:before="240" w:after="240"/>
      <w:jc w:val="center"/>
    </w:pPr>
    <w:rPr>
      <w:b/>
      <w:bCs/>
      <w:color w:val="D2232A"/>
      <w:szCs w:val="20"/>
    </w:rPr>
  </w:style>
  <w:style w:type="numbering" w:customStyle="1" w:styleId="ECCBullets">
    <w:name w:val="ECC Bullets"/>
    <w:basedOn w:val="Aucuneliste"/>
    <w:rsid w:val="00B113AE"/>
    <w:pPr>
      <w:numPr>
        <w:numId w:val="8"/>
      </w:numPr>
    </w:pPr>
  </w:style>
  <w:style w:type="paragraph" w:customStyle="1" w:styleId="ECCNumbered-LetteredList">
    <w:name w:val="ECC Numbered-Lettered List"/>
    <w:basedOn w:val="Normal"/>
    <w:qFormat/>
    <w:rsid w:val="00DF2C67"/>
    <w:pPr>
      <w:numPr>
        <w:numId w:val="16"/>
      </w:numPr>
    </w:pPr>
  </w:style>
  <w:style w:type="paragraph" w:customStyle="1" w:styleId="ECCNumberedBullets">
    <w:name w:val="ECC Numbered Bullets"/>
    <w:basedOn w:val="Normal"/>
    <w:uiPriority w:val="99"/>
    <w:rsid w:val="00DF2C67"/>
    <w:pPr>
      <w:numPr>
        <w:numId w:val="14"/>
      </w:numPr>
    </w:pPr>
  </w:style>
  <w:style w:type="paragraph" w:styleId="Textedebulles">
    <w:name w:val="Balloon Text"/>
    <w:basedOn w:val="Normal"/>
    <w:link w:val="TextedebullesCar"/>
    <w:uiPriority w:val="99"/>
    <w:semiHidden/>
    <w:unhideWhenUsed/>
    <w:rsid w:val="009E47EB"/>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9E47EB"/>
    <w:rPr>
      <w:rFonts w:ascii="Lucida Grande" w:hAnsi="Lucida Grande" w:cs="Lucida Grande"/>
      <w:sz w:val="18"/>
      <w:szCs w:val="18"/>
      <w:lang w:val="en-US"/>
    </w:rPr>
  </w:style>
  <w:style w:type="numbering" w:customStyle="1" w:styleId="ECCNumbers-Bullets">
    <w:name w:val="ECC Numbers-Bullets"/>
    <w:rsid w:val="00DF2C67"/>
    <w:pPr>
      <w:numPr>
        <w:numId w:val="14"/>
      </w:numPr>
    </w:pPr>
  </w:style>
  <w:style w:type="numbering" w:customStyle="1" w:styleId="ECCNumbers-Letters">
    <w:name w:val="ECC Numbers-Letters"/>
    <w:uiPriority w:val="99"/>
    <w:rsid w:val="00DF2C67"/>
    <w:pPr>
      <w:numPr>
        <w:numId w:val="16"/>
      </w:numPr>
    </w:pPr>
  </w:style>
  <w:style w:type="character" w:customStyle="1" w:styleId="NotedebasdepageCar">
    <w:name w:val="Note de bas de page Car"/>
    <w:aliases w:val="ALTS FOOTNOTE Car,Footnote Text Char1 Car,Footnote Text Char Char1 Car,Footnote Text Char4 Char Char Car,Footnote Text Char1 Char1 Char1 Char Car,Footnote Text Char Char1 Char1 Char Char Car,DNV-FT Car,DN Car"/>
    <w:link w:val="Notedebasdepage"/>
    <w:uiPriority w:val="99"/>
    <w:locked/>
    <w:rsid w:val="00F53945"/>
    <w:rPr>
      <w:rFonts w:ascii="Arial" w:hAnsi="Arial"/>
      <w:lang w:val="en-US"/>
    </w:rPr>
  </w:style>
  <w:style w:type="paragraph" w:customStyle="1" w:styleId="ListParagraph1">
    <w:name w:val="List Paragraph1"/>
    <w:basedOn w:val="Normal"/>
    <w:qFormat/>
    <w:rsid w:val="00F53945"/>
    <w:pPr>
      <w:ind w:left="720"/>
      <w:jc w:val="both"/>
    </w:pPr>
    <w:rPr>
      <w:rFonts w:ascii="Times New Roman" w:hAnsi="Times New Roman"/>
      <w:sz w:val="22"/>
      <w:szCs w:val="22"/>
      <w:lang w:val="en-GB" w:eastAsia="de-DE"/>
    </w:rPr>
  </w:style>
  <w:style w:type="paragraph" w:customStyle="1" w:styleId="Sansinterligne1">
    <w:name w:val="Sans interligne1"/>
    <w:uiPriority w:val="99"/>
    <w:qFormat/>
    <w:rsid w:val="00F53945"/>
    <w:rPr>
      <w:sz w:val="24"/>
      <w:szCs w:val="24"/>
      <w:lang w:val="fr-FR" w:eastAsia="fr-FR"/>
    </w:rPr>
  </w:style>
  <w:style w:type="character" w:customStyle="1" w:styleId="En-tteCar">
    <w:name w:val="En-tête Car"/>
    <w:link w:val="En-tte"/>
    <w:uiPriority w:val="99"/>
    <w:semiHidden/>
    <w:locked/>
    <w:rsid w:val="00F53945"/>
    <w:rPr>
      <w:rFonts w:ascii="Arial" w:hAnsi="Arial"/>
      <w:b/>
      <w:sz w:val="16"/>
      <w:szCs w:val="24"/>
      <w:lang w:val="en-US"/>
    </w:rPr>
  </w:style>
  <w:style w:type="character" w:customStyle="1" w:styleId="NoteChar">
    <w:name w:val="Note Char"/>
    <w:link w:val="Note"/>
    <w:uiPriority w:val="99"/>
    <w:locked/>
    <w:rsid w:val="00F53945"/>
    <w:rPr>
      <w:lang w:val="fr-FR"/>
    </w:rPr>
  </w:style>
  <w:style w:type="paragraph" w:customStyle="1" w:styleId="Note">
    <w:name w:val="Note"/>
    <w:basedOn w:val="Normal"/>
    <w:link w:val="NoteChar"/>
    <w:uiPriority w:val="99"/>
    <w:rsid w:val="00F53945"/>
    <w:pPr>
      <w:tabs>
        <w:tab w:val="left" w:pos="284"/>
        <w:tab w:val="left" w:pos="1134"/>
        <w:tab w:val="left" w:pos="1871"/>
        <w:tab w:val="left" w:pos="2268"/>
      </w:tabs>
      <w:overflowPunct w:val="0"/>
      <w:autoSpaceDE w:val="0"/>
      <w:autoSpaceDN w:val="0"/>
      <w:adjustRightInd w:val="0"/>
      <w:spacing w:before="160"/>
      <w:jc w:val="both"/>
    </w:pPr>
    <w:rPr>
      <w:rFonts w:ascii="Times New Roman" w:hAnsi="Times New Roman"/>
      <w:szCs w:val="20"/>
      <w:lang w:val="fr-FR"/>
    </w:rPr>
  </w:style>
  <w:style w:type="character" w:customStyle="1" w:styleId="Artdef">
    <w:name w:val="Art_def"/>
    <w:uiPriority w:val="99"/>
    <w:rsid w:val="00F53945"/>
    <w:rPr>
      <w:rFonts w:cs="Times New Roman"/>
      <w:b/>
      <w:bCs/>
      <w:color w:val="auto"/>
    </w:rPr>
  </w:style>
  <w:style w:type="paragraph" w:customStyle="1" w:styleId="B1">
    <w:name w:val="B1+"/>
    <w:basedOn w:val="Normal"/>
    <w:uiPriority w:val="99"/>
    <w:rsid w:val="00F53945"/>
    <w:pPr>
      <w:numPr>
        <w:numId w:val="27"/>
      </w:numPr>
      <w:overflowPunct w:val="0"/>
      <w:autoSpaceDE w:val="0"/>
      <w:autoSpaceDN w:val="0"/>
      <w:adjustRightInd w:val="0"/>
      <w:spacing w:after="180"/>
    </w:pPr>
    <w:rPr>
      <w:rFonts w:ascii="Times New Roman" w:hAnsi="Times New Roman"/>
      <w:szCs w:val="20"/>
      <w:lang w:val="en-GB"/>
    </w:rPr>
  </w:style>
  <w:style w:type="paragraph" w:customStyle="1" w:styleId="FigureCaption">
    <w:name w:val="Figure Caption"/>
    <w:basedOn w:val="Normal"/>
    <w:next w:val="Corpsdetexte"/>
    <w:uiPriority w:val="99"/>
    <w:rsid w:val="00F53945"/>
    <w:pPr>
      <w:keepNext/>
      <w:keepLines/>
      <w:spacing w:before="360" w:after="120" w:line="288" w:lineRule="auto"/>
    </w:pPr>
    <w:rPr>
      <w:b/>
      <w:color w:val="939598"/>
      <w:lang w:val="en-GB" w:eastAsia="en-GB"/>
    </w:rPr>
  </w:style>
  <w:style w:type="paragraph" w:styleId="Corpsdetexte">
    <w:name w:val="Body Text"/>
    <w:basedOn w:val="Normal"/>
    <w:link w:val="CorpsdetexteCar"/>
    <w:uiPriority w:val="99"/>
    <w:semiHidden/>
    <w:unhideWhenUsed/>
    <w:rsid w:val="00F53945"/>
    <w:pPr>
      <w:spacing w:after="120"/>
    </w:pPr>
  </w:style>
  <w:style w:type="character" w:customStyle="1" w:styleId="CorpsdetexteCar">
    <w:name w:val="Corps de texte Car"/>
    <w:basedOn w:val="Policepardfaut"/>
    <w:link w:val="Corpsdetexte"/>
    <w:uiPriority w:val="99"/>
    <w:semiHidden/>
    <w:rsid w:val="00F53945"/>
    <w:rPr>
      <w:rFonts w:ascii="Arial" w:hAnsi="Arial"/>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ict.cc/englisch-deutsch/thermal+imaging+camera.html" TargetMode="Externa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image" Target="media/image6.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telekom.com/media/company/107626" TargetMode="External"/><Relationship Id="rId2" Type="http://schemas.openxmlformats.org/officeDocument/2006/relationships/hyperlink" Target="http://www.cept.org/files/1051/ECC/About%20ECC/ECC%20Strategic%20plan/ECC%20Strategic%20Plan%20rev%204.pdf" TargetMode="External"/><Relationship Id="rId1" Type="http://schemas.openxmlformats.org/officeDocument/2006/relationships/hyperlink" Target="http://www.cept.org/files/1051/ECC/About%20ECC/ECC%20Strategic%20plan/ECC%20Strategic%20Plan%20rev%204.pdf" TargetMode="External"/><Relationship Id="rId4" Type="http://schemas.openxmlformats.org/officeDocument/2006/relationships/hyperlink" Target="http://www.cept.org/ecc/groups/ecc/wg-fm/fm-50/client/meeting-documents"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5BE7D-86A8-4AC0-9BF0-E9DC840A3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28</Pages>
  <Words>8555</Words>
  <Characters>47057</Characters>
  <Application>Microsoft Office Word</Application>
  <DocSecurity>0</DocSecurity>
  <Lines>392</Lines>
  <Paragraphs>111</Paragraphs>
  <ScaleCrop>false</ScaleCrop>
  <HeadingPairs>
    <vt:vector size="2" baseType="variant">
      <vt:variant>
        <vt:lpstr>Title</vt:lpstr>
      </vt:variant>
      <vt:variant>
        <vt:i4>1</vt:i4>
      </vt:variant>
    </vt:vector>
  </HeadingPairs>
  <TitlesOfParts>
    <vt:vector size="1" baseType="lpstr">
      <vt:lpstr>New ECC Report Style</vt:lpstr>
    </vt:vector>
  </TitlesOfParts>
  <Company>ECO</Company>
  <LinksUpToDate>false</LinksUpToDate>
  <CharactersWithSpaces>55501</CharactersWithSpaces>
  <SharedDoc>false</SharedDoc>
  <HLinks>
    <vt:vector size="12" baseType="variant">
      <vt:variant>
        <vt:i4>1703987</vt:i4>
      </vt:variant>
      <vt:variant>
        <vt:i4>-1</vt:i4>
      </vt:variant>
      <vt:variant>
        <vt:i4>2049</vt:i4>
      </vt:variant>
      <vt:variant>
        <vt:i4>1</vt:i4>
      </vt:variant>
      <vt:variant>
        <vt:lpwstr>cept logo</vt:lpwstr>
      </vt:variant>
      <vt:variant>
        <vt:lpwstr/>
      </vt:variant>
      <vt:variant>
        <vt:i4>3932173</vt:i4>
      </vt:variant>
      <vt:variant>
        <vt:i4>-1</vt:i4>
      </vt:variant>
      <vt:variant>
        <vt:i4>2050</vt:i4>
      </vt:variant>
      <vt:variant>
        <vt:i4>1</vt:i4>
      </vt:variant>
      <vt:variant>
        <vt:lpwstr>ecc_logo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ECC Report Style</dc:title>
  <dc:creator>Bente Pedersen</dc:creator>
  <dc:description>This template is used as guidance to draft ECC Reports.</dc:description>
  <cp:lastModifiedBy>DESCHAMPS Benoist</cp:lastModifiedBy>
  <cp:revision>3</cp:revision>
  <cp:lastPrinted>1901-01-01T00:00:00Z</cp:lastPrinted>
  <dcterms:created xsi:type="dcterms:W3CDTF">2012-04-05T21:36:00Z</dcterms:created>
  <dcterms:modified xsi:type="dcterms:W3CDTF">2012-04-06T05:39:00Z</dcterms:modified>
</cp:coreProperties>
</file>