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500"/>
        <w:gridCol w:w="300"/>
        <w:gridCol w:w="1545"/>
        <w:gridCol w:w="155"/>
        <w:gridCol w:w="360"/>
        <w:gridCol w:w="1840"/>
        <w:gridCol w:w="1900"/>
      </w:tblGrid>
      <w:tr w:rsidR="00C44DFE" w:rsidRPr="00D33BCE" w:rsidTr="00964CB6">
        <w:tc>
          <w:tcPr>
            <w:tcW w:w="5353" w:type="dxa"/>
            <w:gridSpan w:val="4"/>
          </w:tcPr>
          <w:p w:rsidR="00336D21" w:rsidRPr="00D33BCE" w:rsidRDefault="000208CE" w:rsidP="00C44DFE">
            <w:pPr>
              <w:jc w:val="both"/>
              <w:rPr>
                <w:rFonts w:ascii="Arial" w:hAnsi="Arial" w:cs="Arial"/>
                <w:b/>
                <w:sz w:val="22"/>
                <w:lang w:val="en-GB" w:eastAsia="de-DE"/>
              </w:rPr>
            </w:pPr>
            <w:r>
              <w:rPr>
                <w:b/>
                <w:caps/>
                <w:noProof/>
                <w:sz w:val="22"/>
              </w:rPr>
              <w:drawing>
                <wp:inline distT="0" distB="0" distL="0" distR="0">
                  <wp:extent cx="1610360" cy="94869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948690"/>
                          </a:xfrm>
                          <a:prstGeom prst="rect">
                            <a:avLst/>
                          </a:prstGeom>
                          <a:noFill/>
                          <a:ln>
                            <a:noFill/>
                          </a:ln>
                        </pic:spPr>
                      </pic:pic>
                    </a:graphicData>
                  </a:graphic>
                </wp:inline>
              </w:drawing>
            </w:r>
          </w:p>
        </w:tc>
        <w:tc>
          <w:tcPr>
            <w:tcW w:w="2355" w:type="dxa"/>
            <w:gridSpan w:val="3"/>
          </w:tcPr>
          <w:p w:rsidR="00C44DFE" w:rsidRPr="00D33BCE" w:rsidRDefault="00C44DFE" w:rsidP="00C44DFE">
            <w:pPr>
              <w:jc w:val="both"/>
              <w:rPr>
                <w:rFonts w:ascii="Arial" w:hAnsi="Arial" w:cs="Arial"/>
                <w:b/>
                <w:sz w:val="22"/>
                <w:lang w:val="en-GB" w:eastAsia="de-DE"/>
              </w:rPr>
            </w:pPr>
          </w:p>
          <w:p w:rsidR="00C44DFE" w:rsidRPr="00D33BCE" w:rsidRDefault="00C44DFE" w:rsidP="00C44DFE">
            <w:pPr>
              <w:jc w:val="both"/>
              <w:rPr>
                <w:rFonts w:ascii="Arial" w:hAnsi="Arial" w:cs="Arial"/>
                <w:b/>
                <w:sz w:val="22"/>
                <w:lang w:val="en-GB" w:eastAsia="de-DE"/>
              </w:rPr>
            </w:pPr>
          </w:p>
          <w:p w:rsidR="00C44DFE" w:rsidRPr="00D33BCE" w:rsidRDefault="00C44DFE" w:rsidP="00C44DFE">
            <w:pPr>
              <w:jc w:val="both"/>
              <w:rPr>
                <w:rFonts w:ascii="Arial" w:hAnsi="Arial" w:cs="Arial"/>
                <w:b/>
                <w:sz w:val="22"/>
                <w:lang w:val="en-GB" w:eastAsia="de-DE"/>
              </w:rPr>
            </w:pPr>
          </w:p>
          <w:p w:rsidR="00C44DFE" w:rsidRPr="00D33BCE" w:rsidRDefault="00C44DFE" w:rsidP="00C44DFE">
            <w:pPr>
              <w:jc w:val="both"/>
              <w:rPr>
                <w:rFonts w:ascii="Arial" w:hAnsi="Arial" w:cs="Arial"/>
                <w:b/>
                <w:sz w:val="22"/>
                <w:lang w:val="en-GB" w:eastAsia="de-DE"/>
              </w:rPr>
            </w:pPr>
          </w:p>
        </w:tc>
        <w:tc>
          <w:tcPr>
            <w:tcW w:w="1900" w:type="dxa"/>
          </w:tcPr>
          <w:p w:rsidR="00C44DFE" w:rsidRPr="00D33BCE" w:rsidRDefault="00A642A5" w:rsidP="00C44DFE">
            <w:pPr>
              <w:jc w:val="right"/>
              <w:rPr>
                <w:rFonts w:ascii="Arial" w:hAnsi="Arial" w:cs="Arial"/>
                <w:b/>
                <w:sz w:val="22"/>
                <w:lang w:val="en-GB" w:eastAsia="de-DE"/>
              </w:rPr>
            </w:pPr>
            <w:r>
              <w:rPr>
                <w:rFonts w:ascii="Arial" w:hAnsi="Arial" w:cs="Arial"/>
                <w:b/>
                <w:sz w:val="22"/>
                <w:lang w:val="en-GB" w:eastAsia="de-DE"/>
              </w:rPr>
              <w:t>FM50(12</w:t>
            </w:r>
            <w:r w:rsidR="00C44DFE" w:rsidRPr="00D33BCE">
              <w:rPr>
                <w:rFonts w:ascii="Arial" w:hAnsi="Arial" w:cs="Arial"/>
                <w:b/>
                <w:sz w:val="22"/>
                <w:lang w:val="en-GB" w:eastAsia="de-DE"/>
              </w:rPr>
              <w:t>)</w:t>
            </w:r>
            <w:r w:rsidR="00A8278A">
              <w:rPr>
                <w:rFonts w:ascii="Arial" w:hAnsi="Arial" w:cs="Arial"/>
                <w:b/>
                <w:sz w:val="22"/>
                <w:lang w:val="en-GB" w:eastAsia="de-DE"/>
              </w:rPr>
              <w:t>050</w:t>
            </w:r>
          </w:p>
        </w:tc>
      </w:tr>
      <w:tr w:rsidR="00CF613B" w:rsidRPr="00D33BCE">
        <w:tc>
          <w:tcPr>
            <w:tcW w:w="9608" w:type="dxa"/>
            <w:gridSpan w:val="8"/>
          </w:tcPr>
          <w:p w:rsidR="00CF613B" w:rsidRDefault="00CF613B" w:rsidP="00EE3899">
            <w:pPr>
              <w:rPr>
                <w:rFonts w:ascii="Arial" w:hAnsi="Arial" w:cs="Arial"/>
                <w:b/>
                <w:bCs/>
                <w:lang w:val="fi-FI"/>
              </w:rPr>
            </w:pPr>
          </w:p>
          <w:p w:rsidR="00CF613B" w:rsidRPr="00CF613B" w:rsidRDefault="00964CB6" w:rsidP="00EE3899">
            <w:pPr>
              <w:rPr>
                <w:rFonts w:ascii="Arial" w:hAnsi="Arial" w:cs="Arial"/>
                <w:b/>
                <w:bCs/>
                <w:lang w:val="fi-FI"/>
              </w:rPr>
            </w:pPr>
            <w:r>
              <w:rPr>
                <w:rFonts w:ascii="Arial" w:hAnsi="Arial" w:cs="Arial"/>
                <w:b/>
                <w:bCs/>
                <w:lang w:val="fi-FI"/>
              </w:rPr>
              <w:t>7</w:t>
            </w:r>
            <w:r w:rsidR="00A642A5">
              <w:rPr>
                <w:rFonts w:ascii="Arial" w:hAnsi="Arial" w:cs="Arial"/>
                <w:b/>
                <w:bCs/>
                <w:lang w:val="fi-FI"/>
              </w:rPr>
              <w:t>th</w:t>
            </w:r>
            <w:r w:rsidR="00CF613B" w:rsidRPr="00CF613B">
              <w:rPr>
                <w:rFonts w:ascii="Arial" w:hAnsi="Arial" w:cs="Arial"/>
                <w:b/>
                <w:bCs/>
                <w:lang w:val="fi-FI"/>
              </w:rPr>
              <w:t xml:space="preserve"> Meeting of FM50</w:t>
            </w:r>
          </w:p>
        </w:tc>
      </w:tr>
      <w:tr w:rsidR="00CF613B" w:rsidRPr="00D33BCE" w:rsidTr="00964CB6">
        <w:trPr>
          <w:trHeight w:val="360"/>
        </w:trPr>
        <w:tc>
          <w:tcPr>
            <w:tcW w:w="5353" w:type="dxa"/>
            <w:gridSpan w:val="4"/>
          </w:tcPr>
          <w:p w:rsidR="00CF613B" w:rsidRPr="00CF613B" w:rsidRDefault="00964CB6" w:rsidP="00964CB6">
            <w:pPr>
              <w:ind w:right="282"/>
              <w:rPr>
                <w:rFonts w:ascii="Arial" w:hAnsi="Arial" w:cs="Arial"/>
                <w:b/>
                <w:bCs/>
                <w:lang w:val="fi-FI"/>
              </w:rPr>
            </w:pPr>
            <w:r>
              <w:rPr>
                <w:rFonts w:ascii="Arial" w:hAnsi="Arial" w:cs="Arial"/>
                <w:b/>
                <w:bCs/>
                <w:lang w:val="fi-FI"/>
              </w:rPr>
              <w:t>22</w:t>
            </w:r>
            <w:r w:rsidR="00A642A5">
              <w:rPr>
                <w:rFonts w:ascii="Arial" w:hAnsi="Arial" w:cs="Arial"/>
                <w:b/>
                <w:bCs/>
                <w:lang w:val="fi-FI"/>
              </w:rPr>
              <w:t>-</w:t>
            </w:r>
            <w:r>
              <w:rPr>
                <w:rFonts w:ascii="Arial" w:hAnsi="Arial" w:cs="Arial"/>
                <w:b/>
                <w:bCs/>
                <w:lang w:val="fi-FI"/>
              </w:rPr>
              <w:t>2</w:t>
            </w:r>
            <w:r w:rsidR="00A642A5">
              <w:rPr>
                <w:rFonts w:ascii="Arial" w:hAnsi="Arial" w:cs="Arial"/>
                <w:b/>
                <w:bCs/>
                <w:lang w:val="fi-FI"/>
              </w:rPr>
              <w:t xml:space="preserve">5 </w:t>
            </w:r>
            <w:r>
              <w:rPr>
                <w:rFonts w:ascii="Arial" w:hAnsi="Arial" w:cs="Arial"/>
                <w:b/>
                <w:bCs/>
                <w:lang w:val="fi-FI"/>
              </w:rPr>
              <w:t>May</w:t>
            </w:r>
            <w:r w:rsidR="00A642A5">
              <w:rPr>
                <w:rFonts w:ascii="Arial" w:hAnsi="Arial" w:cs="Arial"/>
                <w:b/>
                <w:bCs/>
                <w:lang w:val="fi-FI"/>
              </w:rPr>
              <w:t xml:space="preserve"> 2012</w:t>
            </w:r>
            <w:r w:rsidR="00CF613B" w:rsidRPr="00CF613B">
              <w:rPr>
                <w:rFonts w:ascii="Arial" w:hAnsi="Arial" w:cs="Arial"/>
                <w:b/>
                <w:bCs/>
                <w:lang w:val="fi-FI"/>
              </w:rPr>
              <w:t xml:space="preserve">, </w:t>
            </w:r>
            <w:r>
              <w:rPr>
                <w:rFonts w:ascii="Arial" w:hAnsi="Arial" w:cs="Arial"/>
                <w:b/>
                <w:bCs/>
                <w:lang w:val="fi-FI"/>
              </w:rPr>
              <w:t>London</w:t>
            </w:r>
            <w:r w:rsidR="00CF613B" w:rsidRPr="00CF613B">
              <w:rPr>
                <w:rFonts w:ascii="Arial" w:hAnsi="Arial" w:cs="Arial"/>
                <w:b/>
                <w:bCs/>
                <w:lang w:val="fi-FI"/>
              </w:rPr>
              <w:t xml:space="preserve">, </w:t>
            </w:r>
            <w:r>
              <w:rPr>
                <w:rFonts w:ascii="Arial" w:hAnsi="Arial" w:cs="Arial"/>
                <w:b/>
                <w:bCs/>
                <w:lang w:val="fi-FI"/>
              </w:rPr>
              <w:t>United Kingdom</w:t>
            </w:r>
          </w:p>
        </w:tc>
        <w:tc>
          <w:tcPr>
            <w:tcW w:w="4255" w:type="dxa"/>
            <w:gridSpan w:val="4"/>
          </w:tcPr>
          <w:p w:rsidR="00CF613B" w:rsidRPr="00CF613B" w:rsidRDefault="00CF613B" w:rsidP="00C44DFE">
            <w:pPr>
              <w:jc w:val="both"/>
              <w:rPr>
                <w:rFonts w:ascii="Arial" w:hAnsi="Arial" w:cs="Arial"/>
                <w:b/>
                <w:lang w:val="en-GB" w:eastAsia="de-DE"/>
              </w:rPr>
            </w:pPr>
          </w:p>
        </w:tc>
      </w:tr>
      <w:tr w:rsidR="00CF613B" w:rsidRPr="00A8278A" w:rsidTr="00CF613B">
        <w:trPr>
          <w:cantSplit/>
          <w:trHeight w:val="1191"/>
        </w:trPr>
        <w:tc>
          <w:tcPr>
            <w:tcW w:w="9608" w:type="dxa"/>
            <w:gridSpan w:val="8"/>
          </w:tcPr>
          <w:p w:rsidR="00CF613B" w:rsidRPr="00CF613B" w:rsidRDefault="00CF613B" w:rsidP="00030A3D">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sidR="00A8278A">
              <w:rPr>
                <w:rFonts w:ascii="Arial" w:hAnsi="Arial" w:cs="Arial"/>
                <w:b/>
                <w:lang w:val="en-GB" w:eastAsia="de-DE"/>
              </w:rPr>
              <w:t>16</w:t>
            </w:r>
            <w:bookmarkStart w:id="0" w:name="_GoBack"/>
            <w:bookmarkEnd w:id="0"/>
            <w:r w:rsidR="00964CB6">
              <w:rPr>
                <w:rFonts w:ascii="Arial" w:hAnsi="Arial" w:cs="Arial"/>
                <w:b/>
                <w:lang w:val="en-GB" w:eastAsia="de-DE"/>
              </w:rPr>
              <w:t xml:space="preserve"> </w:t>
            </w:r>
            <w:r w:rsidR="00030A3D">
              <w:rPr>
                <w:rFonts w:ascii="Arial" w:hAnsi="Arial" w:cs="Arial"/>
                <w:b/>
                <w:lang w:val="en-GB" w:eastAsia="de-DE"/>
              </w:rPr>
              <w:t>05</w:t>
            </w:r>
            <w:r w:rsidR="00964CB6">
              <w:rPr>
                <w:rFonts w:ascii="Arial" w:hAnsi="Arial" w:cs="Arial"/>
                <w:b/>
                <w:lang w:val="en-GB" w:eastAsia="de-DE"/>
              </w:rPr>
              <w:t xml:space="preserve"> 2012</w:t>
            </w:r>
          </w:p>
          <w:p w:rsidR="00CF613B" w:rsidRPr="00CF613B" w:rsidRDefault="00CF613B" w:rsidP="00030A3D">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00030A3D">
              <w:rPr>
                <w:rFonts w:ascii="Arial" w:hAnsi="Arial" w:cs="Arial"/>
                <w:b/>
                <w:lang w:val="en-GB" w:eastAsia="de-DE"/>
              </w:rPr>
              <w:t xml:space="preserve"> APWPT</w:t>
            </w:r>
          </w:p>
          <w:p w:rsidR="00CF613B" w:rsidRPr="00CF613B" w:rsidRDefault="00CF613B" w:rsidP="00C44DFE">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00030A3D" w:rsidRPr="00A8278A">
              <w:rPr>
                <w:lang w:val="en-GB"/>
              </w:rPr>
              <w:t xml:space="preserve"> </w:t>
            </w:r>
            <w:r w:rsidR="00030A3D" w:rsidRPr="00030A3D">
              <w:rPr>
                <w:rFonts w:ascii="Arial" w:hAnsi="Arial" w:cs="Arial"/>
                <w:b/>
                <w:lang w:val="en-GB" w:eastAsia="de-DE"/>
              </w:rPr>
              <w:t>L-Band spectrum use - maximization for PMSE</w:t>
            </w:r>
          </w:p>
        </w:tc>
      </w:tr>
      <w:tr w:rsidR="00CF613B"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CF613B" w:rsidRPr="00D33BCE" w:rsidRDefault="00CF613B"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CF613B" w:rsidRPr="00D33BCE" w:rsidRDefault="00CF613B" w:rsidP="00C44DFE">
            <w:pPr>
              <w:jc w:val="both"/>
              <w:rPr>
                <w:rFonts w:ascii="Arial" w:hAnsi="Arial" w:cs="Arial"/>
                <w:b/>
                <w:sz w:val="22"/>
                <w:lang w:val="en-GB" w:eastAsia="de-DE"/>
              </w:rPr>
            </w:pPr>
          </w:p>
        </w:tc>
        <w:tc>
          <w:tcPr>
            <w:tcW w:w="1700" w:type="dxa"/>
            <w:gridSpan w:val="2"/>
            <w:tcBorders>
              <w:top w:val="nil"/>
              <w:bottom w:val="nil"/>
            </w:tcBorders>
          </w:tcPr>
          <w:p w:rsidR="00CF613B" w:rsidRPr="00D33BCE" w:rsidRDefault="00CF613B" w:rsidP="00C44DFE">
            <w:pPr>
              <w:tabs>
                <w:tab w:val="left" w:pos="1130"/>
              </w:tabs>
              <w:jc w:val="both"/>
              <w:rPr>
                <w:rFonts w:ascii="Arial" w:hAnsi="Arial" w:cs="Arial"/>
                <w:b/>
                <w:sz w:val="22"/>
                <w:lang w:val="en-GB" w:eastAsia="de-DE"/>
              </w:rPr>
            </w:pPr>
            <w:r w:rsidRPr="00D33BCE">
              <w:rPr>
                <w:rFonts w:ascii="Arial" w:hAnsi="Arial" w:cs="Arial"/>
                <w:b/>
                <w:sz w:val="22"/>
                <w:lang w:val="en-GB" w:eastAsia="de-DE"/>
              </w:rPr>
              <w:tab/>
              <w:t>No</w:t>
            </w:r>
          </w:p>
        </w:tc>
        <w:tc>
          <w:tcPr>
            <w:tcW w:w="360" w:type="dxa"/>
          </w:tcPr>
          <w:p w:rsidR="00CF613B" w:rsidRPr="00D33BCE" w:rsidRDefault="00CF613B" w:rsidP="00C44DFE">
            <w:pPr>
              <w:jc w:val="both"/>
              <w:rPr>
                <w:rFonts w:ascii="Arial" w:hAnsi="Arial" w:cs="Arial"/>
                <w:b/>
                <w:sz w:val="22"/>
                <w:lang w:val="en-GB" w:eastAsia="de-DE"/>
              </w:rPr>
            </w:pPr>
            <w:r w:rsidRPr="00D33BCE">
              <w:rPr>
                <w:rFonts w:ascii="Arial" w:hAnsi="Arial" w:cs="Arial"/>
                <w:b/>
                <w:sz w:val="22"/>
                <w:lang w:val="en-GB" w:eastAsia="de-DE"/>
              </w:rPr>
              <w:t>x</w:t>
            </w:r>
          </w:p>
        </w:tc>
      </w:tr>
    </w:tbl>
    <w:p w:rsidR="00C44DFE" w:rsidRPr="00D33BCE" w:rsidRDefault="00C44DFE" w:rsidP="00C44DFE">
      <w:pPr>
        <w:jc w:val="both"/>
        <w:rPr>
          <w:sz w:val="22"/>
          <w:lang w:val="en-GB" w:eastAsia="de-DE"/>
        </w:rPr>
      </w:pPr>
    </w:p>
    <w:p w:rsidR="00CF613B" w:rsidRPr="00D33BCE" w:rsidRDefault="00CF613B"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0"/>
      </w:tblGrid>
      <w:tr w:rsidR="00C44DFE" w:rsidRPr="00A8278A">
        <w:tc>
          <w:tcPr>
            <w:tcW w:w="9600" w:type="dxa"/>
          </w:tcPr>
          <w:p w:rsidR="00C44DFE" w:rsidRPr="00D33BCE" w:rsidRDefault="00C44DFE" w:rsidP="00C44DFE">
            <w:pPr>
              <w:rPr>
                <w:rFonts w:ascii="Arial" w:hAnsi="Arial" w:cs="Arial"/>
                <w:b/>
                <w:sz w:val="20"/>
                <w:szCs w:val="20"/>
                <w:lang w:val="en-GB" w:eastAsia="de-DE"/>
              </w:rPr>
            </w:pPr>
          </w:p>
          <w:p w:rsidR="00C44DFE" w:rsidRPr="00D33BCE" w:rsidRDefault="00C44DFE" w:rsidP="00C44DFE">
            <w:pPr>
              <w:keepNext/>
              <w:outlineLvl w:val="2"/>
              <w:rPr>
                <w:rFonts w:ascii="Arial" w:hAnsi="Arial" w:cs="Arial"/>
                <w:b/>
                <w:szCs w:val="20"/>
                <w:lang w:val="en-GB" w:eastAsia="de-DE"/>
              </w:rPr>
            </w:pPr>
            <w:r w:rsidRPr="00D33BCE">
              <w:rPr>
                <w:rFonts w:ascii="Arial" w:hAnsi="Arial" w:cs="Arial"/>
                <w:b/>
                <w:szCs w:val="20"/>
                <w:lang w:val="en-GB" w:eastAsia="de-DE"/>
              </w:rPr>
              <w:t>Summary</w:t>
            </w:r>
          </w:p>
          <w:p w:rsidR="00C44DFE" w:rsidRDefault="00C44DFE" w:rsidP="00030A3D">
            <w:pPr>
              <w:rPr>
                <w:rFonts w:ascii="Arial" w:hAnsi="Arial" w:cs="Arial"/>
                <w:sz w:val="22"/>
                <w:szCs w:val="22"/>
                <w:lang w:val="en-US"/>
              </w:rPr>
            </w:pPr>
          </w:p>
          <w:p w:rsidR="00030A3D" w:rsidRDefault="00030A3D" w:rsidP="00842066">
            <w:pPr>
              <w:rPr>
                <w:rFonts w:ascii="Arial" w:hAnsi="Arial" w:cs="Arial"/>
                <w:sz w:val="22"/>
                <w:szCs w:val="22"/>
                <w:lang w:val="en-US"/>
              </w:rPr>
            </w:pPr>
            <w:r>
              <w:rPr>
                <w:rFonts w:ascii="Arial" w:hAnsi="Arial" w:cs="Arial"/>
                <w:sz w:val="22"/>
                <w:szCs w:val="22"/>
                <w:lang w:val="en-US"/>
              </w:rPr>
              <w:t>The frequently asked question is how many links of PMSE equipment can operate in parallel in the L-Band is answered including the explanation of the technical background: 224 links can be operated in parallel. This is given if PMSE has the L-Band on exclusive user base and no other service operates in that range. If this is not given further investigation have to be made.</w:t>
            </w:r>
            <w:r w:rsidR="002C43A0">
              <w:rPr>
                <w:rFonts w:ascii="Arial" w:hAnsi="Arial" w:cs="Arial"/>
                <w:sz w:val="22"/>
                <w:szCs w:val="22"/>
                <w:lang w:val="en-US"/>
              </w:rPr>
              <w:br/>
            </w:r>
          </w:p>
          <w:p w:rsidR="00030A3D" w:rsidRPr="00030A3D" w:rsidRDefault="00030A3D" w:rsidP="00030A3D">
            <w:pPr>
              <w:rPr>
                <w:rFonts w:ascii="Arial" w:hAnsi="Arial" w:cs="Arial"/>
                <w:sz w:val="20"/>
                <w:szCs w:val="20"/>
                <w:lang w:val="en-GB" w:eastAsia="de-DE"/>
              </w:rPr>
            </w:pPr>
          </w:p>
        </w:tc>
      </w:tr>
      <w:tr w:rsidR="00CF613B" w:rsidRPr="00A8278A" w:rsidTr="00EE3899">
        <w:tc>
          <w:tcPr>
            <w:tcW w:w="9600" w:type="dxa"/>
          </w:tcPr>
          <w:p w:rsidR="00CF613B" w:rsidRPr="00D33BCE" w:rsidRDefault="00CF613B" w:rsidP="00EE3899">
            <w:pPr>
              <w:keepNext/>
              <w:outlineLvl w:val="2"/>
              <w:rPr>
                <w:rFonts w:ascii="Arial" w:hAnsi="Arial" w:cs="Arial"/>
                <w:b/>
                <w:szCs w:val="20"/>
                <w:lang w:val="en-GB" w:eastAsia="de-DE"/>
              </w:rPr>
            </w:pPr>
          </w:p>
          <w:p w:rsidR="00CF613B" w:rsidRPr="00D33BCE" w:rsidRDefault="00CF613B" w:rsidP="00EE3899">
            <w:pPr>
              <w:keepNext/>
              <w:outlineLvl w:val="2"/>
              <w:rPr>
                <w:rFonts w:ascii="Arial" w:hAnsi="Arial" w:cs="Arial"/>
                <w:b/>
                <w:szCs w:val="20"/>
                <w:lang w:val="en-GB" w:eastAsia="de-DE"/>
              </w:rPr>
            </w:pPr>
            <w:r w:rsidRPr="00D33BCE">
              <w:rPr>
                <w:rFonts w:ascii="Arial" w:hAnsi="Arial" w:cs="Arial"/>
                <w:b/>
                <w:szCs w:val="20"/>
                <w:lang w:val="en-GB" w:eastAsia="de-DE"/>
              </w:rPr>
              <w:t>Proposal</w:t>
            </w:r>
          </w:p>
          <w:p w:rsidR="00CF613B" w:rsidRPr="00D33BCE" w:rsidRDefault="00CF613B" w:rsidP="00EE3899">
            <w:pPr>
              <w:keepNext/>
              <w:outlineLvl w:val="2"/>
              <w:rPr>
                <w:rFonts w:ascii="Arial" w:hAnsi="Arial" w:cs="Arial"/>
                <w:b/>
                <w:szCs w:val="20"/>
                <w:lang w:val="en-GB" w:eastAsia="de-DE"/>
              </w:rPr>
            </w:pPr>
          </w:p>
          <w:p w:rsidR="00030A3D" w:rsidRDefault="00030A3D" w:rsidP="00030A3D">
            <w:pPr>
              <w:spacing w:before="60" w:after="60"/>
              <w:ind w:left="60"/>
              <w:rPr>
                <w:rFonts w:ascii="Arial" w:hAnsi="Arial" w:cs="Arial"/>
                <w:sz w:val="22"/>
                <w:szCs w:val="22"/>
                <w:lang w:val="en-US"/>
              </w:rPr>
            </w:pPr>
            <w:r>
              <w:rPr>
                <w:rFonts w:ascii="Arial" w:hAnsi="Arial" w:cs="Arial"/>
                <w:sz w:val="22"/>
                <w:szCs w:val="22"/>
                <w:lang w:val="en-US"/>
              </w:rPr>
              <w:t>FM50 is kindly invited to consider our information in the chapter 4 drafting group.</w:t>
            </w:r>
          </w:p>
          <w:p w:rsidR="00CF613B" w:rsidRPr="00030A3D" w:rsidRDefault="00030A3D" w:rsidP="00030A3D">
            <w:pPr>
              <w:spacing w:before="60" w:after="60"/>
              <w:ind w:left="60"/>
              <w:rPr>
                <w:rFonts w:ascii="Arial" w:hAnsi="Arial" w:cs="Arial"/>
                <w:sz w:val="22"/>
                <w:szCs w:val="22"/>
                <w:lang w:val="en-US"/>
              </w:rPr>
            </w:pPr>
            <w:r>
              <w:rPr>
                <w:rFonts w:ascii="Arial" w:hAnsi="Arial" w:cs="Arial"/>
                <w:sz w:val="22"/>
                <w:szCs w:val="22"/>
                <w:lang w:val="en-US"/>
              </w:rPr>
              <w:t>Our aim is an improvement in the consolidation of the ECC report</w:t>
            </w:r>
            <w:r w:rsidR="00842066">
              <w:rPr>
                <w:rFonts w:ascii="Arial" w:hAnsi="Arial" w:cs="Arial"/>
                <w:sz w:val="22"/>
                <w:szCs w:val="22"/>
                <w:lang w:val="en-US"/>
              </w:rPr>
              <w:t>.</w:t>
            </w:r>
            <w:r>
              <w:rPr>
                <w:rFonts w:ascii="Arial" w:hAnsi="Arial" w:cs="Arial"/>
                <w:sz w:val="22"/>
                <w:szCs w:val="22"/>
                <w:lang w:val="en-US"/>
              </w:rPr>
              <w:t xml:space="preserve"> </w:t>
            </w:r>
          </w:p>
          <w:p w:rsidR="00CF613B" w:rsidRDefault="00CF613B" w:rsidP="00EE3899">
            <w:pPr>
              <w:keepNext/>
              <w:spacing w:line="276" w:lineRule="auto"/>
              <w:outlineLvl w:val="2"/>
              <w:rPr>
                <w:rFonts w:ascii="Arial" w:hAnsi="Arial" w:cs="Arial"/>
                <w:sz w:val="20"/>
                <w:szCs w:val="20"/>
                <w:lang w:val="en-GB" w:eastAsia="de-DE"/>
              </w:rPr>
            </w:pPr>
          </w:p>
        </w:tc>
      </w:tr>
      <w:tr w:rsidR="00CF613B" w:rsidRPr="00A8278A" w:rsidTr="00842066">
        <w:tblPrEx>
          <w:tblCellMar>
            <w:left w:w="70" w:type="dxa"/>
            <w:right w:w="70" w:type="dxa"/>
          </w:tblCellMar>
        </w:tblPrEx>
        <w:tc>
          <w:tcPr>
            <w:tcW w:w="9600" w:type="dxa"/>
          </w:tcPr>
          <w:p w:rsidR="00CF613B" w:rsidRPr="00D33BCE" w:rsidRDefault="00CF613B" w:rsidP="00EE3899">
            <w:pPr>
              <w:rPr>
                <w:rFonts w:ascii="Arial" w:hAnsi="Arial" w:cs="Arial"/>
                <w:sz w:val="20"/>
                <w:szCs w:val="20"/>
                <w:lang w:val="en-GB" w:eastAsia="de-DE"/>
              </w:rPr>
            </w:pPr>
          </w:p>
          <w:p w:rsidR="00CF613B" w:rsidRPr="00D33BCE" w:rsidRDefault="00CF613B" w:rsidP="00EE3899">
            <w:pPr>
              <w:keepNext/>
              <w:outlineLvl w:val="2"/>
              <w:rPr>
                <w:rFonts w:ascii="Arial" w:hAnsi="Arial"/>
                <w:b/>
                <w:szCs w:val="20"/>
                <w:lang w:val="en-GB" w:eastAsia="de-DE"/>
              </w:rPr>
            </w:pPr>
            <w:r>
              <w:rPr>
                <w:rFonts w:ascii="Arial" w:hAnsi="Arial"/>
                <w:b/>
                <w:szCs w:val="20"/>
                <w:lang w:val="en-GB" w:eastAsia="de-DE"/>
              </w:rPr>
              <w:t>Background</w:t>
            </w:r>
          </w:p>
          <w:p w:rsidR="00CF613B" w:rsidRPr="00D33BCE" w:rsidRDefault="00CF613B" w:rsidP="00EE3899">
            <w:pPr>
              <w:keepNext/>
              <w:outlineLvl w:val="2"/>
              <w:rPr>
                <w:rFonts w:ascii="Arial" w:hAnsi="Arial"/>
                <w:b/>
                <w:szCs w:val="20"/>
                <w:lang w:val="en-GB" w:eastAsia="de-DE"/>
              </w:rPr>
            </w:pPr>
          </w:p>
          <w:p w:rsidR="00030A3D" w:rsidRDefault="00030A3D" w:rsidP="000208CE">
            <w:pPr>
              <w:jc w:val="both"/>
              <w:rPr>
                <w:lang w:val="en-GB"/>
              </w:rPr>
            </w:pPr>
            <w:r>
              <w:rPr>
                <w:lang w:val="en-GB"/>
              </w:rPr>
              <w:t>The L-Band may become a valuable resource for the use of wireless microphones and in-ear monitor systems as 72MHz of spectrum was lost already in the UHF Band. The L-Band can compensate parts of this loss and can also give the UHF Band a certain relief from PMSE usage. Besides that it will also support the expansion of the application PMSE, annual growth is about 15%, and the demand for improved sound quality (HD-Sound).</w:t>
            </w:r>
          </w:p>
          <w:p w:rsidR="00030A3D" w:rsidRDefault="00030A3D" w:rsidP="00030A3D">
            <w:pPr>
              <w:rPr>
                <w:lang w:val="en-GB"/>
              </w:rPr>
            </w:pPr>
          </w:p>
          <w:p w:rsidR="00030A3D" w:rsidRDefault="00030A3D" w:rsidP="000208CE">
            <w:pPr>
              <w:jc w:val="both"/>
              <w:rPr>
                <w:lang w:val="en-GB"/>
              </w:rPr>
            </w:pPr>
            <w:r>
              <w:rPr>
                <w:lang w:val="en-GB"/>
              </w:rPr>
              <w:t>The question that is asked frequently: how many links can operate in parallel in the L-Band, in the range 1.452 – 1.492 MHz?</w:t>
            </w:r>
          </w:p>
          <w:p w:rsidR="00030A3D" w:rsidRDefault="00030A3D" w:rsidP="000208CE">
            <w:pPr>
              <w:jc w:val="both"/>
              <w:rPr>
                <w:lang w:val="en-GB"/>
              </w:rPr>
            </w:pPr>
          </w:p>
          <w:p w:rsidR="00842066" w:rsidRDefault="00030A3D" w:rsidP="000208CE">
            <w:pPr>
              <w:jc w:val="both"/>
              <w:rPr>
                <w:lang w:val="en-GB"/>
              </w:rPr>
            </w:pPr>
            <w:r>
              <w:rPr>
                <w:lang w:val="en-GB"/>
              </w:rPr>
              <w:t xml:space="preserve">Any production has to be free of interference to find pleased listeners. One source of interference is caused by intermodulation which is generated in any wireless system when it operates in close proximity of other systems. As intermodulation can be calculated the system design takes care of the effect and uses only reliable frequencies which guarantee no unwanted noise in the audio signal. </w:t>
            </w:r>
          </w:p>
          <w:p w:rsidR="00842066" w:rsidRDefault="00842066" w:rsidP="00030A3D">
            <w:pPr>
              <w:rPr>
                <w:lang w:val="en-GB"/>
              </w:rPr>
            </w:pPr>
          </w:p>
          <w:p w:rsidR="00842066" w:rsidRDefault="00842066" w:rsidP="00030A3D">
            <w:pPr>
              <w:rPr>
                <w:lang w:val="en-GB"/>
              </w:rPr>
            </w:pPr>
          </w:p>
          <w:p w:rsidR="00842066" w:rsidRDefault="00842066" w:rsidP="00030A3D">
            <w:pPr>
              <w:rPr>
                <w:lang w:val="en-GB"/>
              </w:rPr>
            </w:pPr>
          </w:p>
          <w:p w:rsidR="00842066" w:rsidRDefault="00842066" w:rsidP="00030A3D">
            <w:pPr>
              <w:rPr>
                <w:lang w:val="en-GB"/>
              </w:rPr>
            </w:pPr>
          </w:p>
          <w:p w:rsidR="00030A3D" w:rsidRDefault="00030A3D" w:rsidP="00030A3D">
            <w:pPr>
              <w:rPr>
                <w:lang w:val="en-GB"/>
              </w:rPr>
            </w:pPr>
            <w:r>
              <w:rPr>
                <w:lang w:val="en-GB"/>
              </w:rPr>
              <w:t>The following graph shows a typical arrangement of carriers in a multichannel system of wireless microphones:</w:t>
            </w:r>
          </w:p>
          <w:p w:rsidR="00030A3D" w:rsidRDefault="00030A3D" w:rsidP="00030A3D">
            <w:pPr>
              <w:rPr>
                <w:lang w:val="en-GB"/>
              </w:rPr>
            </w:pPr>
          </w:p>
          <w:p w:rsidR="00030A3D" w:rsidRDefault="000208CE" w:rsidP="00030A3D">
            <w:pPr>
              <w:rPr>
                <w:lang w:val="en-GB"/>
              </w:rPr>
            </w:pPr>
            <w:r>
              <w:rPr>
                <w:noProof/>
              </w:rPr>
              <w:drawing>
                <wp:inline distT="0" distB="0" distL="0" distR="0">
                  <wp:extent cx="5970905" cy="1726565"/>
                  <wp:effectExtent l="19050" t="19050" r="10795" b="26035"/>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905" cy="1726565"/>
                          </a:xfrm>
                          <a:prstGeom prst="rect">
                            <a:avLst/>
                          </a:prstGeom>
                          <a:noFill/>
                          <a:ln w="6350">
                            <a:solidFill>
                              <a:schemeClr val="bg1">
                                <a:lumMod val="85000"/>
                              </a:schemeClr>
                            </a:solidFill>
                          </a:ln>
                        </pic:spPr>
                      </pic:pic>
                    </a:graphicData>
                  </a:graphic>
                </wp:inline>
              </w:drawing>
            </w:r>
          </w:p>
          <w:p w:rsidR="00030A3D" w:rsidRDefault="00030A3D" w:rsidP="00030A3D"/>
          <w:p w:rsidR="00030A3D" w:rsidRPr="003B47E4" w:rsidRDefault="00030A3D" w:rsidP="00030A3D">
            <w:pPr>
              <w:rPr>
                <w:lang w:val="en-GB"/>
              </w:rPr>
            </w:pPr>
            <w:r>
              <w:rPr>
                <w:lang w:val="en-GB"/>
              </w:rPr>
              <w:t>It can be seen that thirty carriers of this</w:t>
            </w:r>
            <w:r w:rsidRPr="003B47E4">
              <w:rPr>
                <w:lang w:val="en-GB"/>
              </w:rPr>
              <w:t xml:space="preserve"> system are</w:t>
            </w:r>
            <w:r>
              <w:rPr>
                <w:lang w:val="en-GB"/>
              </w:rPr>
              <w:t xml:space="preserve"> arranged</w:t>
            </w:r>
            <w:r w:rsidRPr="003B47E4">
              <w:rPr>
                <w:lang w:val="en-GB"/>
              </w:rPr>
              <w:t xml:space="preserve"> in </w:t>
            </w:r>
            <w:r w:rsidR="002C43A0" w:rsidRPr="003B47E4">
              <w:rPr>
                <w:lang w:val="en-GB"/>
              </w:rPr>
              <w:t>non-regular</w:t>
            </w:r>
            <w:r>
              <w:rPr>
                <w:lang w:val="en-GB"/>
              </w:rPr>
              <w:t xml:space="preserve"> spacing. </w:t>
            </w:r>
          </w:p>
          <w:p w:rsidR="00030A3D" w:rsidRPr="003B47E4" w:rsidRDefault="00030A3D" w:rsidP="00030A3D">
            <w:pPr>
              <w:rPr>
                <w:lang w:val="en-GB"/>
              </w:rPr>
            </w:pPr>
          </w:p>
          <w:p w:rsidR="00030A3D" w:rsidRDefault="00030A3D" w:rsidP="000208CE">
            <w:pPr>
              <w:jc w:val="both"/>
              <w:rPr>
                <w:lang w:val="en-GB"/>
              </w:rPr>
            </w:pPr>
            <w:r>
              <w:rPr>
                <w:lang w:val="en-GB"/>
              </w:rPr>
              <w:t>A venue usually consists of different locations in which different events take place in parallel: in a conference centre there are different halls and rooms with different events using wireless equipment, same in hotels with their meeting facilities, in universities with their lecture halls, in entertainment centres with their various stages, also in exhibition halls with the booths of the exhibitors last not least at political and sport events where several ENG Teams operate in parallel in different areas.</w:t>
            </w:r>
          </w:p>
          <w:p w:rsidR="00030A3D" w:rsidRDefault="00030A3D" w:rsidP="000208CE">
            <w:pPr>
              <w:jc w:val="both"/>
              <w:rPr>
                <w:lang w:val="en-GB"/>
              </w:rPr>
            </w:pPr>
          </w:p>
          <w:p w:rsidR="00030A3D" w:rsidRDefault="00030A3D" w:rsidP="000208CE">
            <w:pPr>
              <w:jc w:val="both"/>
              <w:rPr>
                <w:lang w:val="en-GB"/>
              </w:rPr>
            </w:pPr>
            <w:r>
              <w:rPr>
                <w:lang w:val="en-GB"/>
              </w:rPr>
              <w:t>All these events in one venue have one thing in common: they are separated by walls of by a certain distance. Separation by room, house walls or ceilings usually gives a signal attenuation of more than 15dB in addition to the path loss. Taking this into account the intermodulation of the system shown above will be very low in the neighbour room or neighbour venue. This allows taking the same set of frequencies for the neighbour venue, but shifting all the frequencies by the same amount. Optimizing this process will deliver the following result and will give the answer to the above asked question “how many links can operate in parallel in the L-Band:</w:t>
            </w:r>
          </w:p>
          <w:p w:rsidR="00030A3D" w:rsidRDefault="00030A3D" w:rsidP="00030A3D">
            <w:pPr>
              <w:rPr>
                <w:lang w:val="en-GB"/>
              </w:rPr>
            </w:pPr>
          </w:p>
          <w:p w:rsidR="00030A3D" w:rsidRDefault="00030A3D" w:rsidP="00030A3D">
            <w:pPr>
              <w:rPr>
                <w:lang w:val="en-GB"/>
              </w:rPr>
            </w:pPr>
            <w:r>
              <w:rPr>
                <w:lang w:val="en-GB"/>
              </w:rPr>
              <w:t>224 links can operate in parallel in one venue.</w:t>
            </w:r>
          </w:p>
          <w:p w:rsidR="00030A3D" w:rsidRDefault="00030A3D" w:rsidP="00030A3D">
            <w:pPr>
              <w:rPr>
                <w:lang w:val="en-GB"/>
              </w:rPr>
            </w:pPr>
          </w:p>
          <w:p w:rsidR="00030A3D" w:rsidRPr="005F0B16" w:rsidRDefault="000208CE" w:rsidP="00030A3D">
            <w:pPr>
              <w:rPr>
                <w:lang w:val="en-GB"/>
              </w:rPr>
            </w:pPr>
            <w:r>
              <w:rPr>
                <w:noProof/>
              </w:rPr>
              <w:drawing>
                <wp:inline distT="0" distB="0" distL="0" distR="0">
                  <wp:extent cx="5970905" cy="1719580"/>
                  <wp:effectExtent l="19050" t="19050" r="10795" b="13970"/>
                  <wp:docPr id="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0905" cy="1719580"/>
                          </a:xfrm>
                          <a:prstGeom prst="rect">
                            <a:avLst/>
                          </a:prstGeom>
                          <a:noFill/>
                          <a:ln w="6350">
                            <a:solidFill>
                              <a:schemeClr val="bg1">
                                <a:lumMod val="85000"/>
                              </a:schemeClr>
                            </a:solidFill>
                          </a:ln>
                        </pic:spPr>
                      </pic:pic>
                    </a:graphicData>
                  </a:graphic>
                </wp:inline>
              </w:drawing>
            </w:r>
          </w:p>
          <w:p w:rsidR="00030A3D" w:rsidRPr="001E003D" w:rsidRDefault="00030A3D" w:rsidP="00030A3D"/>
          <w:p w:rsidR="00030A3D" w:rsidRDefault="00030A3D" w:rsidP="00030A3D">
            <w:pPr>
              <w:rPr>
                <w:lang w:val="en-GB"/>
              </w:rPr>
            </w:pPr>
            <w:r>
              <w:rPr>
                <w:lang w:val="en-GB"/>
              </w:rPr>
              <w:t>The calculation result shown above was done for standard equipment.</w:t>
            </w:r>
          </w:p>
          <w:p w:rsidR="00030A3D" w:rsidRPr="00A8278A" w:rsidRDefault="00030A3D" w:rsidP="00030A3D">
            <w:pPr>
              <w:rPr>
                <w:lang w:val="en-GB"/>
              </w:rPr>
            </w:pPr>
          </w:p>
          <w:p w:rsidR="00030A3D" w:rsidRDefault="00030A3D" w:rsidP="000208CE">
            <w:pPr>
              <w:jc w:val="both"/>
              <w:rPr>
                <w:lang w:val="en-GB"/>
              </w:rPr>
            </w:pPr>
            <w:r>
              <w:rPr>
                <w:lang w:val="en-GB"/>
              </w:rPr>
              <w:t xml:space="preserve">As shown in the graph above these locations a named S1, S2, S3 etc. The colours assigned to these locations can be found in the graph that shows the frequencies in the L-Band from left to right. By shifting the frequencies to higher ones there will come the point where one of these </w:t>
            </w:r>
            <w:r>
              <w:rPr>
                <w:lang w:val="en-GB"/>
              </w:rPr>
              <w:lastRenderedPageBreak/>
              <w:t>frequencies exceeds the upper limit of the L-Band range. These frequencies have to be left out.</w:t>
            </w:r>
          </w:p>
          <w:p w:rsidR="00030A3D" w:rsidRDefault="00030A3D" w:rsidP="000208CE">
            <w:pPr>
              <w:jc w:val="both"/>
              <w:rPr>
                <w:lang w:val="en-GB"/>
              </w:rPr>
            </w:pPr>
            <w:r>
              <w:rPr>
                <w:lang w:val="en-GB"/>
              </w:rPr>
              <w:t>This is the reason why the 10 different venues shown on the right of the graph have a different set of frequencies for the use in that location: some venues have more, some fewer frequencies.</w:t>
            </w:r>
          </w:p>
          <w:p w:rsidR="00030A3D" w:rsidRDefault="00030A3D" w:rsidP="000208CE">
            <w:pPr>
              <w:jc w:val="both"/>
              <w:rPr>
                <w:lang w:val="en-GB"/>
              </w:rPr>
            </w:pPr>
          </w:p>
          <w:p w:rsidR="00030A3D" w:rsidRDefault="00030A3D" w:rsidP="000208CE">
            <w:pPr>
              <w:jc w:val="both"/>
              <w:rPr>
                <w:lang w:val="en-GB"/>
              </w:rPr>
            </w:pPr>
            <w:r>
              <w:rPr>
                <w:lang w:val="en-GB"/>
              </w:rPr>
              <w:t>The carriers in the graph have different level. The one with the highest level is the venue which is the reference, from which one can look to the signals of the neighbour venues. The difference in level of the other locations indicates the attenuation the signals experience on the way to the reference location.</w:t>
            </w:r>
          </w:p>
          <w:p w:rsidR="00030A3D" w:rsidRDefault="00030A3D" w:rsidP="000208CE">
            <w:pPr>
              <w:jc w:val="both"/>
              <w:rPr>
                <w:lang w:val="en-GB"/>
              </w:rPr>
            </w:pPr>
          </w:p>
          <w:p w:rsidR="00030A3D" w:rsidRDefault="00030A3D" w:rsidP="000208CE">
            <w:pPr>
              <w:jc w:val="both"/>
              <w:rPr>
                <w:lang w:val="en-GB"/>
              </w:rPr>
            </w:pPr>
            <w:r>
              <w:rPr>
                <w:lang w:val="en-GB"/>
              </w:rPr>
              <w:t xml:space="preserve">Each of the venues on its own have intermodulation free frequencies, but there is a risk of interference if the wanted carrier falls below the intermodulation frequency level of one of the venues. This can only happen if one of the wireless microphones leaves its venue. For high quality productions there is no alternative than intermodulation free arrangement of a set of frequencies as shown in the first graph. </w:t>
            </w:r>
          </w:p>
          <w:p w:rsidR="00030A3D" w:rsidRDefault="00030A3D" w:rsidP="000208CE">
            <w:pPr>
              <w:jc w:val="both"/>
              <w:rPr>
                <w:lang w:val="en-GB"/>
              </w:rPr>
            </w:pPr>
          </w:p>
          <w:p w:rsidR="00030A3D" w:rsidRDefault="00030A3D" w:rsidP="000208CE">
            <w:pPr>
              <w:jc w:val="both"/>
              <w:rPr>
                <w:lang w:val="en-GB"/>
              </w:rPr>
            </w:pPr>
            <w:r>
              <w:rPr>
                <w:lang w:val="en-GB"/>
              </w:rPr>
              <w:t xml:space="preserve">It has to be mentioned that this scenario as described above will work outdoors only if the distances between the venues delivers a signal attenuation of more than 15dB. </w:t>
            </w:r>
          </w:p>
          <w:p w:rsidR="00030A3D" w:rsidRDefault="00030A3D" w:rsidP="000208CE">
            <w:pPr>
              <w:jc w:val="both"/>
              <w:rPr>
                <w:lang w:val="en-GB"/>
              </w:rPr>
            </w:pPr>
          </w:p>
          <w:p w:rsidR="00030A3D" w:rsidRDefault="00030A3D" w:rsidP="000208CE">
            <w:pPr>
              <w:jc w:val="both"/>
              <w:rPr>
                <w:lang w:val="en-GB"/>
              </w:rPr>
            </w:pPr>
            <w:r>
              <w:rPr>
                <w:lang w:val="en-GB"/>
              </w:rPr>
              <w:t>The system as described above is proven by practical application in everyday operation in the UHF range – for the venues as named above. This is usually done by the professional frequency coordinator who takes all the important parameters into account.</w:t>
            </w:r>
          </w:p>
          <w:p w:rsidR="00030A3D" w:rsidRDefault="00030A3D" w:rsidP="000208CE">
            <w:pPr>
              <w:jc w:val="both"/>
              <w:rPr>
                <w:lang w:val="en-GB"/>
              </w:rPr>
            </w:pPr>
          </w:p>
          <w:p w:rsidR="00030A3D" w:rsidRDefault="00030A3D" w:rsidP="000208CE">
            <w:pPr>
              <w:jc w:val="both"/>
              <w:rPr>
                <w:lang w:val="en-GB"/>
              </w:rPr>
            </w:pPr>
            <w:r>
              <w:rPr>
                <w:lang w:val="en-GB"/>
              </w:rPr>
              <w:t>It needs to be mentioned that the use of PMSE with extended bandwidth, 400kHz or 600kHz, will reduce the maximum number of wireless links that can be used in one venue and a mixed scenario.</w:t>
            </w:r>
          </w:p>
          <w:p w:rsidR="00E72FC8" w:rsidRPr="00030A3D" w:rsidRDefault="00E72FC8" w:rsidP="00E72FC8">
            <w:pPr>
              <w:spacing w:before="60" w:after="60"/>
              <w:ind w:left="60"/>
              <w:rPr>
                <w:rFonts w:ascii="Arial" w:hAnsi="Arial" w:cs="Arial"/>
                <w:sz w:val="22"/>
                <w:szCs w:val="22"/>
                <w:lang w:val="en-GB"/>
              </w:rPr>
            </w:pPr>
          </w:p>
        </w:tc>
      </w:tr>
    </w:tbl>
    <w:p w:rsidR="00C44DFE" w:rsidRPr="00D33BCE" w:rsidRDefault="00C44DFE" w:rsidP="00C44DFE">
      <w:pPr>
        <w:jc w:val="both"/>
        <w:rPr>
          <w:sz w:val="22"/>
          <w:lang w:val="en-GB" w:eastAsia="de-DE"/>
        </w:rPr>
      </w:pPr>
    </w:p>
    <w:p w:rsidR="007C1795" w:rsidRPr="000208CE" w:rsidRDefault="007C1795" w:rsidP="000208CE">
      <w:pPr>
        <w:rPr>
          <w:rFonts w:cs="Calibri"/>
          <w:lang w:val="en-US"/>
        </w:rPr>
      </w:pPr>
    </w:p>
    <w:sectPr w:rsidR="007C1795" w:rsidRPr="000208CE" w:rsidSect="00C44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1E" w:rsidRDefault="00A1661E" w:rsidP="001F3A55">
      <w:r>
        <w:separator/>
      </w:r>
    </w:p>
  </w:endnote>
  <w:endnote w:type="continuationSeparator" w:id="0">
    <w:p w:rsidR="00A1661E" w:rsidRDefault="00A1661E" w:rsidP="001F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1E" w:rsidRDefault="00A1661E" w:rsidP="001F3A55">
      <w:r>
        <w:separator/>
      </w:r>
    </w:p>
  </w:footnote>
  <w:footnote w:type="continuationSeparator" w:id="0">
    <w:p w:rsidR="00A1661E" w:rsidRDefault="00A1661E" w:rsidP="001F3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9467C2"/>
    <w:lvl w:ilvl="0">
      <w:numFmt w:val="decimal"/>
      <w:lvlText w:val="*"/>
      <w:lvlJc w:val="left"/>
      <w:pPr>
        <w:ind w:left="0" w:firstLine="0"/>
      </w:pPr>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9">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cs="Times New Roman"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Times New Roman"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Times New Roman" w:hint="default"/>
      </w:rPr>
    </w:lvl>
    <w:lvl w:ilvl="8">
      <w:start w:val="1"/>
      <w:numFmt w:val="bullet"/>
      <w:lvlText w:val=""/>
      <w:lvlJc w:val="left"/>
      <w:pPr>
        <w:tabs>
          <w:tab w:val="num" w:pos="6825"/>
        </w:tabs>
        <w:ind w:left="6825" w:hanging="360"/>
      </w:pPr>
      <w:rPr>
        <w:rFonts w:ascii="Wingdings" w:hAnsi="Wingdings" w:hint="default"/>
      </w:rPr>
    </w:lvl>
  </w:abstractNum>
  <w:abstractNum w:abstractNumId="12">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5"/>
  </w:num>
  <w:num w:numId="6">
    <w:abstractNumId w:val="12"/>
  </w:num>
  <w:num w:numId="7">
    <w:abstractNumId w:val="7"/>
  </w:num>
  <w:num w:numId="8">
    <w:abstractNumId w:val="6"/>
  </w:num>
  <w:num w:numId="9">
    <w:abstractNumId w:val="1"/>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4E"/>
    <w:rsid w:val="000208CE"/>
    <w:rsid w:val="00030A3D"/>
    <w:rsid w:val="00041FAD"/>
    <w:rsid w:val="001C604F"/>
    <w:rsid w:val="001F3A55"/>
    <w:rsid w:val="002C43A0"/>
    <w:rsid w:val="00336D21"/>
    <w:rsid w:val="0037628F"/>
    <w:rsid w:val="00391BE9"/>
    <w:rsid w:val="0040612C"/>
    <w:rsid w:val="0051454C"/>
    <w:rsid w:val="00592EDB"/>
    <w:rsid w:val="005C7409"/>
    <w:rsid w:val="00604D5B"/>
    <w:rsid w:val="006A0771"/>
    <w:rsid w:val="00770899"/>
    <w:rsid w:val="007C1795"/>
    <w:rsid w:val="007E5E95"/>
    <w:rsid w:val="00842066"/>
    <w:rsid w:val="00886EE0"/>
    <w:rsid w:val="00924719"/>
    <w:rsid w:val="00964CB6"/>
    <w:rsid w:val="00981DAD"/>
    <w:rsid w:val="00A1661E"/>
    <w:rsid w:val="00A3734E"/>
    <w:rsid w:val="00A642A5"/>
    <w:rsid w:val="00A8278A"/>
    <w:rsid w:val="00B64FFB"/>
    <w:rsid w:val="00B80619"/>
    <w:rsid w:val="00B85E85"/>
    <w:rsid w:val="00C44DFE"/>
    <w:rsid w:val="00C768ED"/>
    <w:rsid w:val="00CF613B"/>
    <w:rsid w:val="00D670E7"/>
    <w:rsid w:val="00E51D71"/>
    <w:rsid w:val="00E72FC8"/>
    <w:rsid w:val="00EB58D7"/>
    <w:rsid w:val="00ED08EB"/>
    <w:rsid w:val="00EE3899"/>
    <w:rsid w:val="00F124F8"/>
    <w:rsid w:val="00F35BE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Body Text" w:locked="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934"/>
    <w:rPr>
      <w:sz w:val="24"/>
      <w:szCs w:val="24"/>
      <w:lang w:val="fr-FR" w:eastAsia="fr-FR"/>
    </w:rPr>
  </w:style>
  <w:style w:type="paragraph" w:styleId="Titre1">
    <w:name w:val="heading 1"/>
    <w:basedOn w:val="Normal"/>
    <w:next w:val="Normal"/>
    <w:link w:val="Titre1Car"/>
    <w:qFormat/>
    <w:pPr>
      <w:keepNext/>
      <w:spacing w:before="240" w:after="60"/>
      <w:outlineLvl w:val="0"/>
    </w:pPr>
    <w:rPr>
      <w:rFonts w:ascii="Calibri" w:hAnsi="Calibri"/>
      <w:b/>
      <w:bCs/>
      <w:kern w:val="32"/>
      <w:sz w:val="32"/>
      <w:szCs w:val="32"/>
    </w:rPr>
  </w:style>
  <w:style w:type="paragraph" w:styleId="Titre3">
    <w:name w:val="heading 3"/>
    <w:basedOn w:val="Normal"/>
    <w:next w:val="Normal"/>
    <w:link w:val="Titre3Car"/>
    <w:qFormat/>
    <w:pPr>
      <w:keepNext/>
      <w:spacing w:before="240" w:after="60"/>
      <w:outlineLvl w:val="2"/>
    </w:pPr>
    <w:rPr>
      <w:rFonts w:ascii="Calibri"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Pr>
      <w:rFonts w:ascii="Calibri" w:hAnsi="Calibri" w:cs="Times New Roman"/>
      <w:b/>
      <w:bCs/>
      <w:kern w:val="32"/>
      <w:sz w:val="32"/>
      <w:szCs w:val="32"/>
      <w:lang w:val="fr-FR" w:eastAsia="fr-FR"/>
    </w:rPr>
  </w:style>
  <w:style w:type="character" w:customStyle="1" w:styleId="Titre3Car">
    <w:name w:val="Titre 3 Car"/>
    <w:link w:val="Titre3"/>
    <w:locked/>
    <w:rPr>
      <w:rFonts w:ascii="Calibri" w:hAnsi="Calibri" w:cs="Times New Roman"/>
      <w:b/>
      <w:bCs/>
      <w:sz w:val="26"/>
      <w:szCs w:val="26"/>
      <w:lang w:val="fr-FR" w:eastAsia="fr-FR"/>
    </w:rPr>
  </w:style>
  <w:style w:type="paragraph" w:styleId="Corpsdetexte">
    <w:name w:val="Body Text"/>
    <w:aliases w:val="bt,heading3,Body Text - Level 2,Body,b,(Ctrl Shift B),Body Text Char1 Char,Body Text Char1 Char Char,NoticeText-List,Body Text Char Char Char,BT,GS,Heading 1 text,t1,taten_body"/>
    <w:basedOn w:val="Normal"/>
    <w:link w:val="CorpsdetexteCar"/>
    <w:pPr>
      <w:spacing w:before="120" w:after="120" w:line="288" w:lineRule="auto"/>
    </w:pPr>
    <w:rPr>
      <w:rFonts w:ascii="Arial" w:hAnsi="Arial"/>
      <w:sz w:val="20"/>
      <w:lang w:val="en-GB" w:eastAsia="en-GB"/>
    </w:rPr>
  </w:style>
  <w:style w:type="character" w:customStyle="1" w:styleId="CorpsdetexteCar">
    <w:name w:val="Corps de texte Car"/>
    <w:aliases w:val="bt Car,heading3 Car,Body Text - Level 2 Car,Body Car,b Car,(Ctrl Shift B) Car,Body Text Char1 Char Car,Body Text Char1 Char Char Car,NoticeText-List Car,Body Text Char Char Char Car,BT Car,GS Car,Heading 1 text Car,t1 Car"/>
    <w:link w:val="Corpsdetexte"/>
    <w:locked/>
    <w:rPr>
      <w:rFonts w:ascii="Arial" w:hAnsi="Arial" w:cs="Times New Roman"/>
      <w:sz w:val="24"/>
      <w:szCs w:val="24"/>
      <w:lang w:val="en-GB" w:eastAsia="en-GB"/>
    </w:rPr>
  </w:style>
  <w:style w:type="paragraph" w:customStyle="1" w:styleId="Elencoacolori-Colore11">
    <w:name w:val="Elenco a colori - Colore 11"/>
    <w:basedOn w:val="Normal"/>
    <w:pPr>
      <w:spacing w:line="276" w:lineRule="auto"/>
      <w:ind w:left="720"/>
      <w:contextualSpacing/>
      <w:jc w:val="both"/>
    </w:pPr>
    <w:rPr>
      <w:rFonts w:ascii="Calibri" w:hAnsi="Calibri"/>
      <w:sz w:val="22"/>
      <w:szCs w:val="22"/>
      <w:lang w:val="en-GB" w:eastAsia="en-US"/>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locked/>
    <w:rPr>
      <w:rFonts w:ascii="Tahoma" w:hAnsi="Tahoma" w:cs="Tahoma"/>
      <w:sz w:val="16"/>
      <w:szCs w:val="16"/>
      <w:lang w:val="fr-FR" w:eastAsia="fr-FR"/>
    </w:rPr>
  </w:style>
  <w:style w:type="character" w:styleId="lev">
    <w:name w:val="Strong"/>
    <w:qFormat/>
    <w:rPr>
      <w:rFonts w:cs="Times New Roman"/>
      <w:b/>
    </w:rPr>
  </w:style>
  <w:style w:type="character" w:styleId="Lienhypertexte">
    <w:name w:val="Hyperlink"/>
    <w:rPr>
      <w:rFonts w:cs="Times New Roman"/>
      <w:color w:val="0000FF"/>
      <w:u w:val="single"/>
    </w:rPr>
  </w:style>
  <w:style w:type="paragraph" w:styleId="Paragraphedeliste">
    <w:name w:val="List Paragraph"/>
    <w:basedOn w:val="Normal"/>
    <w:uiPriority w:val="34"/>
    <w:qFormat/>
    <w:rsid w:val="00B64FFB"/>
    <w:pPr>
      <w:ind w:left="1304"/>
    </w:pPr>
  </w:style>
  <w:style w:type="table" w:styleId="Grilledutableau">
    <w:name w:val="Table Grid"/>
    <w:basedOn w:val="TableauNormal"/>
    <w:rsid w:val="001F3A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1F3A55"/>
    <w:pPr>
      <w:spacing w:after="200" w:line="276" w:lineRule="auto"/>
    </w:pPr>
    <w:rPr>
      <w:rFonts w:ascii="Calibri" w:hAnsi="Calibri"/>
      <w:sz w:val="20"/>
      <w:szCs w:val="20"/>
      <w:lang w:val="en-GB" w:eastAsia="en-GB"/>
    </w:rPr>
  </w:style>
  <w:style w:type="character" w:customStyle="1" w:styleId="NotedebasdepageCar">
    <w:name w:val="Note de bas de page Car"/>
    <w:link w:val="Notedebasdepage"/>
    <w:uiPriority w:val="99"/>
    <w:rsid w:val="001F3A55"/>
    <w:rPr>
      <w:rFonts w:ascii="Calibri" w:hAnsi="Calibri"/>
      <w:lang w:val="en-GB" w:eastAsia="en-GB"/>
    </w:rPr>
  </w:style>
  <w:style w:type="character" w:styleId="Appelnotedebasdep">
    <w:name w:val="footnote reference"/>
    <w:uiPriority w:val="99"/>
    <w:unhideWhenUsed/>
    <w:rsid w:val="001F3A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Body Text" w:locked="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934"/>
    <w:rPr>
      <w:sz w:val="24"/>
      <w:szCs w:val="24"/>
      <w:lang w:val="fr-FR" w:eastAsia="fr-FR"/>
    </w:rPr>
  </w:style>
  <w:style w:type="paragraph" w:styleId="Titre1">
    <w:name w:val="heading 1"/>
    <w:basedOn w:val="Normal"/>
    <w:next w:val="Normal"/>
    <w:link w:val="Titre1Car"/>
    <w:qFormat/>
    <w:pPr>
      <w:keepNext/>
      <w:spacing w:before="240" w:after="60"/>
      <w:outlineLvl w:val="0"/>
    </w:pPr>
    <w:rPr>
      <w:rFonts w:ascii="Calibri" w:hAnsi="Calibri"/>
      <w:b/>
      <w:bCs/>
      <w:kern w:val="32"/>
      <w:sz w:val="32"/>
      <w:szCs w:val="32"/>
    </w:rPr>
  </w:style>
  <w:style w:type="paragraph" w:styleId="Titre3">
    <w:name w:val="heading 3"/>
    <w:basedOn w:val="Normal"/>
    <w:next w:val="Normal"/>
    <w:link w:val="Titre3Car"/>
    <w:qFormat/>
    <w:pPr>
      <w:keepNext/>
      <w:spacing w:before="240" w:after="60"/>
      <w:outlineLvl w:val="2"/>
    </w:pPr>
    <w:rPr>
      <w:rFonts w:ascii="Calibri"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Pr>
      <w:rFonts w:ascii="Calibri" w:hAnsi="Calibri" w:cs="Times New Roman"/>
      <w:b/>
      <w:bCs/>
      <w:kern w:val="32"/>
      <w:sz w:val="32"/>
      <w:szCs w:val="32"/>
      <w:lang w:val="fr-FR" w:eastAsia="fr-FR"/>
    </w:rPr>
  </w:style>
  <w:style w:type="character" w:customStyle="1" w:styleId="Titre3Car">
    <w:name w:val="Titre 3 Car"/>
    <w:link w:val="Titre3"/>
    <w:locked/>
    <w:rPr>
      <w:rFonts w:ascii="Calibri" w:hAnsi="Calibri" w:cs="Times New Roman"/>
      <w:b/>
      <w:bCs/>
      <w:sz w:val="26"/>
      <w:szCs w:val="26"/>
      <w:lang w:val="fr-FR" w:eastAsia="fr-FR"/>
    </w:rPr>
  </w:style>
  <w:style w:type="paragraph" w:styleId="Corpsdetexte">
    <w:name w:val="Body Text"/>
    <w:aliases w:val="bt,heading3,Body Text - Level 2,Body,b,(Ctrl Shift B),Body Text Char1 Char,Body Text Char1 Char Char,NoticeText-List,Body Text Char Char Char,BT,GS,Heading 1 text,t1,taten_body"/>
    <w:basedOn w:val="Normal"/>
    <w:link w:val="CorpsdetexteCar"/>
    <w:pPr>
      <w:spacing w:before="120" w:after="120" w:line="288" w:lineRule="auto"/>
    </w:pPr>
    <w:rPr>
      <w:rFonts w:ascii="Arial" w:hAnsi="Arial"/>
      <w:sz w:val="20"/>
      <w:lang w:val="en-GB" w:eastAsia="en-GB"/>
    </w:rPr>
  </w:style>
  <w:style w:type="character" w:customStyle="1" w:styleId="CorpsdetexteCar">
    <w:name w:val="Corps de texte Car"/>
    <w:aliases w:val="bt Car,heading3 Car,Body Text - Level 2 Car,Body Car,b Car,(Ctrl Shift B) Car,Body Text Char1 Char Car,Body Text Char1 Char Char Car,NoticeText-List Car,Body Text Char Char Char Car,BT Car,GS Car,Heading 1 text Car,t1 Car"/>
    <w:link w:val="Corpsdetexte"/>
    <w:locked/>
    <w:rPr>
      <w:rFonts w:ascii="Arial" w:hAnsi="Arial" w:cs="Times New Roman"/>
      <w:sz w:val="24"/>
      <w:szCs w:val="24"/>
      <w:lang w:val="en-GB" w:eastAsia="en-GB"/>
    </w:rPr>
  </w:style>
  <w:style w:type="paragraph" w:customStyle="1" w:styleId="Elencoacolori-Colore11">
    <w:name w:val="Elenco a colori - Colore 11"/>
    <w:basedOn w:val="Normal"/>
    <w:pPr>
      <w:spacing w:line="276" w:lineRule="auto"/>
      <w:ind w:left="720"/>
      <w:contextualSpacing/>
      <w:jc w:val="both"/>
    </w:pPr>
    <w:rPr>
      <w:rFonts w:ascii="Calibri" w:hAnsi="Calibri"/>
      <w:sz w:val="22"/>
      <w:szCs w:val="22"/>
      <w:lang w:val="en-GB" w:eastAsia="en-US"/>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locked/>
    <w:rPr>
      <w:rFonts w:ascii="Tahoma" w:hAnsi="Tahoma" w:cs="Tahoma"/>
      <w:sz w:val="16"/>
      <w:szCs w:val="16"/>
      <w:lang w:val="fr-FR" w:eastAsia="fr-FR"/>
    </w:rPr>
  </w:style>
  <w:style w:type="character" w:styleId="lev">
    <w:name w:val="Strong"/>
    <w:qFormat/>
    <w:rPr>
      <w:rFonts w:cs="Times New Roman"/>
      <w:b/>
    </w:rPr>
  </w:style>
  <w:style w:type="character" w:styleId="Lienhypertexte">
    <w:name w:val="Hyperlink"/>
    <w:rPr>
      <w:rFonts w:cs="Times New Roman"/>
      <w:color w:val="0000FF"/>
      <w:u w:val="single"/>
    </w:rPr>
  </w:style>
  <w:style w:type="paragraph" w:styleId="Paragraphedeliste">
    <w:name w:val="List Paragraph"/>
    <w:basedOn w:val="Normal"/>
    <w:uiPriority w:val="34"/>
    <w:qFormat/>
    <w:rsid w:val="00B64FFB"/>
    <w:pPr>
      <w:ind w:left="1304"/>
    </w:pPr>
  </w:style>
  <w:style w:type="table" w:styleId="Grilledutableau">
    <w:name w:val="Table Grid"/>
    <w:basedOn w:val="TableauNormal"/>
    <w:rsid w:val="001F3A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1F3A55"/>
    <w:pPr>
      <w:spacing w:after="200" w:line="276" w:lineRule="auto"/>
    </w:pPr>
    <w:rPr>
      <w:rFonts w:ascii="Calibri" w:hAnsi="Calibri"/>
      <w:sz w:val="20"/>
      <w:szCs w:val="20"/>
      <w:lang w:val="en-GB" w:eastAsia="en-GB"/>
    </w:rPr>
  </w:style>
  <w:style w:type="character" w:customStyle="1" w:styleId="NotedebasdepageCar">
    <w:name w:val="Note de bas de page Car"/>
    <w:link w:val="Notedebasdepage"/>
    <w:uiPriority w:val="99"/>
    <w:rsid w:val="001F3A55"/>
    <w:rPr>
      <w:rFonts w:ascii="Calibri" w:hAnsi="Calibri"/>
      <w:lang w:val="en-GB" w:eastAsia="en-GB"/>
    </w:rPr>
  </w:style>
  <w:style w:type="character" w:styleId="Appelnotedebasdep">
    <w:name w:val="footnote reference"/>
    <w:uiPriority w:val="99"/>
    <w:unhideWhenUsed/>
    <w:rsid w:val="001F3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59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4356</Characters>
  <Application>Microsoft Office Word</Application>
  <DocSecurity>0</DocSecurity>
  <Lines>36</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Qualcomm Inc.</Company>
  <LinksUpToDate>false</LinksUpToDate>
  <CharactersWithSpaces>5137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Hanns Wolter</dc:creator>
  <cp:lastModifiedBy>DESCHAMPS Benoist</cp:lastModifiedBy>
  <cp:revision>5</cp:revision>
  <cp:lastPrinted>2012-05-15T17:06:00Z</cp:lastPrinted>
  <dcterms:created xsi:type="dcterms:W3CDTF">2012-05-15T17:02:00Z</dcterms:created>
  <dcterms:modified xsi:type="dcterms:W3CDTF">2012-05-16T11:27:00Z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