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8" w:type="dxa"/>
        <w:tblLayout w:type="fixed"/>
        <w:tblLook w:val="0000" w:firstRow="0" w:lastRow="0" w:firstColumn="0" w:lastColumn="0" w:noHBand="0" w:noVBand="0"/>
      </w:tblPr>
      <w:tblGrid>
        <w:gridCol w:w="8"/>
        <w:gridCol w:w="3500"/>
        <w:gridCol w:w="300"/>
        <w:gridCol w:w="1545"/>
        <w:gridCol w:w="155"/>
        <w:gridCol w:w="360"/>
        <w:gridCol w:w="1840"/>
        <w:gridCol w:w="1900"/>
      </w:tblGrid>
      <w:tr w:rsidR="00D5763F" w:rsidRPr="00D33BCE" w:rsidTr="007271DF">
        <w:tc>
          <w:tcPr>
            <w:tcW w:w="5353" w:type="dxa"/>
            <w:gridSpan w:val="4"/>
          </w:tcPr>
          <w:p w:rsidR="00D5763F" w:rsidRPr="00D33BCE" w:rsidRDefault="00D5763F" w:rsidP="007271DF">
            <w:pPr>
              <w:jc w:val="both"/>
              <w:rPr>
                <w:rFonts w:ascii="Arial" w:hAnsi="Arial" w:cs="Arial"/>
                <w:b/>
                <w:lang w:val="en-GB" w:eastAsia="de-DE"/>
              </w:rPr>
            </w:pPr>
            <w:r>
              <w:rPr>
                <w:b/>
                <w:caps/>
                <w:noProof/>
                <w:lang w:val="fr-FR" w:eastAsia="fr-FR"/>
              </w:rPr>
              <w:drawing>
                <wp:inline distT="0" distB="0" distL="0" distR="0">
                  <wp:extent cx="1609725" cy="9429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1609725" cy="942975"/>
                          </a:xfrm>
                          <a:prstGeom prst="rect">
                            <a:avLst/>
                          </a:prstGeom>
                          <a:noFill/>
                          <a:ln w="9525">
                            <a:noFill/>
                            <a:miter lim="800000"/>
                            <a:headEnd/>
                            <a:tailEnd/>
                          </a:ln>
                        </pic:spPr>
                      </pic:pic>
                    </a:graphicData>
                  </a:graphic>
                </wp:inline>
              </w:drawing>
            </w:r>
          </w:p>
        </w:tc>
        <w:tc>
          <w:tcPr>
            <w:tcW w:w="2355" w:type="dxa"/>
            <w:gridSpan w:val="3"/>
          </w:tcPr>
          <w:p w:rsidR="00D5763F" w:rsidRPr="00D33BCE" w:rsidRDefault="00D5763F" w:rsidP="007271DF">
            <w:pPr>
              <w:jc w:val="both"/>
              <w:rPr>
                <w:rFonts w:ascii="Arial" w:hAnsi="Arial" w:cs="Arial"/>
                <w:b/>
                <w:lang w:val="en-GB" w:eastAsia="de-DE"/>
              </w:rPr>
            </w:pPr>
          </w:p>
          <w:p w:rsidR="00D5763F" w:rsidRPr="00D33BCE" w:rsidRDefault="00D5763F" w:rsidP="007271DF">
            <w:pPr>
              <w:jc w:val="both"/>
              <w:rPr>
                <w:rFonts w:ascii="Arial" w:hAnsi="Arial" w:cs="Arial"/>
                <w:b/>
                <w:lang w:val="en-GB" w:eastAsia="de-DE"/>
              </w:rPr>
            </w:pPr>
          </w:p>
          <w:p w:rsidR="00D5763F" w:rsidRPr="00D33BCE" w:rsidRDefault="00D5763F" w:rsidP="007271DF">
            <w:pPr>
              <w:jc w:val="both"/>
              <w:rPr>
                <w:rFonts w:ascii="Arial" w:hAnsi="Arial" w:cs="Arial"/>
                <w:b/>
                <w:lang w:val="en-GB" w:eastAsia="de-DE"/>
              </w:rPr>
            </w:pPr>
          </w:p>
          <w:p w:rsidR="00D5763F" w:rsidRPr="00D33BCE" w:rsidRDefault="00D5763F" w:rsidP="007271DF">
            <w:pPr>
              <w:jc w:val="both"/>
              <w:rPr>
                <w:rFonts w:ascii="Arial" w:hAnsi="Arial" w:cs="Arial"/>
                <w:b/>
                <w:lang w:val="en-GB" w:eastAsia="de-DE"/>
              </w:rPr>
            </w:pPr>
          </w:p>
        </w:tc>
        <w:tc>
          <w:tcPr>
            <w:tcW w:w="1900" w:type="dxa"/>
          </w:tcPr>
          <w:p w:rsidR="00D5763F" w:rsidRPr="00D33BCE" w:rsidRDefault="00D5763F" w:rsidP="007271DF">
            <w:pPr>
              <w:jc w:val="right"/>
              <w:rPr>
                <w:rFonts w:ascii="Arial" w:hAnsi="Arial" w:cs="Arial"/>
                <w:b/>
                <w:lang w:val="en-GB" w:eastAsia="de-DE"/>
              </w:rPr>
            </w:pPr>
            <w:r>
              <w:rPr>
                <w:rFonts w:ascii="Arial" w:hAnsi="Arial" w:cs="Arial"/>
                <w:b/>
                <w:lang w:val="en-GB" w:eastAsia="de-DE"/>
              </w:rPr>
              <w:t>FM50(12</w:t>
            </w:r>
            <w:r w:rsidRPr="00D33BCE">
              <w:rPr>
                <w:rFonts w:ascii="Arial" w:hAnsi="Arial" w:cs="Arial"/>
                <w:b/>
                <w:lang w:val="en-GB" w:eastAsia="de-DE"/>
              </w:rPr>
              <w:t>)</w:t>
            </w:r>
            <w:r w:rsidR="00C601FB">
              <w:rPr>
                <w:rFonts w:ascii="Arial" w:hAnsi="Arial" w:cs="Arial"/>
                <w:b/>
                <w:lang w:val="en-GB" w:eastAsia="de-DE"/>
              </w:rPr>
              <w:t>061</w:t>
            </w:r>
          </w:p>
        </w:tc>
      </w:tr>
      <w:tr w:rsidR="00D5763F" w:rsidRPr="00032BB5" w:rsidTr="007271DF">
        <w:tc>
          <w:tcPr>
            <w:tcW w:w="9608" w:type="dxa"/>
            <w:gridSpan w:val="8"/>
          </w:tcPr>
          <w:p w:rsidR="00D5763F" w:rsidRDefault="00D5763F" w:rsidP="007271DF">
            <w:pPr>
              <w:rPr>
                <w:rFonts w:ascii="Arial" w:hAnsi="Arial" w:cs="Arial"/>
                <w:b/>
                <w:bCs/>
                <w:lang w:val="fi-FI"/>
              </w:rPr>
            </w:pPr>
          </w:p>
          <w:p w:rsidR="00D5763F" w:rsidRPr="00CF613B" w:rsidRDefault="00D5763F" w:rsidP="007271DF">
            <w:pPr>
              <w:rPr>
                <w:rFonts w:ascii="Arial" w:hAnsi="Arial" w:cs="Arial"/>
                <w:b/>
                <w:bCs/>
                <w:lang w:val="fi-FI"/>
              </w:rPr>
            </w:pPr>
            <w:r>
              <w:rPr>
                <w:rFonts w:ascii="Arial" w:hAnsi="Arial" w:cs="Arial"/>
                <w:b/>
                <w:bCs/>
                <w:lang w:val="fi-FI"/>
              </w:rPr>
              <w:t>7th</w:t>
            </w:r>
            <w:r w:rsidRPr="00CF613B">
              <w:rPr>
                <w:rFonts w:ascii="Arial" w:hAnsi="Arial" w:cs="Arial"/>
                <w:b/>
                <w:bCs/>
                <w:lang w:val="fi-FI"/>
              </w:rPr>
              <w:t xml:space="preserve"> Meeting of FM</w:t>
            </w:r>
            <w:r>
              <w:rPr>
                <w:rFonts w:ascii="Arial" w:hAnsi="Arial" w:cs="Arial"/>
                <w:b/>
                <w:bCs/>
                <w:lang w:val="fi-FI"/>
              </w:rPr>
              <w:t xml:space="preserve"> PT</w:t>
            </w:r>
            <w:r w:rsidRPr="00CF613B">
              <w:rPr>
                <w:rFonts w:ascii="Arial" w:hAnsi="Arial" w:cs="Arial"/>
                <w:b/>
                <w:bCs/>
                <w:lang w:val="fi-FI"/>
              </w:rPr>
              <w:t>50</w:t>
            </w:r>
          </w:p>
        </w:tc>
      </w:tr>
      <w:tr w:rsidR="00D5763F" w:rsidRPr="00D33BCE" w:rsidTr="007271DF">
        <w:trPr>
          <w:trHeight w:val="360"/>
        </w:trPr>
        <w:tc>
          <w:tcPr>
            <w:tcW w:w="5353" w:type="dxa"/>
            <w:gridSpan w:val="4"/>
          </w:tcPr>
          <w:p w:rsidR="00D5763F" w:rsidRPr="00CF613B" w:rsidRDefault="00D5763F" w:rsidP="007271DF">
            <w:pPr>
              <w:ind w:right="282"/>
              <w:rPr>
                <w:rFonts w:ascii="Arial" w:hAnsi="Arial" w:cs="Arial"/>
                <w:b/>
                <w:bCs/>
                <w:lang w:val="fi-FI"/>
              </w:rPr>
            </w:pPr>
            <w:r>
              <w:rPr>
                <w:rFonts w:ascii="Arial" w:hAnsi="Arial" w:cs="Arial"/>
                <w:b/>
                <w:bCs/>
                <w:lang w:val="fi-FI"/>
              </w:rPr>
              <w:t>22-25 May 2012</w:t>
            </w:r>
            <w:r w:rsidRPr="00CF613B">
              <w:rPr>
                <w:rFonts w:ascii="Arial" w:hAnsi="Arial" w:cs="Arial"/>
                <w:b/>
                <w:bCs/>
                <w:lang w:val="fi-FI"/>
              </w:rPr>
              <w:t xml:space="preserve">, </w:t>
            </w:r>
            <w:r>
              <w:rPr>
                <w:rFonts w:ascii="Arial" w:hAnsi="Arial" w:cs="Arial"/>
                <w:b/>
                <w:bCs/>
                <w:lang w:val="fi-FI"/>
              </w:rPr>
              <w:t>London</w:t>
            </w:r>
            <w:r w:rsidRPr="00CF613B">
              <w:rPr>
                <w:rFonts w:ascii="Arial" w:hAnsi="Arial" w:cs="Arial"/>
                <w:b/>
                <w:bCs/>
                <w:lang w:val="fi-FI"/>
              </w:rPr>
              <w:t xml:space="preserve">, </w:t>
            </w:r>
            <w:r>
              <w:rPr>
                <w:rFonts w:ascii="Arial" w:hAnsi="Arial" w:cs="Arial"/>
                <w:b/>
                <w:bCs/>
                <w:lang w:val="fi-FI"/>
              </w:rPr>
              <w:t>United Kingdom</w:t>
            </w:r>
          </w:p>
        </w:tc>
        <w:tc>
          <w:tcPr>
            <w:tcW w:w="4255" w:type="dxa"/>
            <w:gridSpan w:val="4"/>
          </w:tcPr>
          <w:p w:rsidR="00D5763F" w:rsidRPr="00CF613B" w:rsidRDefault="00D5763F" w:rsidP="007271DF">
            <w:pPr>
              <w:jc w:val="both"/>
              <w:rPr>
                <w:rFonts w:ascii="Arial" w:hAnsi="Arial" w:cs="Arial"/>
                <w:b/>
                <w:lang w:val="en-GB" w:eastAsia="de-DE"/>
              </w:rPr>
            </w:pPr>
          </w:p>
        </w:tc>
      </w:tr>
      <w:tr w:rsidR="00D5763F" w:rsidRPr="00032BB5" w:rsidTr="007271DF">
        <w:trPr>
          <w:cantSplit/>
          <w:trHeight w:val="1191"/>
        </w:trPr>
        <w:tc>
          <w:tcPr>
            <w:tcW w:w="9608" w:type="dxa"/>
            <w:gridSpan w:val="8"/>
          </w:tcPr>
          <w:p w:rsidR="00D5763F" w:rsidRPr="00CF613B" w:rsidRDefault="00D5763F" w:rsidP="007271DF">
            <w:pPr>
              <w:tabs>
                <w:tab w:val="left" w:pos="1582"/>
              </w:tabs>
              <w:jc w:val="both"/>
              <w:outlineLvl w:val="0"/>
              <w:rPr>
                <w:rFonts w:ascii="Arial" w:hAnsi="Arial" w:cs="Arial"/>
                <w:b/>
                <w:lang w:val="en-GB" w:eastAsia="de-DE"/>
              </w:rPr>
            </w:pPr>
            <w:r w:rsidRPr="00CF613B">
              <w:rPr>
                <w:rFonts w:ascii="Arial" w:hAnsi="Arial" w:cs="Arial"/>
                <w:b/>
                <w:lang w:val="en-GB" w:eastAsia="de-DE"/>
              </w:rPr>
              <w:t>Date issued:</w:t>
            </w:r>
            <w:r w:rsidRPr="00CF613B">
              <w:rPr>
                <w:rFonts w:ascii="Arial" w:hAnsi="Arial" w:cs="Arial"/>
                <w:b/>
                <w:lang w:val="en-GB" w:eastAsia="de-DE"/>
              </w:rPr>
              <w:tab/>
            </w:r>
            <w:r w:rsidR="00EB61B7">
              <w:rPr>
                <w:rFonts w:ascii="Arial" w:hAnsi="Arial" w:cs="Arial"/>
                <w:b/>
                <w:lang w:val="en-GB" w:eastAsia="de-DE"/>
              </w:rPr>
              <w:t>18</w:t>
            </w:r>
            <w:r>
              <w:rPr>
                <w:rFonts w:ascii="Arial" w:hAnsi="Arial" w:cs="Arial"/>
                <w:b/>
                <w:lang w:val="en-GB" w:eastAsia="de-DE"/>
              </w:rPr>
              <w:t xml:space="preserve"> May 2012</w:t>
            </w:r>
          </w:p>
          <w:p w:rsidR="00D5763F" w:rsidRPr="00CF613B" w:rsidRDefault="00D5763F" w:rsidP="007271DF">
            <w:pPr>
              <w:tabs>
                <w:tab w:val="left" w:pos="1582"/>
              </w:tabs>
              <w:spacing w:before="120"/>
              <w:jc w:val="both"/>
              <w:outlineLvl w:val="0"/>
              <w:rPr>
                <w:rFonts w:ascii="Arial" w:hAnsi="Arial" w:cs="Arial"/>
                <w:b/>
                <w:lang w:val="en-GB" w:eastAsia="de-DE"/>
              </w:rPr>
            </w:pPr>
            <w:r w:rsidRPr="00CF613B">
              <w:rPr>
                <w:rFonts w:ascii="Arial" w:hAnsi="Arial" w:cs="Arial"/>
                <w:b/>
                <w:lang w:val="en-GB" w:eastAsia="de-DE"/>
              </w:rPr>
              <w:t>Source:</w:t>
            </w:r>
            <w:r w:rsidRPr="00CF613B">
              <w:rPr>
                <w:rFonts w:ascii="Arial" w:hAnsi="Arial" w:cs="Arial"/>
                <w:b/>
                <w:lang w:val="en-GB" w:eastAsia="de-DE"/>
              </w:rPr>
              <w:tab/>
            </w:r>
            <w:r w:rsidR="00CC7F80" w:rsidRPr="00CC7F80">
              <w:rPr>
                <w:rFonts w:ascii="Arial" w:hAnsi="Arial" w:cs="Arial"/>
                <w:b/>
                <w:lang w:val="en-GB" w:eastAsia="de-DE"/>
              </w:rPr>
              <w:t>ECO forum on prioritisation of criteria (coordinator)</w:t>
            </w:r>
          </w:p>
          <w:p w:rsidR="00D5763F" w:rsidRPr="00CF613B" w:rsidRDefault="00D5763F" w:rsidP="007271DF">
            <w:pPr>
              <w:tabs>
                <w:tab w:val="left" w:pos="1571"/>
              </w:tabs>
              <w:spacing w:before="120" w:after="120"/>
              <w:jc w:val="both"/>
              <w:outlineLvl w:val="0"/>
              <w:rPr>
                <w:rFonts w:ascii="Arial" w:hAnsi="Arial" w:cs="Arial"/>
                <w:b/>
                <w:lang w:val="en-GB" w:eastAsia="de-DE"/>
              </w:rPr>
            </w:pPr>
            <w:r w:rsidRPr="00CF613B">
              <w:rPr>
                <w:rFonts w:ascii="Arial" w:hAnsi="Arial" w:cs="Arial"/>
                <w:b/>
                <w:lang w:val="en-GB" w:eastAsia="de-DE"/>
              </w:rPr>
              <w:t>Subject:</w:t>
            </w:r>
            <w:r w:rsidRPr="00CF613B">
              <w:rPr>
                <w:rFonts w:ascii="Arial" w:hAnsi="Arial" w:cs="Arial"/>
                <w:b/>
                <w:lang w:val="en-GB" w:eastAsia="de-DE"/>
              </w:rPr>
              <w:tab/>
            </w:r>
            <w:r w:rsidR="005E2E2F">
              <w:rPr>
                <w:rFonts w:ascii="Arial" w:hAnsi="Arial" w:cs="Arial"/>
                <w:b/>
                <w:lang w:val="en-GB" w:eastAsia="de-DE"/>
              </w:rPr>
              <w:t>Report from ECO forum activitiies</w:t>
            </w:r>
            <w:r w:rsidR="00193583">
              <w:rPr>
                <w:rFonts w:ascii="Arial" w:hAnsi="Arial" w:cs="Arial"/>
                <w:b/>
                <w:lang w:val="en-GB" w:eastAsia="de-DE"/>
              </w:rPr>
              <w:t xml:space="preserve"> and proposals from the coordinator</w:t>
            </w:r>
          </w:p>
        </w:tc>
      </w:tr>
      <w:tr w:rsidR="00D5763F" w:rsidRPr="00EB61B7" w:rsidTr="007271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3740" w:type="dxa"/>
        </w:trPr>
        <w:tc>
          <w:tcPr>
            <w:tcW w:w="3500" w:type="dxa"/>
            <w:tcBorders>
              <w:top w:val="nil"/>
              <w:left w:val="nil"/>
              <w:bottom w:val="nil"/>
            </w:tcBorders>
          </w:tcPr>
          <w:p w:rsidR="00D5763F" w:rsidRPr="00D33BCE" w:rsidRDefault="00D5763F" w:rsidP="007271DF">
            <w:pPr>
              <w:tabs>
                <w:tab w:val="left" w:pos="2930"/>
              </w:tabs>
              <w:jc w:val="both"/>
              <w:rPr>
                <w:rFonts w:ascii="Arial" w:hAnsi="Arial" w:cs="Arial"/>
                <w:b/>
                <w:sz w:val="20"/>
                <w:lang w:val="en-GB" w:eastAsia="de-DE"/>
              </w:rPr>
            </w:pPr>
            <w:r w:rsidRPr="00D33BCE">
              <w:rPr>
                <w:rFonts w:ascii="Arial" w:hAnsi="Arial" w:cs="Arial"/>
                <w:b/>
                <w:lang w:val="en-GB" w:eastAsia="de-DE"/>
              </w:rPr>
              <w:t>Password protected:</w:t>
            </w:r>
            <w:r w:rsidRPr="00D33BCE">
              <w:rPr>
                <w:rFonts w:ascii="Arial" w:hAnsi="Arial" w:cs="Arial"/>
                <w:b/>
                <w:lang w:val="en-GB" w:eastAsia="de-DE"/>
              </w:rPr>
              <w:tab/>
              <w:t>yes</w:t>
            </w:r>
          </w:p>
        </w:tc>
        <w:tc>
          <w:tcPr>
            <w:tcW w:w="300" w:type="dxa"/>
          </w:tcPr>
          <w:p w:rsidR="00D5763F" w:rsidRPr="00D33BCE" w:rsidRDefault="00D5763F" w:rsidP="007271DF">
            <w:pPr>
              <w:jc w:val="both"/>
              <w:rPr>
                <w:rFonts w:ascii="Arial" w:hAnsi="Arial" w:cs="Arial"/>
                <w:b/>
                <w:lang w:val="en-GB" w:eastAsia="de-DE"/>
              </w:rPr>
            </w:pPr>
          </w:p>
        </w:tc>
        <w:tc>
          <w:tcPr>
            <w:tcW w:w="1700" w:type="dxa"/>
            <w:gridSpan w:val="2"/>
            <w:tcBorders>
              <w:top w:val="nil"/>
              <w:bottom w:val="nil"/>
            </w:tcBorders>
          </w:tcPr>
          <w:p w:rsidR="00D5763F" w:rsidRPr="00D33BCE" w:rsidRDefault="00D5763F" w:rsidP="007271DF">
            <w:pPr>
              <w:tabs>
                <w:tab w:val="left" w:pos="1130"/>
              </w:tabs>
              <w:jc w:val="both"/>
              <w:rPr>
                <w:rFonts w:ascii="Arial" w:hAnsi="Arial" w:cs="Arial"/>
                <w:b/>
                <w:lang w:val="en-GB" w:eastAsia="de-DE"/>
              </w:rPr>
            </w:pPr>
            <w:r w:rsidRPr="00D33BCE">
              <w:rPr>
                <w:rFonts w:ascii="Arial" w:hAnsi="Arial" w:cs="Arial"/>
                <w:b/>
                <w:lang w:val="en-GB" w:eastAsia="de-DE"/>
              </w:rPr>
              <w:tab/>
              <w:t>No</w:t>
            </w:r>
          </w:p>
        </w:tc>
        <w:tc>
          <w:tcPr>
            <w:tcW w:w="360" w:type="dxa"/>
          </w:tcPr>
          <w:p w:rsidR="00D5763F" w:rsidRPr="00D33BCE" w:rsidRDefault="00D5763F" w:rsidP="007271DF">
            <w:pPr>
              <w:jc w:val="both"/>
              <w:rPr>
                <w:rFonts w:ascii="Arial" w:hAnsi="Arial" w:cs="Arial"/>
                <w:b/>
                <w:lang w:val="en-GB" w:eastAsia="de-DE"/>
              </w:rPr>
            </w:pPr>
            <w:r w:rsidRPr="00D33BCE">
              <w:rPr>
                <w:rFonts w:ascii="Arial" w:hAnsi="Arial" w:cs="Arial"/>
                <w:b/>
                <w:lang w:val="en-GB" w:eastAsia="de-DE"/>
              </w:rPr>
              <w:t>x</w:t>
            </w:r>
          </w:p>
        </w:tc>
      </w:tr>
    </w:tbl>
    <w:p w:rsidR="00D5763F" w:rsidRPr="00D33BCE" w:rsidRDefault="00D5763F" w:rsidP="00D5763F">
      <w:pPr>
        <w:jc w:val="both"/>
        <w:rPr>
          <w:lang w:val="en-GB" w:eastAsia="de-DE"/>
        </w:rPr>
      </w:pPr>
    </w:p>
    <w:p w:rsidR="00D5763F" w:rsidRPr="00D33BCE" w:rsidRDefault="00D5763F" w:rsidP="00D5763F">
      <w:pPr>
        <w:jc w:val="both"/>
        <w:rPr>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0"/>
      </w:tblGrid>
      <w:tr w:rsidR="00D5763F" w:rsidRPr="00032BB5" w:rsidTr="007271DF">
        <w:tc>
          <w:tcPr>
            <w:tcW w:w="9600" w:type="dxa"/>
          </w:tcPr>
          <w:p w:rsidR="00D5763F" w:rsidRPr="00D33BCE" w:rsidRDefault="00D5763F" w:rsidP="007271DF">
            <w:pPr>
              <w:keepNext/>
              <w:outlineLvl w:val="2"/>
              <w:rPr>
                <w:rFonts w:ascii="Arial" w:hAnsi="Arial" w:cs="Arial"/>
                <w:b/>
                <w:szCs w:val="20"/>
                <w:lang w:val="en-GB" w:eastAsia="de-DE"/>
              </w:rPr>
            </w:pPr>
            <w:r w:rsidRPr="00D33BCE">
              <w:rPr>
                <w:rFonts w:ascii="Arial" w:hAnsi="Arial" w:cs="Arial"/>
                <w:b/>
                <w:szCs w:val="20"/>
                <w:lang w:val="en-GB" w:eastAsia="de-DE"/>
              </w:rPr>
              <w:lastRenderedPageBreak/>
              <w:t>Summary</w:t>
            </w:r>
          </w:p>
          <w:p w:rsidR="00D5763F" w:rsidRPr="00CF613B" w:rsidRDefault="00CF307F" w:rsidP="002C3FF1">
            <w:pPr>
              <w:keepNext/>
              <w:spacing w:before="60" w:after="60"/>
              <w:outlineLvl w:val="2"/>
              <w:rPr>
                <w:rFonts w:ascii="Arial" w:hAnsi="Arial" w:cs="Arial"/>
                <w:sz w:val="20"/>
                <w:szCs w:val="20"/>
                <w:lang w:val="en-US" w:eastAsia="de-DE"/>
              </w:rPr>
            </w:pPr>
            <w:r w:rsidRPr="000D164A">
              <w:rPr>
                <w:rFonts w:ascii="Arial" w:hAnsi="Arial" w:cs="Arial"/>
                <w:sz w:val="20"/>
                <w:szCs w:val="20"/>
                <w:lang w:val="en-US"/>
              </w:rPr>
              <w:t xml:space="preserve">A brief summary of the activity in </w:t>
            </w:r>
            <w:r w:rsidR="00F379CE">
              <w:rPr>
                <w:rFonts w:ascii="Arial" w:hAnsi="Arial" w:cs="Arial"/>
                <w:sz w:val="20"/>
                <w:szCs w:val="20"/>
                <w:lang w:val="en-US"/>
              </w:rPr>
              <w:t xml:space="preserve">the </w:t>
            </w:r>
            <w:r>
              <w:rPr>
                <w:rFonts w:ascii="Arial" w:hAnsi="Arial" w:cs="Arial"/>
                <w:sz w:val="20"/>
                <w:szCs w:val="20"/>
                <w:lang w:val="en-US"/>
              </w:rPr>
              <w:t xml:space="preserve">ECO forum on how to apply the </w:t>
            </w:r>
            <w:proofErr w:type="spellStart"/>
            <w:r>
              <w:rPr>
                <w:rFonts w:ascii="Arial" w:hAnsi="Arial" w:cs="Arial"/>
                <w:sz w:val="20"/>
                <w:szCs w:val="20"/>
                <w:lang w:val="en-US"/>
              </w:rPr>
              <w:t>prioritisation</w:t>
            </w:r>
            <w:proofErr w:type="spellEnd"/>
            <w:r w:rsidRPr="000D164A">
              <w:rPr>
                <w:rFonts w:ascii="Arial" w:hAnsi="Arial" w:cs="Arial"/>
                <w:sz w:val="20"/>
                <w:szCs w:val="20"/>
                <w:lang w:val="en-US"/>
              </w:rPr>
              <w:t xml:space="preserve"> of criteria</w:t>
            </w:r>
            <w:r>
              <w:rPr>
                <w:rFonts w:ascii="Arial" w:hAnsi="Arial" w:cs="Arial"/>
                <w:sz w:val="20"/>
                <w:szCs w:val="20"/>
                <w:lang w:val="en-US"/>
              </w:rPr>
              <w:t>. The output f</w:t>
            </w:r>
            <w:r w:rsidR="003555AF">
              <w:rPr>
                <w:rFonts w:ascii="Arial" w:hAnsi="Arial" w:cs="Arial"/>
                <w:sz w:val="20"/>
                <w:szCs w:val="20"/>
                <w:lang w:val="en-US"/>
              </w:rPr>
              <w:t>rom the FM PT50 meeting</w:t>
            </w:r>
            <w:r w:rsidR="00926B5B">
              <w:rPr>
                <w:rFonts w:ascii="Arial" w:hAnsi="Arial" w:cs="Arial"/>
                <w:sz w:val="20"/>
                <w:szCs w:val="20"/>
                <w:lang w:val="en-US"/>
              </w:rPr>
              <w:t>s</w:t>
            </w:r>
            <w:r w:rsidR="003555AF">
              <w:rPr>
                <w:rFonts w:ascii="Arial" w:hAnsi="Arial" w:cs="Arial"/>
                <w:sz w:val="20"/>
                <w:szCs w:val="20"/>
                <w:lang w:val="en-US"/>
              </w:rPr>
              <w:t xml:space="preserve"> in Mainz</w:t>
            </w:r>
            <w:r>
              <w:rPr>
                <w:rFonts w:ascii="Arial" w:hAnsi="Arial" w:cs="Arial"/>
                <w:sz w:val="20"/>
                <w:szCs w:val="20"/>
                <w:lang w:val="en-US"/>
              </w:rPr>
              <w:t xml:space="preserve"> and </w:t>
            </w:r>
            <w:r w:rsidR="003555AF">
              <w:rPr>
                <w:rFonts w:ascii="Arial" w:hAnsi="Arial" w:cs="Arial"/>
                <w:sz w:val="20"/>
                <w:szCs w:val="20"/>
                <w:lang w:val="en-US"/>
              </w:rPr>
              <w:t>Bologna were the starting point for the ECO forum activities, which were separate for each criterion</w:t>
            </w:r>
            <w:r w:rsidR="002C3FF1">
              <w:rPr>
                <w:rFonts w:ascii="Arial" w:hAnsi="Arial" w:cs="Arial"/>
                <w:sz w:val="20"/>
                <w:szCs w:val="20"/>
                <w:lang w:val="en-US"/>
              </w:rPr>
              <w:t xml:space="preserve"> (Annex 1)</w:t>
            </w:r>
            <w:r w:rsidR="003555AF">
              <w:rPr>
                <w:rFonts w:ascii="Arial" w:hAnsi="Arial" w:cs="Arial"/>
                <w:sz w:val="20"/>
                <w:szCs w:val="20"/>
                <w:lang w:val="en-US"/>
              </w:rPr>
              <w:t xml:space="preserve">. It was made very clear during the latest FM PT50 that progress with respect to the </w:t>
            </w:r>
            <w:proofErr w:type="spellStart"/>
            <w:r w:rsidR="003555AF">
              <w:rPr>
                <w:rFonts w:ascii="Arial" w:hAnsi="Arial" w:cs="Arial"/>
                <w:sz w:val="20"/>
                <w:szCs w:val="20"/>
                <w:lang w:val="en-US"/>
              </w:rPr>
              <w:t>prioritisation</w:t>
            </w:r>
            <w:proofErr w:type="spellEnd"/>
            <w:r w:rsidR="003555AF" w:rsidRPr="000D164A">
              <w:rPr>
                <w:rFonts w:ascii="Arial" w:hAnsi="Arial" w:cs="Arial"/>
                <w:sz w:val="20"/>
                <w:szCs w:val="20"/>
                <w:lang w:val="en-US"/>
              </w:rPr>
              <w:t xml:space="preserve"> of criteria</w:t>
            </w:r>
            <w:r w:rsidR="003555AF">
              <w:rPr>
                <w:rFonts w:ascii="Arial" w:hAnsi="Arial" w:cs="Arial"/>
                <w:sz w:val="20"/>
                <w:szCs w:val="20"/>
                <w:lang w:val="en-US"/>
              </w:rPr>
              <w:t xml:space="preserve"> </w:t>
            </w:r>
            <w:r w:rsidR="002C3FF1">
              <w:rPr>
                <w:rFonts w:ascii="Arial" w:hAnsi="Arial" w:cs="Arial"/>
                <w:sz w:val="20"/>
                <w:szCs w:val="20"/>
                <w:lang w:val="en-US"/>
              </w:rPr>
              <w:t xml:space="preserve">is essential </w:t>
            </w:r>
            <w:r w:rsidR="003555AF">
              <w:rPr>
                <w:rFonts w:ascii="Arial" w:hAnsi="Arial" w:cs="Arial"/>
                <w:sz w:val="20"/>
                <w:szCs w:val="20"/>
                <w:lang w:val="en-US"/>
              </w:rPr>
              <w:t xml:space="preserve">in order to have a common understanding </w:t>
            </w:r>
            <w:r w:rsidR="003555AF" w:rsidRPr="005A29AA">
              <w:rPr>
                <w:rFonts w:ascii="Arial" w:hAnsi="Arial" w:cs="Arial"/>
                <w:sz w:val="20"/>
                <w:szCs w:val="20"/>
                <w:lang w:val="en-US"/>
              </w:rPr>
              <w:t xml:space="preserve">of the way forward </w:t>
            </w:r>
            <w:r w:rsidR="002C3FF1" w:rsidRPr="005A29AA">
              <w:rPr>
                <w:rFonts w:ascii="Arial" w:hAnsi="Arial" w:cs="Arial"/>
                <w:sz w:val="20"/>
                <w:szCs w:val="20"/>
                <w:lang w:val="en-US"/>
              </w:rPr>
              <w:t xml:space="preserve">in general </w:t>
            </w:r>
            <w:r w:rsidR="003555AF" w:rsidRPr="005A29AA">
              <w:rPr>
                <w:rFonts w:ascii="Arial" w:hAnsi="Arial" w:cs="Arial"/>
                <w:sz w:val="20"/>
                <w:szCs w:val="20"/>
                <w:lang w:val="en-US"/>
              </w:rPr>
              <w:t xml:space="preserve">and </w:t>
            </w:r>
            <w:r w:rsidR="002C3FF1" w:rsidRPr="005A29AA">
              <w:rPr>
                <w:rFonts w:ascii="Arial" w:hAnsi="Arial" w:cs="Arial"/>
                <w:sz w:val="20"/>
                <w:szCs w:val="20"/>
                <w:lang w:val="en-US"/>
              </w:rPr>
              <w:t xml:space="preserve">on how to develop </w:t>
            </w:r>
            <w:r w:rsidR="003555AF" w:rsidRPr="005A29AA">
              <w:rPr>
                <w:rFonts w:ascii="Arial" w:hAnsi="Arial" w:cs="Arial"/>
                <w:sz w:val="20"/>
                <w:szCs w:val="20"/>
                <w:lang w:val="en-US"/>
              </w:rPr>
              <w:t xml:space="preserve">Chapter 6 of the draft ECC Report in particular. </w:t>
            </w:r>
            <w:r w:rsidRPr="005A29AA">
              <w:rPr>
                <w:rFonts w:ascii="Arial" w:hAnsi="Arial" w:cs="Arial"/>
                <w:sz w:val="20"/>
                <w:szCs w:val="20"/>
                <w:lang w:val="en-US"/>
              </w:rPr>
              <w:t>Howeve</w:t>
            </w:r>
            <w:r w:rsidR="003555AF" w:rsidRPr="005A29AA">
              <w:rPr>
                <w:rFonts w:ascii="Arial" w:hAnsi="Arial" w:cs="Arial"/>
                <w:sz w:val="20"/>
                <w:szCs w:val="20"/>
                <w:lang w:val="en-US"/>
              </w:rPr>
              <w:t xml:space="preserve">r, the activity in the forum has been </w:t>
            </w:r>
            <w:r w:rsidR="00F379CE">
              <w:rPr>
                <w:rFonts w:ascii="Arial" w:hAnsi="Arial" w:cs="Arial"/>
                <w:sz w:val="20"/>
                <w:szCs w:val="20"/>
                <w:lang w:val="en-US"/>
              </w:rPr>
              <w:t>limited</w:t>
            </w:r>
            <w:r w:rsidR="003555AF" w:rsidRPr="005A29AA">
              <w:rPr>
                <w:rFonts w:ascii="Arial" w:hAnsi="Arial" w:cs="Arial"/>
                <w:sz w:val="20"/>
                <w:szCs w:val="20"/>
                <w:lang w:val="en-US"/>
              </w:rPr>
              <w:t xml:space="preserve"> and consequently some proposals </w:t>
            </w:r>
            <w:r w:rsidR="002A1868" w:rsidRPr="005A29AA">
              <w:rPr>
                <w:rFonts w:ascii="Arial" w:hAnsi="Arial" w:cs="Arial"/>
                <w:sz w:val="20"/>
                <w:szCs w:val="20"/>
                <w:lang w:val="en-US"/>
              </w:rPr>
              <w:t>are</w:t>
            </w:r>
            <w:r w:rsidR="003555AF" w:rsidRPr="005A29AA">
              <w:rPr>
                <w:rFonts w:ascii="Arial" w:hAnsi="Arial" w:cs="Arial"/>
                <w:sz w:val="20"/>
                <w:szCs w:val="20"/>
                <w:lang w:val="en-US"/>
              </w:rPr>
              <w:t xml:space="preserve"> presented from the coordinator at the end of this contribution</w:t>
            </w:r>
            <w:r w:rsidR="002A1868" w:rsidRPr="005A29AA">
              <w:rPr>
                <w:rFonts w:ascii="Arial" w:hAnsi="Arial" w:cs="Arial"/>
                <w:sz w:val="20"/>
                <w:szCs w:val="20"/>
                <w:lang w:val="en-US"/>
              </w:rPr>
              <w:t>.</w:t>
            </w:r>
            <w:r w:rsidRPr="005A29AA">
              <w:rPr>
                <w:rFonts w:ascii="Arial" w:hAnsi="Arial" w:cs="Arial"/>
                <w:sz w:val="20"/>
                <w:szCs w:val="20"/>
                <w:lang w:val="en-US"/>
              </w:rPr>
              <w:t xml:space="preserve"> </w:t>
            </w:r>
            <w:r w:rsidR="002C3FF1" w:rsidRPr="005A29AA">
              <w:rPr>
                <w:rFonts w:ascii="Arial" w:hAnsi="Arial" w:cs="Arial"/>
                <w:sz w:val="20"/>
                <w:szCs w:val="20"/>
                <w:lang w:val="en-US"/>
              </w:rPr>
              <w:t>These proposals are based on the activity in the ECO forum and the understanding of the progress made in DG4.</w:t>
            </w:r>
          </w:p>
        </w:tc>
      </w:tr>
      <w:tr w:rsidR="00D5763F" w:rsidRPr="00032BB5" w:rsidTr="007271DF">
        <w:tc>
          <w:tcPr>
            <w:tcW w:w="9600" w:type="dxa"/>
          </w:tcPr>
          <w:p w:rsidR="00D5763F" w:rsidRPr="00D33BCE" w:rsidRDefault="00D5763F" w:rsidP="007271DF">
            <w:pPr>
              <w:keepNext/>
              <w:outlineLvl w:val="2"/>
              <w:rPr>
                <w:rFonts w:ascii="Arial" w:hAnsi="Arial" w:cs="Arial"/>
                <w:b/>
                <w:szCs w:val="20"/>
                <w:lang w:val="en-GB" w:eastAsia="de-DE"/>
              </w:rPr>
            </w:pPr>
            <w:r w:rsidRPr="00D33BCE">
              <w:rPr>
                <w:rFonts w:ascii="Arial" w:hAnsi="Arial" w:cs="Arial"/>
                <w:b/>
                <w:szCs w:val="20"/>
                <w:lang w:val="en-GB" w:eastAsia="de-DE"/>
              </w:rPr>
              <w:t>Proposal</w:t>
            </w:r>
          </w:p>
          <w:p w:rsidR="00931ED0" w:rsidRPr="00931ED0" w:rsidRDefault="00931ED0" w:rsidP="00931ED0">
            <w:pPr>
              <w:pStyle w:val="Textebrut"/>
              <w:spacing w:line="360" w:lineRule="auto"/>
              <w:jc w:val="both"/>
              <w:rPr>
                <w:rFonts w:cs="Consolas"/>
                <w:i/>
                <w:lang w:val="en-US"/>
              </w:rPr>
            </w:pPr>
            <w:r w:rsidRPr="00931ED0">
              <w:rPr>
                <w:rFonts w:cs="Consolas"/>
                <w:i/>
                <w:lang w:val="en-US"/>
              </w:rPr>
              <w:t xml:space="preserve">Italy </w:t>
            </w:r>
          </w:p>
          <w:p w:rsidR="00931ED0" w:rsidRDefault="00931ED0" w:rsidP="00931ED0">
            <w:pPr>
              <w:pStyle w:val="Textebrut"/>
              <w:spacing w:line="360" w:lineRule="auto"/>
              <w:jc w:val="both"/>
              <w:rPr>
                <w:rFonts w:cs="Consolas"/>
                <w:lang w:val="en-US"/>
              </w:rPr>
            </w:pPr>
            <w:r>
              <w:rPr>
                <w:rFonts w:cs="Consolas"/>
                <w:lang w:val="en-US"/>
              </w:rPr>
              <w:t>Assign 0 points to those applications compatible with ECC/DEC (03</w:t>
            </w:r>
            <w:proofErr w:type="gramStart"/>
            <w:r>
              <w:rPr>
                <w:rFonts w:cs="Consolas"/>
                <w:lang w:val="en-US"/>
              </w:rPr>
              <w:t>)(</w:t>
            </w:r>
            <w:proofErr w:type="gramEnd"/>
            <w:r>
              <w:rPr>
                <w:rFonts w:cs="Consolas"/>
                <w:lang w:val="en-US"/>
              </w:rPr>
              <w:t>02).</w:t>
            </w:r>
          </w:p>
          <w:p w:rsidR="00E316ED" w:rsidRPr="00E316ED" w:rsidRDefault="00E316ED" w:rsidP="00931ED0">
            <w:pPr>
              <w:pStyle w:val="Textebrut"/>
              <w:spacing w:line="360" w:lineRule="auto"/>
              <w:jc w:val="both"/>
              <w:rPr>
                <w:rFonts w:cs="Consolas"/>
                <w:lang w:val="en-US"/>
              </w:rPr>
            </w:pPr>
          </w:p>
          <w:p w:rsidR="00D5763F" w:rsidRPr="00E316ED" w:rsidRDefault="00931ED0" w:rsidP="00931ED0">
            <w:pPr>
              <w:pStyle w:val="Textebrut"/>
              <w:spacing w:line="360" w:lineRule="auto"/>
              <w:jc w:val="both"/>
              <w:rPr>
                <w:rFonts w:cs="Arial"/>
                <w:i/>
                <w:szCs w:val="20"/>
                <w:lang w:val="en-US" w:eastAsia="de-DE"/>
              </w:rPr>
            </w:pPr>
            <w:r w:rsidRPr="00E316ED">
              <w:rPr>
                <w:rFonts w:cs="Arial"/>
                <w:i/>
                <w:szCs w:val="20"/>
                <w:lang w:val="en-US" w:eastAsia="de-DE"/>
              </w:rPr>
              <w:t>Qualcomm</w:t>
            </w:r>
          </w:p>
          <w:p w:rsidR="00931ED0" w:rsidRPr="00E316ED" w:rsidRDefault="00931ED0" w:rsidP="00931ED0">
            <w:pPr>
              <w:pStyle w:val="Paragraphedeliste"/>
              <w:numPr>
                <w:ilvl w:val="0"/>
                <w:numId w:val="3"/>
              </w:numPr>
              <w:spacing w:after="0" w:line="240" w:lineRule="auto"/>
              <w:rPr>
                <w:rFonts w:ascii="Arial" w:eastAsia="Times New Roman" w:hAnsi="Arial" w:cs="Arial"/>
                <w:color w:val="000000"/>
                <w:sz w:val="20"/>
                <w:szCs w:val="20"/>
                <w:lang w:val="en-US" w:eastAsia="sv-SE"/>
              </w:rPr>
            </w:pPr>
            <w:r w:rsidRPr="005D0EAE">
              <w:rPr>
                <w:rFonts w:ascii="Arial" w:eastAsia="Times New Roman" w:hAnsi="Arial" w:cs="Arial"/>
                <w:b/>
                <w:color w:val="000000"/>
                <w:sz w:val="20"/>
                <w:szCs w:val="20"/>
                <w:lang w:val="en-US" w:eastAsia="sv-SE"/>
              </w:rPr>
              <w:t>Criterion 1</w:t>
            </w:r>
            <w:r w:rsidRPr="00E316ED">
              <w:rPr>
                <w:rFonts w:ascii="Arial" w:eastAsia="Times New Roman" w:hAnsi="Arial" w:cs="Arial"/>
                <w:color w:val="000000"/>
                <w:sz w:val="20"/>
                <w:szCs w:val="20"/>
                <w:lang w:val="en-US" w:eastAsia="sv-SE"/>
              </w:rPr>
              <w:t xml:space="preserve"> should be judged 'per regulatory option'.</w:t>
            </w:r>
          </w:p>
          <w:p w:rsidR="00931ED0" w:rsidRPr="00E316ED" w:rsidRDefault="00931ED0" w:rsidP="00931ED0">
            <w:pPr>
              <w:pStyle w:val="Paragraphedeliste"/>
              <w:numPr>
                <w:ilvl w:val="0"/>
                <w:numId w:val="3"/>
              </w:numPr>
              <w:spacing w:after="0" w:line="240" w:lineRule="auto"/>
              <w:rPr>
                <w:rFonts w:ascii="Arial" w:eastAsia="Times New Roman" w:hAnsi="Arial" w:cs="Arial"/>
                <w:color w:val="000000"/>
                <w:sz w:val="20"/>
                <w:szCs w:val="20"/>
                <w:lang w:val="en-US" w:eastAsia="sv-SE"/>
              </w:rPr>
            </w:pPr>
            <w:r w:rsidRPr="00E316ED">
              <w:rPr>
                <w:rFonts w:ascii="Arial" w:eastAsia="Times New Roman" w:hAnsi="Arial" w:cs="Arial"/>
                <w:color w:val="000000"/>
                <w:sz w:val="20"/>
                <w:szCs w:val="20"/>
                <w:lang w:val="en-US" w:eastAsia="sv-SE"/>
              </w:rPr>
              <w:t>Flexibility in regulatory options 2 and 3 should impact criterion 2 exclusively, but in any case not criterion 1, since they correspond to cases of national deviation.</w:t>
            </w:r>
          </w:p>
          <w:p w:rsidR="00D83047" w:rsidRPr="00E316ED" w:rsidRDefault="00D83047" w:rsidP="00D83047">
            <w:pPr>
              <w:pStyle w:val="Paragraphedeliste"/>
              <w:numPr>
                <w:ilvl w:val="0"/>
                <w:numId w:val="3"/>
              </w:numPr>
              <w:spacing w:after="63" w:line="240" w:lineRule="auto"/>
              <w:rPr>
                <w:rFonts w:ascii="Arial" w:eastAsia="Times New Roman" w:hAnsi="Arial" w:cs="Arial"/>
                <w:color w:val="000000"/>
                <w:sz w:val="20"/>
                <w:szCs w:val="20"/>
                <w:lang w:val="en-US" w:eastAsia="sv-SE"/>
              </w:rPr>
            </w:pPr>
            <w:proofErr w:type="gramStart"/>
            <w:r w:rsidRPr="00E316ED">
              <w:rPr>
                <w:rFonts w:ascii="Arial" w:eastAsia="Times New Roman" w:hAnsi="Arial" w:cs="Arial"/>
                <w:color w:val="000000"/>
                <w:sz w:val="20"/>
                <w:szCs w:val="20"/>
                <w:lang w:val="en-US" w:eastAsia="sv-SE"/>
              </w:rPr>
              <w:t>The question how to assess an application (i.e., terrestrial broadcasting and S-DAB) that had the opportunity to be deployed under the existing regulator</w:t>
            </w:r>
            <w:r w:rsidR="005967D7">
              <w:rPr>
                <w:rFonts w:ascii="Arial" w:eastAsia="Times New Roman" w:hAnsi="Arial" w:cs="Arial"/>
                <w:color w:val="000000"/>
                <w:sz w:val="20"/>
                <w:szCs w:val="20"/>
                <w:lang w:val="en-US" w:eastAsia="sv-SE"/>
              </w:rPr>
              <w:t>y framework but was not,</w:t>
            </w:r>
            <w:r w:rsidRPr="00E316ED">
              <w:rPr>
                <w:rFonts w:ascii="Arial" w:eastAsia="Times New Roman" w:hAnsi="Arial" w:cs="Arial"/>
                <w:color w:val="000000"/>
                <w:sz w:val="20"/>
                <w:szCs w:val="20"/>
                <w:lang w:val="en-US" w:eastAsia="sv-SE"/>
              </w:rPr>
              <w:t xml:space="preserve"> is probably not relevant for criterion 2.</w:t>
            </w:r>
            <w:proofErr w:type="gramEnd"/>
          </w:p>
          <w:p w:rsidR="00931ED0" w:rsidRPr="00E316ED" w:rsidRDefault="00931ED0" w:rsidP="00931ED0">
            <w:pPr>
              <w:pStyle w:val="Textebrut"/>
              <w:spacing w:line="360" w:lineRule="auto"/>
              <w:jc w:val="both"/>
              <w:rPr>
                <w:rFonts w:cs="Arial"/>
                <w:szCs w:val="20"/>
                <w:lang w:val="en-US"/>
              </w:rPr>
            </w:pPr>
          </w:p>
          <w:p w:rsidR="00931ED0" w:rsidRPr="00E316ED" w:rsidRDefault="00931ED0" w:rsidP="00931ED0">
            <w:pPr>
              <w:pStyle w:val="Paragraphedeliste"/>
              <w:numPr>
                <w:ilvl w:val="0"/>
                <w:numId w:val="3"/>
              </w:numPr>
              <w:spacing w:after="0" w:line="240" w:lineRule="auto"/>
              <w:rPr>
                <w:rFonts w:ascii="Arial" w:eastAsia="Times New Roman" w:hAnsi="Arial" w:cs="Arial"/>
                <w:color w:val="000000"/>
                <w:sz w:val="20"/>
                <w:szCs w:val="20"/>
                <w:lang w:val="en-US" w:eastAsia="sv-SE"/>
              </w:rPr>
            </w:pPr>
            <w:r w:rsidRPr="005D0EAE">
              <w:rPr>
                <w:rFonts w:ascii="Arial" w:eastAsia="Times New Roman" w:hAnsi="Arial" w:cs="Arial"/>
                <w:b/>
                <w:color w:val="000000"/>
                <w:sz w:val="20"/>
                <w:szCs w:val="20"/>
                <w:lang w:val="en-US" w:eastAsia="sv-SE"/>
              </w:rPr>
              <w:t>Criterion 2</w:t>
            </w:r>
            <w:r w:rsidRPr="00E316ED">
              <w:rPr>
                <w:rFonts w:ascii="Arial" w:eastAsia="Times New Roman" w:hAnsi="Arial" w:cs="Arial"/>
                <w:color w:val="000000"/>
                <w:sz w:val="20"/>
                <w:szCs w:val="20"/>
                <w:lang w:val="en-US" w:eastAsia="sv-SE"/>
              </w:rPr>
              <w:t xml:space="preserve"> should also be judged 'per regulatory option' since it is difficult to judge for an application since, by essence, it is related to several applications which may share the band. For a regulatory option, it is clearer, as it measures the ability for a regulatory option to provide flexibility at national level. </w:t>
            </w:r>
          </w:p>
          <w:p w:rsidR="00931ED0" w:rsidRPr="00E316ED" w:rsidRDefault="00931ED0" w:rsidP="00D83047">
            <w:pPr>
              <w:pStyle w:val="Paragraphedeliste"/>
              <w:numPr>
                <w:ilvl w:val="0"/>
                <w:numId w:val="3"/>
              </w:numPr>
              <w:spacing w:after="0" w:line="240" w:lineRule="auto"/>
              <w:rPr>
                <w:rFonts w:ascii="Arial" w:eastAsia="Times New Roman" w:hAnsi="Arial" w:cs="Arial"/>
                <w:color w:val="000000"/>
                <w:sz w:val="20"/>
                <w:szCs w:val="20"/>
                <w:lang w:val="en-US" w:eastAsia="sv-SE"/>
              </w:rPr>
            </w:pPr>
            <w:r w:rsidRPr="00E316ED">
              <w:rPr>
                <w:rFonts w:ascii="Arial" w:eastAsia="Times New Roman" w:hAnsi="Arial" w:cs="Arial"/>
                <w:color w:val="000000"/>
                <w:sz w:val="20"/>
                <w:szCs w:val="20"/>
                <w:lang w:val="en-US" w:eastAsia="sv-SE"/>
              </w:rPr>
              <w:t>All the rele</w:t>
            </w:r>
            <w:r w:rsidR="00D83047" w:rsidRPr="00E316ED">
              <w:rPr>
                <w:rFonts w:ascii="Arial" w:eastAsia="Times New Roman" w:hAnsi="Arial" w:cs="Arial"/>
                <w:color w:val="000000"/>
                <w:sz w:val="20"/>
                <w:szCs w:val="20"/>
                <w:lang w:val="en-US" w:eastAsia="sv-SE"/>
              </w:rPr>
              <w:t xml:space="preserve">vant information for criterion 2 </w:t>
            </w:r>
            <w:r w:rsidR="00E316ED" w:rsidRPr="00E316ED">
              <w:rPr>
                <w:rFonts w:ascii="Arial" w:eastAsia="Times New Roman" w:hAnsi="Arial" w:cs="Arial"/>
                <w:color w:val="000000"/>
                <w:sz w:val="20"/>
                <w:szCs w:val="20"/>
                <w:lang w:val="en-US" w:eastAsia="sv-SE"/>
              </w:rPr>
              <w:t>is</w:t>
            </w:r>
            <w:r w:rsidR="00D83047" w:rsidRPr="00E316ED">
              <w:rPr>
                <w:rFonts w:ascii="Arial" w:eastAsia="Times New Roman" w:hAnsi="Arial" w:cs="Arial"/>
                <w:color w:val="000000"/>
                <w:sz w:val="20"/>
                <w:szCs w:val="20"/>
                <w:lang w:val="en-US" w:eastAsia="sv-SE"/>
              </w:rPr>
              <w:t xml:space="preserve"> available to FM PT50.</w:t>
            </w:r>
          </w:p>
          <w:p w:rsidR="00D83047" w:rsidRPr="005967D7" w:rsidRDefault="00931ED0" w:rsidP="00931ED0">
            <w:pPr>
              <w:pStyle w:val="Paragraphedeliste"/>
              <w:numPr>
                <w:ilvl w:val="0"/>
                <w:numId w:val="3"/>
              </w:numPr>
              <w:spacing w:after="63" w:line="240" w:lineRule="auto"/>
              <w:rPr>
                <w:rFonts w:ascii="Arial" w:eastAsia="Times New Roman" w:hAnsi="Arial" w:cs="Arial"/>
                <w:color w:val="000000"/>
                <w:sz w:val="20"/>
                <w:szCs w:val="20"/>
                <w:lang w:val="en-US" w:eastAsia="sv-SE"/>
              </w:rPr>
            </w:pPr>
            <w:r w:rsidRPr="005967D7">
              <w:rPr>
                <w:rFonts w:ascii="Arial" w:eastAsia="Times New Roman" w:hAnsi="Arial" w:cs="Arial"/>
                <w:color w:val="000000"/>
                <w:sz w:val="20"/>
                <w:szCs w:val="20"/>
                <w:lang w:val="en-US" w:eastAsia="sv-SE"/>
              </w:rPr>
              <w:t>Criterion 2 judges precisely the degree of national flexibi</w:t>
            </w:r>
            <w:r w:rsidR="005967D7" w:rsidRPr="005967D7">
              <w:rPr>
                <w:rFonts w:ascii="Arial" w:eastAsia="Times New Roman" w:hAnsi="Arial" w:cs="Arial"/>
                <w:color w:val="000000"/>
                <w:sz w:val="20"/>
                <w:szCs w:val="20"/>
                <w:lang w:val="en-US" w:eastAsia="sv-SE"/>
              </w:rPr>
              <w:t>lity offered by options 2 and 3.</w:t>
            </w:r>
          </w:p>
          <w:p w:rsidR="00931ED0" w:rsidRPr="00E316ED" w:rsidRDefault="00D83047" w:rsidP="00931ED0">
            <w:pPr>
              <w:pStyle w:val="Paragraphedeliste"/>
              <w:numPr>
                <w:ilvl w:val="0"/>
                <w:numId w:val="3"/>
              </w:numPr>
              <w:spacing w:after="63" w:line="240" w:lineRule="auto"/>
              <w:rPr>
                <w:rFonts w:ascii="Arial" w:eastAsia="Times New Roman" w:hAnsi="Arial" w:cs="Arial"/>
                <w:color w:val="000000"/>
                <w:sz w:val="20"/>
                <w:szCs w:val="20"/>
                <w:lang w:val="en-US" w:eastAsia="sv-SE"/>
              </w:rPr>
            </w:pPr>
            <w:proofErr w:type="gramStart"/>
            <w:r w:rsidRPr="005967D7">
              <w:rPr>
                <w:rFonts w:ascii="Arial" w:eastAsia="Times New Roman" w:hAnsi="Arial" w:cs="Arial"/>
                <w:color w:val="000000"/>
                <w:sz w:val="20"/>
                <w:szCs w:val="20"/>
                <w:lang w:val="en-US" w:eastAsia="sv-SE"/>
              </w:rPr>
              <w:t>The question how to assess an application (i.e., terrestrial broadcasting and S-DAB) that had the opportunity to be deployed under the existing regulator</w:t>
            </w:r>
            <w:r w:rsidR="005967D7">
              <w:rPr>
                <w:rFonts w:ascii="Arial" w:eastAsia="Times New Roman" w:hAnsi="Arial" w:cs="Arial"/>
                <w:color w:val="000000"/>
                <w:sz w:val="20"/>
                <w:szCs w:val="20"/>
                <w:lang w:val="en-US" w:eastAsia="sv-SE"/>
              </w:rPr>
              <w:t>y framework but was not,</w:t>
            </w:r>
            <w:r w:rsidRPr="005967D7">
              <w:rPr>
                <w:rFonts w:ascii="Arial" w:eastAsia="Times New Roman" w:hAnsi="Arial" w:cs="Arial"/>
                <w:color w:val="000000"/>
                <w:sz w:val="20"/>
                <w:szCs w:val="20"/>
                <w:lang w:val="en-US" w:eastAsia="sv-SE"/>
              </w:rPr>
              <w:t xml:space="preserve"> </w:t>
            </w:r>
            <w:r w:rsidR="00931ED0" w:rsidRPr="005967D7">
              <w:rPr>
                <w:rFonts w:ascii="Arial" w:eastAsia="Times New Roman" w:hAnsi="Arial" w:cs="Arial"/>
                <w:color w:val="000000"/>
                <w:sz w:val="20"/>
                <w:szCs w:val="20"/>
                <w:lang w:val="en-US" w:eastAsia="sv-SE"/>
              </w:rPr>
              <w:t>is probably not relevant for criterion 2.</w:t>
            </w:r>
            <w:proofErr w:type="gramEnd"/>
          </w:p>
          <w:p w:rsidR="00931ED0" w:rsidRDefault="00931ED0" w:rsidP="00931ED0">
            <w:pPr>
              <w:pStyle w:val="Textebrut"/>
              <w:spacing w:line="360" w:lineRule="auto"/>
              <w:jc w:val="both"/>
              <w:rPr>
                <w:rFonts w:cs="Consolas"/>
                <w:lang w:val="en-US"/>
              </w:rPr>
            </w:pPr>
          </w:p>
          <w:p w:rsidR="00ED0D20" w:rsidRPr="00ED0D20" w:rsidRDefault="00ED0D20" w:rsidP="007B26D4">
            <w:pPr>
              <w:pStyle w:val="Paragraphedeliste"/>
              <w:numPr>
                <w:ilvl w:val="0"/>
                <w:numId w:val="8"/>
              </w:numPr>
              <w:spacing w:after="0" w:line="240" w:lineRule="auto"/>
              <w:rPr>
                <w:rFonts w:ascii="Arial" w:eastAsia="Symbol" w:hAnsi="Arial" w:cs="Arial"/>
                <w:color w:val="000000"/>
                <w:sz w:val="20"/>
                <w:szCs w:val="20"/>
                <w:lang w:val="en-GB" w:eastAsia="sv-SE"/>
              </w:rPr>
            </w:pPr>
            <w:r w:rsidRPr="00ED0D20">
              <w:rPr>
                <w:rFonts w:ascii="Arial" w:eastAsia="Times New Roman" w:hAnsi="Arial" w:cs="Arial"/>
                <w:color w:val="000000"/>
                <w:sz w:val="20"/>
                <w:szCs w:val="20"/>
                <w:lang w:val="en-GB" w:eastAsia="sv-SE"/>
              </w:rPr>
              <w:t>C</w:t>
            </w:r>
            <w:r w:rsidR="007B26D4" w:rsidRPr="00ED0D20">
              <w:rPr>
                <w:rFonts w:ascii="Arial" w:eastAsia="Times New Roman" w:hAnsi="Arial" w:cs="Arial"/>
                <w:color w:val="000000"/>
                <w:sz w:val="20"/>
                <w:szCs w:val="20"/>
                <w:lang w:val="en-GB" w:eastAsia="sv-SE"/>
              </w:rPr>
              <w:t>lear situation</w:t>
            </w:r>
            <w:r w:rsidRPr="00ED0D20">
              <w:rPr>
                <w:rFonts w:ascii="Arial" w:eastAsia="Times New Roman" w:hAnsi="Arial" w:cs="Arial"/>
                <w:color w:val="000000"/>
                <w:sz w:val="20"/>
                <w:szCs w:val="20"/>
                <w:lang w:val="en-GB" w:eastAsia="sv-SE"/>
              </w:rPr>
              <w:t xml:space="preserve"> concerning </w:t>
            </w:r>
            <w:r w:rsidRPr="00ED0D20">
              <w:rPr>
                <w:rFonts w:ascii="Arial" w:eastAsia="Times New Roman" w:hAnsi="Arial" w:cs="Arial"/>
                <w:b/>
                <w:color w:val="000000"/>
                <w:sz w:val="20"/>
                <w:szCs w:val="20"/>
                <w:lang w:val="en-GB" w:eastAsia="sv-SE"/>
              </w:rPr>
              <w:t>criterion 3</w:t>
            </w:r>
            <w:r w:rsidR="007B26D4" w:rsidRPr="00ED0D20">
              <w:rPr>
                <w:rFonts w:ascii="Arial" w:eastAsia="Times New Roman" w:hAnsi="Arial" w:cs="Arial"/>
                <w:color w:val="000000"/>
                <w:sz w:val="20"/>
                <w:szCs w:val="20"/>
                <w:lang w:val="en-GB" w:eastAsia="sv-SE"/>
              </w:rPr>
              <w:t>:</w:t>
            </w:r>
          </w:p>
          <w:p w:rsidR="00ED0D20" w:rsidRPr="00ED0D20" w:rsidRDefault="00ED0D20" w:rsidP="007B26D4">
            <w:pPr>
              <w:pStyle w:val="Paragraphedeliste"/>
              <w:numPr>
                <w:ilvl w:val="1"/>
                <w:numId w:val="8"/>
              </w:numPr>
              <w:spacing w:after="0" w:line="240" w:lineRule="auto"/>
              <w:rPr>
                <w:rFonts w:ascii="Arial" w:eastAsia="Symbol" w:hAnsi="Arial" w:cs="Arial"/>
                <w:color w:val="000000"/>
                <w:sz w:val="20"/>
                <w:szCs w:val="20"/>
                <w:lang w:val="en-GB" w:eastAsia="sv-SE"/>
              </w:rPr>
            </w:pPr>
            <w:r>
              <w:rPr>
                <w:rFonts w:ascii="Arial" w:eastAsia="Times New Roman" w:hAnsi="Arial" w:cs="Arial"/>
                <w:color w:val="000000"/>
                <w:sz w:val="20"/>
                <w:szCs w:val="20"/>
                <w:lang w:val="en-GB" w:eastAsia="sv-SE"/>
              </w:rPr>
              <w:t>F</w:t>
            </w:r>
            <w:r w:rsidR="007B26D4" w:rsidRPr="00ED0D20">
              <w:rPr>
                <w:rFonts w:ascii="Arial" w:eastAsia="Times New Roman" w:hAnsi="Arial" w:cs="Arial"/>
                <w:color w:val="000000"/>
                <w:sz w:val="20"/>
                <w:szCs w:val="20"/>
                <w:lang w:val="en-GB" w:eastAsia="sv-SE"/>
              </w:rPr>
              <w:t>or regulatory option 1, T-DAB and S-DAB contributions would be added</w:t>
            </w:r>
            <w:r>
              <w:rPr>
                <w:rFonts w:ascii="Arial" w:eastAsia="Times New Roman" w:hAnsi="Arial" w:cs="Arial"/>
                <w:color w:val="000000"/>
                <w:sz w:val="20"/>
                <w:szCs w:val="20"/>
                <w:lang w:val="en-GB" w:eastAsia="sv-SE"/>
              </w:rPr>
              <w:t>.</w:t>
            </w:r>
          </w:p>
          <w:p w:rsidR="00ED0D20" w:rsidRPr="00ED0D20" w:rsidRDefault="00ED0D20" w:rsidP="007B26D4">
            <w:pPr>
              <w:pStyle w:val="Paragraphedeliste"/>
              <w:numPr>
                <w:ilvl w:val="1"/>
                <w:numId w:val="8"/>
              </w:numPr>
              <w:spacing w:after="0" w:line="240" w:lineRule="auto"/>
              <w:rPr>
                <w:rFonts w:ascii="Arial" w:eastAsia="Symbol" w:hAnsi="Arial" w:cs="Arial"/>
                <w:color w:val="000000"/>
                <w:sz w:val="20"/>
                <w:szCs w:val="20"/>
                <w:lang w:val="en-GB" w:eastAsia="sv-SE"/>
              </w:rPr>
            </w:pPr>
            <w:r>
              <w:rPr>
                <w:rFonts w:ascii="Arial" w:eastAsia="Times New Roman" w:hAnsi="Arial" w:cs="Arial"/>
                <w:color w:val="000000"/>
                <w:sz w:val="20"/>
                <w:szCs w:val="20"/>
                <w:lang w:val="en-GB" w:eastAsia="sv-SE"/>
              </w:rPr>
              <w:t>F</w:t>
            </w:r>
            <w:r w:rsidR="007B26D4" w:rsidRPr="00ED0D20">
              <w:rPr>
                <w:rFonts w:ascii="Arial" w:eastAsia="Times New Roman" w:hAnsi="Arial" w:cs="Arial"/>
                <w:color w:val="000000"/>
                <w:sz w:val="20"/>
                <w:szCs w:val="20"/>
                <w:lang w:val="en-GB" w:eastAsia="sv-SE"/>
              </w:rPr>
              <w:t>or regulatory option 2, only Mobile SDL would be taken into account (since the band is harmonised for it)</w:t>
            </w:r>
            <w:r>
              <w:rPr>
                <w:rFonts w:ascii="Arial" w:eastAsia="Times New Roman" w:hAnsi="Arial" w:cs="Arial"/>
                <w:color w:val="000000"/>
                <w:sz w:val="20"/>
                <w:szCs w:val="20"/>
                <w:lang w:val="en-GB" w:eastAsia="sv-SE"/>
              </w:rPr>
              <w:t>.</w:t>
            </w:r>
          </w:p>
          <w:p w:rsidR="00221D0F" w:rsidRPr="00221D0F" w:rsidRDefault="00ED0D20" w:rsidP="007B26D4">
            <w:pPr>
              <w:pStyle w:val="Paragraphedeliste"/>
              <w:numPr>
                <w:ilvl w:val="1"/>
                <w:numId w:val="8"/>
              </w:numPr>
              <w:spacing w:after="0" w:line="240" w:lineRule="auto"/>
              <w:rPr>
                <w:rFonts w:ascii="Arial" w:eastAsia="Symbol" w:hAnsi="Arial" w:cs="Arial"/>
                <w:color w:val="000000"/>
                <w:sz w:val="20"/>
                <w:szCs w:val="20"/>
                <w:lang w:val="en-GB" w:eastAsia="sv-SE"/>
              </w:rPr>
            </w:pPr>
            <w:r>
              <w:rPr>
                <w:rFonts w:ascii="Arial" w:eastAsia="Times New Roman" w:hAnsi="Arial" w:cs="Arial"/>
                <w:color w:val="000000"/>
                <w:sz w:val="20"/>
                <w:szCs w:val="20"/>
                <w:lang w:val="en-GB" w:eastAsia="sv-SE"/>
              </w:rPr>
              <w:t>Regarding r</w:t>
            </w:r>
            <w:r w:rsidR="007B26D4" w:rsidRPr="00ED0D20">
              <w:rPr>
                <w:rFonts w:ascii="Arial" w:eastAsia="Times New Roman" w:hAnsi="Arial" w:cs="Arial"/>
                <w:color w:val="000000"/>
                <w:sz w:val="20"/>
                <w:szCs w:val="20"/>
                <w:lang w:val="en-GB" w:eastAsia="sv-SE"/>
              </w:rPr>
              <w:t>egulatory option 3 the contribution of BDA2GC would definitely be taken into account, but it is necessary to identify what would be the application on the 'rest of the band'</w:t>
            </w:r>
            <w:r>
              <w:rPr>
                <w:rFonts w:ascii="Arial" w:eastAsia="Times New Roman" w:hAnsi="Arial" w:cs="Arial"/>
                <w:color w:val="000000"/>
                <w:sz w:val="20"/>
                <w:szCs w:val="20"/>
                <w:lang w:val="en-GB" w:eastAsia="sv-SE"/>
              </w:rPr>
              <w:t xml:space="preserve">, which should be indicated by </w:t>
            </w:r>
            <w:r w:rsidR="007B26D4" w:rsidRPr="00ED0D20">
              <w:rPr>
                <w:rFonts w:ascii="Arial" w:eastAsia="Times New Roman" w:hAnsi="Arial" w:cs="Arial"/>
                <w:color w:val="000000"/>
                <w:sz w:val="20"/>
                <w:szCs w:val="20"/>
                <w:lang w:val="en-GB" w:eastAsia="sv-SE"/>
              </w:rPr>
              <w:t>the proponents of regulatory option 3 for the benefits</w:t>
            </w:r>
            <w:r>
              <w:rPr>
                <w:rFonts w:ascii="Arial" w:eastAsia="Times New Roman" w:hAnsi="Arial" w:cs="Arial"/>
                <w:color w:val="000000"/>
                <w:sz w:val="20"/>
                <w:szCs w:val="20"/>
                <w:lang w:val="en-GB" w:eastAsia="sv-SE"/>
              </w:rPr>
              <w:t xml:space="preserve"> of the impact analysis (</w:t>
            </w:r>
            <w:r w:rsidR="007B26D4" w:rsidRPr="00ED0D20">
              <w:rPr>
                <w:rFonts w:ascii="Arial" w:eastAsia="Times New Roman" w:hAnsi="Arial" w:cs="Arial"/>
                <w:color w:val="000000"/>
                <w:sz w:val="20"/>
                <w:szCs w:val="20"/>
                <w:lang w:val="en-GB" w:eastAsia="sv-SE"/>
              </w:rPr>
              <w:t xml:space="preserve">T-DAB, S-DAB, PPDR, or PMSE). This application would then </w:t>
            </w:r>
            <w:r>
              <w:rPr>
                <w:rFonts w:ascii="Arial" w:eastAsia="Times New Roman" w:hAnsi="Arial" w:cs="Arial"/>
                <w:color w:val="000000"/>
                <w:sz w:val="20"/>
                <w:szCs w:val="20"/>
                <w:lang w:val="en-GB" w:eastAsia="sv-SE"/>
              </w:rPr>
              <w:t xml:space="preserve">be the one selected for criterion 3, 4 or </w:t>
            </w:r>
            <w:r w:rsidR="007B26D4" w:rsidRPr="00ED0D20">
              <w:rPr>
                <w:rFonts w:ascii="Arial" w:eastAsia="Times New Roman" w:hAnsi="Arial" w:cs="Arial"/>
                <w:color w:val="000000"/>
                <w:sz w:val="20"/>
                <w:szCs w:val="20"/>
                <w:lang w:val="en-GB" w:eastAsia="sv-SE"/>
              </w:rPr>
              <w:t>5 in the part of the band not used by BDA2GC.</w:t>
            </w:r>
          </w:p>
          <w:p w:rsidR="00221D0F" w:rsidRDefault="007B26D4" w:rsidP="007B26D4">
            <w:pPr>
              <w:pStyle w:val="Paragraphedeliste"/>
              <w:numPr>
                <w:ilvl w:val="0"/>
                <w:numId w:val="8"/>
              </w:numPr>
              <w:spacing w:after="0" w:line="240" w:lineRule="auto"/>
              <w:rPr>
                <w:rFonts w:ascii="Arial" w:eastAsia="Symbol" w:hAnsi="Arial" w:cs="Arial"/>
                <w:color w:val="000000"/>
                <w:sz w:val="20"/>
                <w:szCs w:val="20"/>
                <w:lang w:val="en-GB" w:eastAsia="sv-SE"/>
              </w:rPr>
            </w:pPr>
            <w:r w:rsidRPr="00221D0F">
              <w:rPr>
                <w:rFonts w:ascii="Arial" w:eastAsia="Symbol" w:hAnsi="Arial" w:cs="Arial"/>
                <w:color w:val="000000"/>
                <w:sz w:val="20"/>
                <w:szCs w:val="20"/>
                <w:lang w:val="en-GB" w:eastAsia="sv-SE"/>
              </w:rPr>
              <w:t>Social ben</w:t>
            </w:r>
            <w:r w:rsidR="00221D0F">
              <w:rPr>
                <w:rFonts w:ascii="Arial" w:eastAsia="Symbol" w:hAnsi="Arial" w:cs="Arial"/>
                <w:color w:val="000000"/>
                <w:sz w:val="20"/>
                <w:szCs w:val="20"/>
                <w:lang w:val="en-GB" w:eastAsia="sv-SE"/>
              </w:rPr>
              <w:t>efits will be qualitative, so FM PT50</w:t>
            </w:r>
            <w:r w:rsidRPr="00221D0F">
              <w:rPr>
                <w:rFonts w:ascii="Arial" w:eastAsia="Symbol" w:hAnsi="Arial" w:cs="Arial"/>
                <w:color w:val="000000"/>
                <w:sz w:val="20"/>
                <w:szCs w:val="20"/>
                <w:lang w:val="en-GB" w:eastAsia="sv-SE"/>
              </w:rPr>
              <w:t xml:space="preserve"> will have the information.</w:t>
            </w:r>
          </w:p>
          <w:p w:rsidR="00150614" w:rsidRDefault="007B26D4" w:rsidP="007B26D4">
            <w:pPr>
              <w:pStyle w:val="Paragraphedeliste"/>
              <w:numPr>
                <w:ilvl w:val="0"/>
                <w:numId w:val="8"/>
              </w:numPr>
              <w:spacing w:after="0" w:line="240" w:lineRule="auto"/>
              <w:rPr>
                <w:rFonts w:ascii="Arial" w:eastAsia="Symbol" w:hAnsi="Arial" w:cs="Arial"/>
                <w:color w:val="000000"/>
                <w:sz w:val="20"/>
                <w:szCs w:val="20"/>
                <w:lang w:val="en-GB" w:eastAsia="sv-SE"/>
              </w:rPr>
            </w:pPr>
            <w:r w:rsidRPr="00221D0F">
              <w:rPr>
                <w:rFonts w:ascii="Arial" w:eastAsia="Symbol" w:hAnsi="Arial" w:cs="Arial"/>
                <w:color w:val="000000"/>
                <w:sz w:val="20"/>
                <w:szCs w:val="20"/>
                <w:lang w:val="en-GB" w:eastAsia="sv-SE"/>
              </w:rPr>
              <w:t>Economic information should be available, at the very least on a rough estimation basis of the producer surplus related to the band. This could be done by taking the overall market and scaling by the bandwidth available in the L-band compared to the other bands for the same service. In the absence of any estimation, it is safe to assume that the economic benefits are minimal.</w:t>
            </w:r>
          </w:p>
          <w:p w:rsidR="007B26D4" w:rsidRPr="00150614" w:rsidRDefault="00150614" w:rsidP="007B26D4">
            <w:pPr>
              <w:pStyle w:val="Paragraphedeliste"/>
              <w:numPr>
                <w:ilvl w:val="0"/>
                <w:numId w:val="8"/>
              </w:numPr>
              <w:spacing w:after="0" w:line="240" w:lineRule="auto"/>
              <w:rPr>
                <w:rFonts w:ascii="Arial" w:eastAsia="Symbol" w:hAnsi="Arial" w:cs="Arial"/>
                <w:color w:val="000000"/>
                <w:sz w:val="20"/>
                <w:szCs w:val="20"/>
                <w:lang w:val="en-GB" w:eastAsia="sv-SE"/>
              </w:rPr>
            </w:pPr>
            <w:r>
              <w:rPr>
                <w:rFonts w:ascii="Arial" w:eastAsia="Symbol" w:hAnsi="Arial" w:cs="Arial"/>
                <w:color w:val="000000"/>
                <w:sz w:val="20"/>
                <w:szCs w:val="20"/>
                <w:lang w:val="en-GB" w:eastAsia="sv-SE"/>
              </w:rPr>
              <w:t>F</w:t>
            </w:r>
            <w:r w:rsidR="007B26D4" w:rsidRPr="00150614">
              <w:rPr>
                <w:rFonts w:ascii="Arial" w:eastAsia="Symbol" w:hAnsi="Arial" w:cs="Arial"/>
                <w:color w:val="000000"/>
                <w:sz w:val="20"/>
                <w:szCs w:val="20"/>
                <w:lang w:val="en-GB" w:eastAsia="sv-SE"/>
              </w:rPr>
              <w:t>or regulatory option 3, there is a need to define the application whi</w:t>
            </w:r>
            <w:r>
              <w:rPr>
                <w:rFonts w:ascii="Arial" w:eastAsia="Symbol" w:hAnsi="Arial" w:cs="Arial"/>
                <w:color w:val="000000"/>
                <w:sz w:val="20"/>
                <w:szCs w:val="20"/>
                <w:lang w:val="en-GB" w:eastAsia="sv-SE"/>
              </w:rPr>
              <w:t xml:space="preserve">ch will be used for criterion 3, 4 and </w:t>
            </w:r>
            <w:r w:rsidR="007B26D4" w:rsidRPr="00150614">
              <w:rPr>
                <w:rFonts w:ascii="Arial" w:eastAsia="Symbol" w:hAnsi="Arial" w:cs="Arial"/>
                <w:color w:val="000000"/>
                <w:sz w:val="20"/>
                <w:szCs w:val="20"/>
                <w:lang w:val="en-GB" w:eastAsia="sv-SE"/>
              </w:rPr>
              <w:t>5 on the side of BDA2GC.</w:t>
            </w:r>
          </w:p>
          <w:p w:rsidR="005A29AA" w:rsidRPr="00E316ED" w:rsidRDefault="005A29AA" w:rsidP="005A29AA">
            <w:pPr>
              <w:pStyle w:val="Paragraphedeliste"/>
              <w:numPr>
                <w:ilvl w:val="0"/>
                <w:numId w:val="3"/>
              </w:numPr>
              <w:spacing w:after="63" w:line="240" w:lineRule="auto"/>
              <w:rPr>
                <w:rFonts w:ascii="Arial" w:eastAsia="Times New Roman" w:hAnsi="Arial" w:cs="Arial"/>
                <w:color w:val="000000"/>
                <w:sz w:val="20"/>
                <w:szCs w:val="20"/>
                <w:lang w:val="en-US" w:eastAsia="sv-SE"/>
              </w:rPr>
            </w:pPr>
            <w:proofErr w:type="gramStart"/>
            <w:r w:rsidRPr="005967D7">
              <w:rPr>
                <w:rFonts w:ascii="Arial" w:eastAsia="Times New Roman" w:hAnsi="Arial" w:cs="Arial"/>
                <w:color w:val="000000"/>
                <w:sz w:val="20"/>
                <w:szCs w:val="20"/>
                <w:lang w:val="en-US" w:eastAsia="sv-SE"/>
              </w:rPr>
              <w:t>The question how to assess an application (i.e., terrestrial broadcasting and S-DAB) that had the opportunity to be deployed under the existing regulator</w:t>
            </w:r>
            <w:r>
              <w:rPr>
                <w:rFonts w:ascii="Arial" w:eastAsia="Times New Roman" w:hAnsi="Arial" w:cs="Arial"/>
                <w:color w:val="000000"/>
                <w:sz w:val="20"/>
                <w:szCs w:val="20"/>
                <w:lang w:val="en-US" w:eastAsia="sv-SE"/>
              </w:rPr>
              <w:t>y framework but was not,</w:t>
            </w:r>
            <w:r w:rsidRPr="005967D7">
              <w:rPr>
                <w:rFonts w:ascii="Arial" w:eastAsia="Times New Roman" w:hAnsi="Arial" w:cs="Arial"/>
                <w:color w:val="000000"/>
                <w:sz w:val="20"/>
                <w:szCs w:val="20"/>
                <w:lang w:val="en-US" w:eastAsia="sv-SE"/>
              </w:rPr>
              <w:t xml:space="preserve"> is proba</w:t>
            </w:r>
            <w:r>
              <w:rPr>
                <w:rFonts w:ascii="Arial" w:eastAsia="Times New Roman" w:hAnsi="Arial" w:cs="Arial"/>
                <w:color w:val="000000"/>
                <w:sz w:val="20"/>
                <w:szCs w:val="20"/>
                <w:lang w:val="en-US" w:eastAsia="sv-SE"/>
              </w:rPr>
              <w:t>bly not relevant for criterion 3</w:t>
            </w:r>
            <w:r w:rsidRPr="005967D7">
              <w:rPr>
                <w:rFonts w:ascii="Arial" w:eastAsia="Times New Roman" w:hAnsi="Arial" w:cs="Arial"/>
                <w:color w:val="000000"/>
                <w:sz w:val="20"/>
                <w:szCs w:val="20"/>
                <w:lang w:val="en-US" w:eastAsia="sv-SE"/>
              </w:rPr>
              <w:t>.</w:t>
            </w:r>
            <w:proofErr w:type="gramEnd"/>
          </w:p>
          <w:p w:rsidR="00963EBD" w:rsidRPr="00931ED0" w:rsidRDefault="00963EBD" w:rsidP="00931ED0">
            <w:pPr>
              <w:pStyle w:val="Textebrut"/>
              <w:spacing w:line="360" w:lineRule="auto"/>
              <w:jc w:val="both"/>
              <w:rPr>
                <w:rFonts w:cs="Consolas"/>
                <w:lang w:val="en-US"/>
              </w:rPr>
            </w:pPr>
          </w:p>
          <w:p w:rsidR="00963EBD" w:rsidRPr="00963EBD" w:rsidRDefault="00963EBD" w:rsidP="00963EBD">
            <w:pPr>
              <w:pStyle w:val="Paragraphedeliste"/>
              <w:numPr>
                <w:ilvl w:val="0"/>
                <w:numId w:val="5"/>
              </w:numPr>
              <w:spacing w:after="0" w:line="240" w:lineRule="auto"/>
              <w:rPr>
                <w:rFonts w:ascii="Arial" w:eastAsia="Times New Roman" w:hAnsi="Arial" w:cs="Arial"/>
                <w:color w:val="000000"/>
                <w:sz w:val="20"/>
                <w:szCs w:val="20"/>
                <w:lang w:val="en-US" w:eastAsia="sv-SE"/>
              </w:rPr>
            </w:pPr>
            <w:r w:rsidRPr="005D0EAE">
              <w:rPr>
                <w:rFonts w:ascii="Arial" w:eastAsia="Times New Roman" w:hAnsi="Arial" w:cs="Arial"/>
                <w:b/>
                <w:color w:val="000000"/>
                <w:sz w:val="20"/>
                <w:szCs w:val="20"/>
                <w:lang w:val="en-US" w:eastAsia="sv-SE"/>
              </w:rPr>
              <w:lastRenderedPageBreak/>
              <w:t>Criterion 4</w:t>
            </w:r>
            <w:r w:rsidRPr="00963EBD">
              <w:rPr>
                <w:rFonts w:ascii="Arial" w:eastAsia="Times New Roman" w:hAnsi="Arial" w:cs="Arial"/>
                <w:color w:val="000000"/>
                <w:sz w:val="20"/>
                <w:szCs w:val="20"/>
                <w:lang w:val="en-US" w:eastAsia="sv-SE"/>
              </w:rPr>
              <w:t xml:space="preserve"> shall award points for individual applications and the contributions to the regulatory option will be a weighted sum of marks of individual applications.</w:t>
            </w:r>
          </w:p>
          <w:p w:rsidR="00963EBD" w:rsidRDefault="00963EBD" w:rsidP="00963EBD">
            <w:pPr>
              <w:pStyle w:val="Paragraphedeliste"/>
              <w:numPr>
                <w:ilvl w:val="0"/>
                <w:numId w:val="3"/>
              </w:numPr>
              <w:spacing w:after="0" w:line="240" w:lineRule="auto"/>
              <w:rPr>
                <w:rFonts w:ascii="Arial" w:eastAsia="Times New Roman" w:hAnsi="Arial" w:cs="Arial"/>
                <w:color w:val="000000"/>
                <w:sz w:val="20"/>
                <w:szCs w:val="20"/>
                <w:lang w:val="en-US" w:eastAsia="sv-SE"/>
              </w:rPr>
            </w:pPr>
            <w:r>
              <w:rPr>
                <w:rFonts w:ascii="ormal Times New Roman" w:eastAsia="Symbol" w:hAnsi="ormal Times New Roman" w:cs="Symbol"/>
                <w:color w:val="000000"/>
                <w:sz w:val="14"/>
                <w:szCs w:val="14"/>
                <w:lang w:val="en-GB" w:eastAsia="sv-SE"/>
              </w:rPr>
              <w:t xml:space="preserve"> </w:t>
            </w:r>
            <w:r w:rsidRPr="00E316ED">
              <w:rPr>
                <w:rFonts w:ascii="Arial" w:eastAsia="Times New Roman" w:hAnsi="Arial" w:cs="Arial"/>
                <w:color w:val="000000"/>
                <w:sz w:val="20"/>
                <w:szCs w:val="20"/>
                <w:lang w:val="en-US" w:eastAsia="sv-SE"/>
              </w:rPr>
              <w:t>All the rele</w:t>
            </w:r>
            <w:r>
              <w:rPr>
                <w:rFonts w:ascii="Arial" w:eastAsia="Times New Roman" w:hAnsi="Arial" w:cs="Arial"/>
                <w:color w:val="000000"/>
                <w:sz w:val="20"/>
                <w:szCs w:val="20"/>
                <w:lang w:val="en-US" w:eastAsia="sv-SE"/>
              </w:rPr>
              <w:t>vant information for criterion 4</w:t>
            </w:r>
            <w:r w:rsidRPr="00E316ED">
              <w:rPr>
                <w:rFonts w:ascii="Arial" w:eastAsia="Times New Roman" w:hAnsi="Arial" w:cs="Arial"/>
                <w:color w:val="000000"/>
                <w:sz w:val="20"/>
                <w:szCs w:val="20"/>
                <w:lang w:val="en-US" w:eastAsia="sv-SE"/>
              </w:rPr>
              <w:t xml:space="preserve"> is available to FM PT50.</w:t>
            </w:r>
          </w:p>
          <w:p w:rsidR="00963EBD" w:rsidRPr="00963EBD" w:rsidRDefault="00963EBD" w:rsidP="00963EBD">
            <w:pPr>
              <w:pStyle w:val="Paragraphedeliste"/>
              <w:numPr>
                <w:ilvl w:val="0"/>
                <w:numId w:val="3"/>
              </w:numPr>
              <w:spacing w:after="0" w:line="240" w:lineRule="auto"/>
              <w:rPr>
                <w:rFonts w:ascii="Arial" w:eastAsia="Times New Roman" w:hAnsi="Arial" w:cs="Arial"/>
                <w:color w:val="000000"/>
                <w:sz w:val="20"/>
                <w:szCs w:val="20"/>
                <w:lang w:val="en-US" w:eastAsia="sv-SE"/>
              </w:rPr>
            </w:pPr>
            <w:r w:rsidRPr="00963EBD">
              <w:rPr>
                <w:rFonts w:ascii="Arial" w:eastAsia="Times New Roman" w:hAnsi="Arial" w:cs="Arial"/>
                <w:color w:val="000000"/>
                <w:sz w:val="20"/>
                <w:szCs w:val="20"/>
                <w:lang w:val="en-GB" w:eastAsia="sv-SE"/>
              </w:rPr>
              <w:t>How should we handle the flexibility built-in in regulatory options 2 and 3?</w:t>
            </w:r>
          </w:p>
          <w:p w:rsidR="00963EBD" w:rsidRPr="00963EBD" w:rsidRDefault="00963EBD" w:rsidP="00963EBD">
            <w:pPr>
              <w:pStyle w:val="Paragraphedeliste"/>
              <w:numPr>
                <w:ilvl w:val="1"/>
                <w:numId w:val="3"/>
              </w:numPr>
              <w:spacing w:after="0" w:line="240" w:lineRule="auto"/>
              <w:rPr>
                <w:rFonts w:ascii="Arial" w:eastAsia="Times New Roman" w:hAnsi="Arial" w:cs="Arial"/>
                <w:color w:val="000000"/>
                <w:sz w:val="20"/>
                <w:szCs w:val="20"/>
                <w:lang w:val="en-US" w:eastAsia="sv-SE"/>
              </w:rPr>
            </w:pPr>
            <w:r w:rsidRPr="00963EBD">
              <w:rPr>
                <w:rFonts w:ascii="Arial" w:eastAsia="Times New Roman" w:hAnsi="Arial" w:cs="Arial"/>
                <w:color w:val="000000"/>
                <w:sz w:val="20"/>
                <w:szCs w:val="20"/>
                <w:lang w:val="en-GB" w:eastAsia="sv-SE"/>
              </w:rPr>
              <w:t>For option 2 =&gt; no impact as Mobile SDL is the only application for this criteria</w:t>
            </w:r>
          </w:p>
          <w:p w:rsidR="00963EBD" w:rsidRPr="00963EBD" w:rsidRDefault="00963EBD" w:rsidP="00963EBD">
            <w:pPr>
              <w:pStyle w:val="Paragraphedeliste"/>
              <w:numPr>
                <w:ilvl w:val="1"/>
                <w:numId w:val="3"/>
              </w:numPr>
              <w:spacing w:after="0" w:line="240" w:lineRule="auto"/>
              <w:rPr>
                <w:rFonts w:ascii="Arial" w:eastAsia="Times New Roman" w:hAnsi="Arial" w:cs="Arial"/>
                <w:color w:val="000000"/>
                <w:sz w:val="20"/>
                <w:szCs w:val="20"/>
                <w:lang w:val="en-US" w:eastAsia="sv-SE"/>
              </w:rPr>
            </w:pPr>
            <w:r w:rsidRPr="00963EBD">
              <w:rPr>
                <w:rFonts w:ascii="Arial" w:eastAsia="Times New Roman" w:hAnsi="Arial" w:cs="Arial"/>
                <w:color w:val="000000"/>
                <w:sz w:val="20"/>
                <w:szCs w:val="20"/>
                <w:lang w:val="en-GB" w:eastAsia="sv-SE"/>
              </w:rPr>
              <w:t>For option 3 =&gt; Just as for criterion 3, there is a need to determine which application will be assumed in the part</w:t>
            </w:r>
            <w:r>
              <w:rPr>
                <w:rFonts w:ascii="Arial" w:eastAsia="Times New Roman" w:hAnsi="Arial" w:cs="Arial"/>
                <w:color w:val="000000"/>
                <w:sz w:val="20"/>
                <w:szCs w:val="20"/>
                <w:lang w:val="en-GB" w:eastAsia="sv-SE"/>
              </w:rPr>
              <w:t xml:space="preserve"> of the band not used by BDA2GC and</w:t>
            </w:r>
            <w:r w:rsidRPr="00963EBD">
              <w:rPr>
                <w:rFonts w:ascii="Arial" w:eastAsia="Times New Roman" w:hAnsi="Arial" w:cs="Arial"/>
                <w:color w:val="000000"/>
                <w:sz w:val="20"/>
                <w:szCs w:val="20"/>
                <w:lang w:val="en-GB" w:eastAsia="sv-SE"/>
              </w:rPr>
              <w:t xml:space="preserve"> </w:t>
            </w:r>
            <w:r>
              <w:rPr>
                <w:rFonts w:ascii="Arial" w:eastAsia="Times New Roman" w:hAnsi="Arial" w:cs="Arial"/>
                <w:color w:val="000000"/>
                <w:sz w:val="20"/>
                <w:szCs w:val="20"/>
                <w:lang w:val="en-GB" w:eastAsia="sv-SE"/>
              </w:rPr>
              <w:t>then a</w:t>
            </w:r>
            <w:r w:rsidRPr="00963EBD">
              <w:rPr>
                <w:rFonts w:ascii="Arial" w:eastAsia="Times New Roman" w:hAnsi="Arial" w:cs="Arial"/>
                <w:color w:val="000000"/>
                <w:sz w:val="20"/>
                <w:szCs w:val="20"/>
                <w:lang w:val="en-GB" w:eastAsia="sv-SE"/>
              </w:rPr>
              <w:t xml:space="preserve"> weighted sum between the two. </w:t>
            </w:r>
          </w:p>
          <w:p w:rsidR="00963EBD" w:rsidRPr="00963EBD" w:rsidRDefault="00963EBD" w:rsidP="00963EBD">
            <w:pPr>
              <w:pStyle w:val="Paragraphedeliste"/>
              <w:numPr>
                <w:ilvl w:val="0"/>
                <w:numId w:val="3"/>
              </w:numPr>
              <w:spacing w:after="0" w:line="240" w:lineRule="auto"/>
              <w:rPr>
                <w:rFonts w:ascii="Arial" w:eastAsia="Times New Roman" w:hAnsi="Arial" w:cs="Arial"/>
                <w:color w:val="000000"/>
                <w:sz w:val="20"/>
                <w:szCs w:val="20"/>
                <w:lang w:val="en-US" w:eastAsia="sv-SE"/>
              </w:rPr>
            </w:pPr>
            <w:r w:rsidRPr="00963EBD">
              <w:rPr>
                <w:rFonts w:ascii="Arial" w:eastAsia="Symbol" w:hAnsi="Arial" w:cs="Arial"/>
                <w:color w:val="000000"/>
                <w:sz w:val="20"/>
                <w:szCs w:val="20"/>
                <w:lang w:val="en-GB" w:eastAsia="sv-SE"/>
              </w:rPr>
              <w:t xml:space="preserve">Supports the idea to take into account the date of operational deployment compared to January 2013. </w:t>
            </w:r>
          </w:p>
          <w:p w:rsidR="007A7D0E" w:rsidRPr="007A7D0E" w:rsidRDefault="00963EBD" w:rsidP="007A7D0E">
            <w:pPr>
              <w:pStyle w:val="Paragraphedeliste"/>
              <w:numPr>
                <w:ilvl w:val="0"/>
                <w:numId w:val="3"/>
              </w:numPr>
              <w:spacing w:after="0" w:line="240" w:lineRule="auto"/>
              <w:rPr>
                <w:rFonts w:ascii="Arial" w:eastAsia="Times New Roman" w:hAnsi="Arial" w:cs="Arial"/>
                <w:color w:val="000000"/>
                <w:sz w:val="20"/>
                <w:szCs w:val="20"/>
                <w:lang w:val="en-US" w:eastAsia="sv-SE"/>
              </w:rPr>
            </w:pPr>
            <w:r w:rsidRPr="00963EBD">
              <w:rPr>
                <w:rFonts w:ascii="Arial" w:eastAsia="Times New Roman" w:hAnsi="Arial" w:cs="Arial"/>
                <w:color w:val="000000"/>
                <w:sz w:val="20"/>
                <w:szCs w:val="20"/>
                <w:lang w:val="en-GB" w:eastAsia="sv-SE"/>
              </w:rPr>
              <w:t>Argues that it is a fact that T-DAB can be deployed in January 2013, which impact criterion 3, but pr</w:t>
            </w:r>
            <w:r w:rsidR="005D0EAE">
              <w:rPr>
                <w:rFonts w:ascii="Arial" w:eastAsia="Times New Roman" w:hAnsi="Arial" w:cs="Arial"/>
                <w:color w:val="000000"/>
                <w:sz w:val="20"/>
                <w:szCs w:val="20"/>
                <w:lang w:val="en-GB" w:eastAsia="sv-SE"/>
              </w:rPr>
              <w:t>obably not so much criterion 4.</w:t>
            </w:r>
          </w:p>
          <w:p w:rsidR="007A7D0E" w:rsidRDefault="007A7D0E" w:rsidP="007A7D0E">
            <w:pPr>
              <w:pStyle w:val="Paragraphedeliste"/>
              <w:spacing w:after="0" w:line="240" w:lineRule="auto"/>
              <w:ind w:left="360"/>
              <w:rPr>
                <w:rFonts w:ascii="Arial" w:eastAsia="Times New Roman" w:hAnsi="Arial" w:cs="Arial"/>
                <w:color w:val="000000"/>
                <w:sz w:val="20"/>
                <w:szCs w:val="20"/>
                <w:lang w:val="en-US" w:eastAsia="sv-SE"/>
              </w:rPr>
            </w:pPr>
          </w:p>
          <w:p w:rsidR="007A7D0E" w:rsidRDefault="007A7D0E" w:rsidP="007A7D0E">
            <w:pPr>
              <w:pStyle w:val="Paragraphedeliste"/>
              <w:spacing w:after="0" w:line="240" w:lineRule="auto"/>
              <w:ind w:left="360"/>
              <w:rPr>
                <w:rFonts w:ascii="Arial" w:eastAsia="Times New Roman" w:hAnsi="Arial" w:cs="Arial"/>
                <w:color w:val="000000"/>
                <w:sz w:val="20"/>
                <w:szCs w:val="20"/>
                <w:lang w:val="en-US" w:eastAsia="sv-SE"/>
              </w:rPr>
            </w:pPr>
          </w:p>
          <w:p w:rsidR="007A7D0E" w:rsidRPr="007A7D0E" w:rsidRDefault="007A7D0E" w:rsidP="007A7D0E">
            <w:pPr>
              <w:pStyle w:val="Paragraphedeliste"/>
              <w:numPr>
                <w:ilvl w:val="0"/>
                <w:numId w:val="3"/>
              </w:numPr>
              <w:spacing w:after="0" w:line="240" w:lineRule="auto"/>
              <w:rPr>
                <w:rFonts w:ascii="Arial" w:eastAsia="Times New Roman" w:hAnsi="Arial" w:cs="Arial"/>
                <w:color w:val="000000"/>
                <w:sz w:val="20"/>
                <w:szCs w:val="20"/>
                <w:lang w:val="en-US" w:eastAsia="sv-SE"/>
              </w:rPr>
            </w:pPr>
            <w:r w:rsidRPr="007A7D0E">
              <w:rPr>
                <w:rFonts w:ascii="Arial" w:hAnsi="Arial" w:cs="Arial"/>
                <w:b/>
                <w:color w:val="000000"/>
                <w:sz w:val="20"/>
                <w:szCs w:val="20"/>
                <w:lang w:val="en-GB"/>
              </w:rPr>
              <w:t>Criterion 5</w:t>
            </w:r>
            <w:r w:rsidRPr="007A7D0E">
              <w:rPr>
                <w:rFonts w:ascii="Arial" w:hAnsi="Arial" w:cs="Arial"/>
                <w:color w:val="000000"/>
                <w:sz w:val="20"/>
                <w:szCs w:val="20"/>
                <w:lang w:val="en-GB"/>
              </w:rPr>
              <w:t xml:space="preserve"> will award points for individual applications and the contributions to the regulatory option will be a weighted sum of marks of individual applications.</w:t>
            </w:r>
          </w:p>
          <w:p w:rsidR="007A7D0E" w:rsidRDefault="007A7D0E" w:rsidP="007A7D0E">
            <w:pPr>
              <w:pStyle w:val="Paragraphedeliste"/>
              <w:numPr>
                <w:ilvl w:val="0"/>
                <w:numId w:val="3"/>
              </w:numPr>
              <w:spacing w:after="0" w:line="240" w:lineRule="auto"/>
              <w:rPr>
                <w:rFonts w:ascii="Arial" w:eastAsia="Times New Roman" w:hAnsi="Arial" w:cs="Arial"/>
                <w:color w:val="000000"/>
                <w:sz w:val="20"/>
                <w:szCs w:val="20"/>
                <w:lang w:val="en-US" w:eastAsia="sv-SE"/>
              </w:rPr>
            </w:pPr>
            <w:r w:rsidRPr="00E316ED">
              <w:rPr>
                <w:rFonts w:ascii="Arial" w:eastAsia="Times New Roman" w:hAnsi="Arial" w:cs="Arial"/>
                <w:color w:val="000000"/>
                <w:sz w:val="20"/>
                <w:szCs w:val="20"/>
                <w:lang w:val="en-US" w:eastAsia="sv-SE"/>
              </w:rPr>
              <w:t>All the rele</w:t>
            </w:r>
            <w:r>
              <w:rPr>
                <w:rFonts w:ascii="Arial" w:eastAsia="Times New Roman" w:hAnsi="Arial" w:cs="Arial"/>
                <w:color w:val="000000"/>
                <w:sz w:val="20"/>
                <w:szCs w:val="20"/>
                <w:lang w:val="en-US" w:eastAsia="sv-SE"/>
              </w:rPr>
              <w:t>vant qualitative information for criterion 5</w:t>
            </w:r>
            <w:r w:rsidRPr="00E316ED">
              <w:rPr>
                <w:rFonts w:ascii="Arial" w:eastAsia="Times New Roman" w:hAnsi="Arial" w:cs="Arial"/>
                <w:color w:val="000000"/>
                <w:sz w:val="20"/>
                <w:szCs w:val="20"/>
                <w:lang w:val="en-US" w:eastAsia="sv-SE"/>
              </w:rPr>
              <w:t xml:space="preserve"> is available to FM PT50.</w:t>
            </w:r>
          </w:p>
          <w:p w:rsidR="00F57CC7" w:rsidRPr="00F57CC7" w:rsidRDefault="007A7D0E" w:rsidP="007A7D0E">
            <w:pPr>
              <w:pStyle w:val="Paragraphedeliste"/>
              <w:numPr>
                <w:ilvl w:val="0"/>
                <w:numId w:val="3"/>
              </w:numPr>
              <w:spacing w:after="0" w:line="240" w:lineRule="auto"/>
              <w:rPr>
                <w:rFonts w:ascii="Arial" w:hAnsi="Arial" w:cs="Arial"/>
                <w:color w:val="000000"/>
                <w:sz w:val="20"/>
                <w:szCs w:val="20"/>
                <w:lang w:val="en-GB"/>
              </w:rPr>
            </w:pPr>
            <w:r w:rsidRPr="00F57CC7">
              <w:rPr>
                <w:rFonts w:ascii="Arial" w:hAnsi="Arial" w:cs="Arial"/>
                <w:color w:val="000000"/>
                <w:sz w:val="20"/>
                <w:szCs w:val="20"/>
                <w:lang w:val="en-GB"/>
              </w:rPr>
              <w:t>Concerning the quantitative information (size of market), most applications already have a market today, with the obvious exception of BDA2GC and PPDR for temporary and local use. Some elements have been provided relating to the size of the market for BDA2GC in terms of number of airplanes targeted, or passengers transported. For PPDR for temporary and local use, it should be stressed that we only need this estimation if that application is the one selected to complement BDA2GC in the context of the impact analysis for option 3. If needed, FM PT50 probably could have an upper value taking the overall PPDR EU market and then trying to estimate the market for temporary and local use based on the declarations of countries supporting this application (FM PT49 may be able to assist providing a reasonable estimation/range).</w:t>
            </w:r>
          </w:p>
          <w:p w:rsidR="00F57CC7" w:rsidRPr="00F57CC7" w:rsidRDefault="00F57CC7" w:rsidP="007A7D0E">
            <w:pPr>
              <w:pStyle w:val="Paragraphedeliste"/>
              <w:numPr>
                <w:ilvl w:val="0"/>
                <w:numId w:val="3"/>
              </w:numPr>
              <w:spacing w:after="0" w:line="240" w:lineRule="auto"/>
              <w:rPr>
                <w:rFonts w:ascii="Arial" w:hAnsi="Arial" w:cs="Arial"/>
                <w:color w:val="000000"/>
                <w:sz w:val="20"/>
                <w:szCs w:val="20"/>
                <w:lang w:val="en-GB"/>
              </w:rPr>
            </w:pPr>
            <w:r w:rsidRPr="00F57CC7">
              <w:rPr>
                <w:rFonts w:ascii="Arial" w:hAnsi="Arial" w:cs="Arial"/>
                <w:color w:val="000000"/>
                <w:sz w:val="20"/>
                <w:szCs w:val="20"/>
                <w:lang w:val="en-GB"/>
              </w:rPr>
              <w:t>As for criteria 3 and 4, FM PT50</w:t>
            </w:r>
            <w:r w:rsidR="007A7D0E" w:rsidRPr="00F57CC7">
              <w:rPr>
                <w:rFonts w:ascii="Arial" w:hAnsi="Arial" w:cs="Arial"/>
                <w:color w:val="000000"/>
                <w:sz w:val="20"/>
                <w:szCs w:val="20"/>
                <w:lang w:val="en-GB"/>
              </w:rPr>
              <w:t xml:space="preserve"> need</w:t>
            </w:r>
            <w:r w:rsidRPr="00F57CC7">
              <w:rPr>
                <w:rFonts w:ascii="Arial" w:hAnsi="Arial" w:cs="Arial"/>
                <w:color w:val="000000"/>
                <w:sz w:val="20"/>
                <w:szCs w:val="20"/>
                <w:lang w:val="en-GB"/>
              </w:rPr>
              <w:t>s</w:t>
            </w:r>
            <w:r w:rsidR="007A7D0E" w:rsidRPr="00F57CC7">
              <w:rPr>
                <w:rFonts w:ascii="Arial" w:hAnsi="Arial" w:cs="Arial"/>
                <w:color w:val="000000"/>
                <w:sz w:val="20"/>
                <w:szCs w:val="20"/>
                <w:lang w:val="en-GB"/>
              </w:rPr>
              <w:t xml:space="preserve"> to identify a service complementary to BDA2GC for the impact analysis.</w:t>
            </w:r>
          </w:p>
          <w:p w:rsidR="00F57CC7" w:rsidRPr="00F57CC7" w:rsidRDefault="00F57CC7" w:rsidP="007A7D0E">
            <w:pPr>
              <w:pStyle w:val="Paragraphedeliste"/>
              <w:numPr>
                <w:ilvl w:val="0"/>
                <w:numId w:val="3"/>
              </w:numPr>
              <w:spacing w:after="0" w:line="240" w:lineRule="auto"/>
              <w:rPr>
                <w:rFonts w:ascii="Arial" w:hAnsi="Arial" w:cs="Arial"/>
                <w:color w:val="000000"/>
                <w:sz w:val="20"/>
                <w:szCs w:val="20"/>
                <w:lang w:val="en-GB"/>
              </w:rPr>
            </w:pPr>
            <w:r w:rsidRPr="00F57CC7">
              <w:rPr>
                <w:rFonts w:ascii="Arial" w:hAnsi="Arial" w:cs="Arial"/>
                <w:color w:val="000000"/>
                <w:sz w:val="20"/>
                <w:szCs w:val="20"/>
                <w:lang w:val="en-GB"/>
              </w:rPr>
              <w:t>T</w:t>
            </w:r>
            <w:r w:rsidR="007A7D0E" w:rsidRPr="00F57CC7">
              <w:rPr>
                <w:rFonts w:ascii="Arial" w:hAnsi="Arial" w:cs="Arial"/>
                <w:color w:val="000000"/>
                <w:sz w:val="20"/>
                <w:szCs w:val="20"/>
                <w:lang w:val="en-GB"/>
              </w:rPr>
              <w:t xml:space="preserve">he quantitative aspects about the size of the market should be assessed taking into account that there is no market today. </w:t>
            </w:r>
            <w:r w:rsidRPr="00F57CC7">
              <w:rPr>
                <w:rFonts w:ascii="Arial" w:hAnsi="Arial" w:cs="Arial"/>
                <w:color w:val="000000"/>
                <w:sz w:val="20"/>
                <w:szCs w:val="20"/>
                <w:lang w:val="en-GB"/>
              </w:rPr>
              <w:t>FM PT50</w:t>
            </w:r>
            <w:r w:rsidR="007A7D0E" w:rsidRPr="00F57CC7">
              <w:rPr>
                <w:rFonts w:ascii="Arial" w:hAnsi="Arial" w:cs="Arial"/>
                <w:color w:val="000000"/>
                <w:sz w:val="20"/>
                <w:szCs w:val="20"/>
                <w:lang w:val="en-GB"/>
              </w:rPr>
              <w:t xml:space="preserve"> should assess the quantitative elements in a standard manner and keep this fact for a sanity check when it comes to the size of the market</w:t>
            </w:r>
            <w:r w:rsidRPr="00F57CC7">
              <w:rPr>
                <w:rFonts w:ascii="Arial" w:hAnsi="Arial" w:cs="Arial"/>
                <w:color w:val="000000"/>
                <w:sz w:val="20"/>
                <w:szCs w:val="20"/>
                <w:lang w:val="en-GB"/>
              </w:rPr>
              <w:t>, which is limited today</w:t>
            </w:r>
            <w:r w:rsidR="007A7D0E" w:rsidRPr="00F57CC7">
              <w:rPr>
                <w:rFonts w:ascii="Arial" w:hAnsi="Arial" w:cs="Arial"/>
                <w:color w:val="000000"/>
                <w:sz w:val="20"/>
                <w:szCs w:val="20"/>
                <w:lang w:val="en-GB"/>
              </w:rPr>
              <w:t>.</w:t>
            </w:r>
            <w:r w:rsidRPr="00F57CC7">
              <w:rPr>
                <w:rFonts w:ascii="Arial" w:hAnsi="Arial" w:cs="Arial"/>
                <w:color w:val="000000"/>
                <w:sz w:val="20"/>
                <w:szCs w:val="20"/>
                <w:lang w:val="en-GB"/>
              </w:rPr>
              <w:t xml:space="preserve"> The qualitative elements on harmonisation would not be impacted.</w:t>
            </w:r>
          </w:p>
          <w:p w:rsidR="00F57CC7" w:rsidRPr="00F57CC7" w:rsidRDefault="00F57CC7" w:rsidP="007A7D0E">
            <w:pPr>
              <w:pStyle w:val="Paragraphedeliste"/>
              <w:numPr>
                <w:ilvl w:val="0"/>
                <w:numId w:val="3"/>
              </w:numPr>
              <w:spacing w:after="0" w:line="240" w:lineRule="auto"/>
              <w:rPr>
                <w:rFonts w:ascii="Arial" w:hAnsi="Arial" w:cs="Arial"/>
                <w:color w:val="000000"/>
                <w:sz w:val="20"/>
                <w:szCs w:val="20"/>
                <w:lang w:val="en-GB"/>
              </w:rPr>
            </w:pPr>
            <w:r w:rsidRPr="00F57CC7">
              <w:rPr>
                <w:rFonts w:ascii="Arial" w:hAnsi="Arial" w:cs="Arial"/>
                <w:color w:val="000000"/>
                <w:sz w:val="20"/>
                <w:szCs w:val="20"/>
                <w:lang w:val="en-GB"/>
              </w:rPr>
              <w:t xml:space="preserve">It is important that </w:t>
            </w:r>
            <w:r w:rsidR="007A7D0E" w:rsidRPr="00F57CC7">
              <w:rPr>
                <w:rFonts w:ascii="Arial" w:hAnsi="Arial" w:cs="Arial"/>
                <w:color w:val="000000"/>
                <w:sz w:val="20"/>
                <w:szCs w:val="20"/>
                <w:lang w:val="en-GB"/>
              </w:rPr>
              <w:t xml:space="preserve">economies of scale </w:t>
            </w:r>
            <w:r w:rsidRPr="00F57CC7">
              <w:rPr>
                <w:rFonts w:ascii="Arial" w:hAnsi="Arial" w:cs="Arial"/>
                <w:color w:val="000000"/>
                <w:sz w:val="20"/>
                <w:szCs w:val="20"/>
                <w:lang w:val="en-GB"/>
              </w:rPr>
              <w:t xml:space="preserve">should not count </w:t>
            </w:r>
            <w:r w:rsidR="007A7D0E" w:rsidRPr="00F57CC7">
              <w:rPr>
                <w:rFonts w:ascii="Arial" w:hAnsi="Arial" w:cs="Arial"/>
                <w:color w:val="000000"/>
                <w:sz w:val="20"/>
                <w:szCs w:val="20"/>
                <w:lang w:val="en-GB"/>
              </w:rPr>
              <w:t>twice, i.e. once under cr</w:t>
            </w:r>
            <w:r w:rsidRPr="00F57CC7">
              <w:rPr>
                <w:rFonts w:ascii="Arial" w:hAnsi="Arial" w:cs="Arial"/>
                <w:color w:val="000000"/>
                <w:sz w:val="20"/>
                <w:szCs w:val="20"/>
                <w:lang w:val="en-GB"/>
              </w:rPr>
              <w:t>iterion 3 and once under criterion</w:t>
            </w:r>
            <w:r w:rsidR="007A7D0E" w:rsidRPr="00F57CC7">
              <w:rPr>
                <w:rFonts w:ascii="Arial" w:hAnsi="Arial" w:cs="Arial"/>
                <w:color w:val="000000"/>
                <w:sz w:val="20"/>
                <w:szCs w:val="20"/>
                <w:lang w:val="en-GB"/>
              </w:rPr>
              <w:t xml:space="preserve"> 5.</w:t>
            </w:r>
          </w:p>
          <w:p w:rsidR="00F57CC7" w:rsidRPr="00F57CC7" w:rsidRDefault="00F57CC7" w:rsidP="007A7D0E">
            <w:pPr>
              <w:pStyle w:val="Paragraphedeliste"/>
              <w:numPr>
                <w:ilvl w:val="0"/>
                <w:numId w:val="3"/>
              </w:numPr>
              <w:spacing w:after="0" w:line="240" w:lineRule="auto"/>
              <w:rPr>
                <w:rFonts w:ascii="Arial" w:hAnsi="Arial" w:cs="Arial"/>
                <w:color w:val="000000"/>
                <w:sz w:val="20"/>
                <w:szCs w:val="20"/>
                <w:lang w:val="en-GB"/>
              </w:rPr>
            </w:pPr>
            <w:r w:rsidRPr="00F57CC7">
              <w:rPr>
                <w:rFonts w:ascii="Arial" w:hAnsi="Arial" w:cs="Arial"/>
                <w:color w:val="000000"/>
                <w:sz w:val="20"/>
                <w:szCs w:val="20"/>
                <w:lang w:val="en-GB"/>
              </w:rPr>
              <w:t>S</w:t>
            </w:r>
            <w:r w:rsidR="007A7D0E" w:rsidRPr="00F57CC7">
              <w:rPr>
                <w:rFonts w:ascii="Arial" w:hAnsi="Arial" w:cs="Arial"/>
                <w:color w:val="000000"/>
                <w:sz w:val="20"/>
                <w:szCs w:val="20"/>
                <w:lang w:val="en-GB"/>
              </w:rPr>
              <w:t>uggest</w:t>
            </w:r>
            <w:r w:rsidRPr="00F57CC7">
              <w:rPr>
                <w:rFonts w:ascii="Arial" w:hAnsi="Arial" w:cs="Arial"/>
                <w:color w:val="000000"/>
                <w:sz w:val="20"/>
                <w:szCs w:val="20"/>
                <w:lang w:val="en-GB"/>
              </w:rPr>
              <w:t>s to simplify criterion 5 by splitting it in two</w:t>
            </w:r>
            <w:r w:rsidR="007A7D0E" w:rsidRPr="00F57CC7">
              <w:rPr>
                <w:rFonts w:ascii="Arial" w:hAnsi="Arial" w:cs="Arial"/>
                <w:color w:val="000000"/>
                <w:sz w:val="20"/>
                <w:szCs w:val="20"/>
                <w:lang w:val="en-GB"/>
              </w:rPr>
              <w:t xml:space="preserve"> sub-criterion:</w:t>
            </w:r>
          </w:p>
          <w:p w:rsidR="00F57CC7" w:rsidRPr="00F57CC7" w:rsidRDefault="007A7D0E" w:rsidP="00F57CC7">
            <w:pPr>
              <w:pStyle w:val="Paragraphedeliste"/>
              <w:numPr>
                <w:ilvl w:val="1"/>
                <w:numId w:val="3"/>
              </w:numPr>
              <w:spacing w:after="0" w:line="240" w:lineRule="auto"/>
              <w:rPr>
                <w:rFonts w:ascii="Arial" w:hAnsi="Arial" w:cs="Arial"/>
                <w:color w:val="000000"/>
                <w:sz w:val="20"/>
                <w:szCs w:val="20"/>
                <w:lang w:val="en-GB"/>
              </w:rPr>
            </w:pPr>
            <w:r w:rsidRPr="00F57CC7">
              <w:rPr>
                <w:rFonts w:ascii="Arial" w:hAnsi="Arial" w:cs="Arial"/>
                <w:color w:val="000000"/>
                <w:sz w:val="20"/>
                <w:szCs w:val="20"/>
                <w:lang w:val="en-GB"/>
              </w:rPr>
              <w:t>Potential for harmonisation within CEPT</w:t>
            </w:r>
          </w:p>
          <w:p w:rsidR="007A7D0E" w:rsidRPr="00F57CC7" w:rsidRDefault="007A7D0E" w:rsidP="00F57CC7">
            <w:pPr>
              <w:pStyle w:val="Paragraphedeliste"/>
              <w:numPr>
                <w:ilvl w:val="1"/>
                <w:numId w:val="3"/>
              </w:numPr>
              <w:spacing w:after="0" w:line="240" w:lineRule="auto"/>
              <w:rPr>
                <w:rFonts w:ascii="Arial" w:hAnsi="Arial" w:cs="Arial"/>
                <w:color w:val="000000"/>
                <w:sz w:val="20"/>
                <w:szCs w:val="20"/>
                <w:lang w:val="en-GB"/>
              </w:rPr>
            </w:pPr>
            <w:r w:rsidRPr="00F57CC7">
              <w:rPr>
                <w:rFonts w:ascii="Arial" w:hAnsi="Arial" w:cs="Arial"/>
                <w:color w:val="000000"/>
                <w:sz w:val="20"/>
                <w:szCs w:val="20"/>
                <w:lang w:val="en-GB"/>
              </w:rPr>
              <w:t>Potential for harmonisation outside CEPT</w:t>
            </w:r>
          </w:p>
          <w:p w:rsidR="007A7D0E" w:rsidRDefault="007A7D0E" w:rsidP="00CF307F">
            <w:pPr>
              <w:rPr>
                <w:rFonts w:ascii="Arial" w:hAnsi="Arial" w:cs="Arial"/>
                <w:sz w:val="20"/>
                <w:szCs w:val="20"/>
                <w:lang w:val="en-US" w:eastAsia="de-DE"/>
              </w:rPr>
            </w:pPr>
          </w:p>
          <w:p w:rsidR="002427C9" w:rsidRDefault="00F57CC7" w:rsidP="002427C9">
            <w:pPr>
              <w:rPr>
                <w:rFonts w:ascii="Arial" w:hAnsi="Arial" w:cs="Arial"/>
                <w:i/>
                <w:sz w:val="20"/>
                <w:szCs w:val="20"/>
                <w:lang w:val="en-US" w:eastAsia="de-DE"/>
              </w:rPr>
            </w:pPr>
            <w:r>
              <w:rPr>
                <w:rFonts w:ascii="Arial" w:hAnsi="Arial" w:cs="Arial"/>
                <w:i/>
                <w:sz w:val="20"/>
                <w:szCs w:val="20"/>
                <w:lang w:val="en-US" w:eastAsia="de-DE"/>
              </w:rPr>
              <w:t>DG c</w:t>
            </w:r>
            <w:r w:rsidR="00931ED0" w:rsidRPr="00931ED0">
              <w:rPr>
                <w:rFonts w:ascii="Arial" w:hAnsi="Arial" w:cs="Arial"/>
                <w:i/>
                <w:sz w:val="20"/>
                <w:szCs w:val="20"/>
                <w:lang w:val="en-US" w:eastAsia="de-DE"/>
              </w:rPr>
              <w:t>oordinator</w:t>
            </w:r>
          </w:p>
          <w:p w:rsidR="00E316ED" w:rsidRPr="002427C9" w:rsidRDefault="00E316ED" w:rsidP="002427C9">
            <w:pPr>
              <w:pStyle w:val="Paragraphedeliste"/>
              <w:numPr>
                <w:ilvl w:val="0"/>
                <w:numId w:val="9"/>
              </w:numPr>
              <w:rPr>
                <w:rFonts w:ascii="Arial" w:hAnsi="Arial" w:cs="Arial"/>
                <w:sz w:val="20"/>
                <w:szCs w:val="20"/>
                <w:lang w:val="en-US" w:eastAsia="de-DE"/>
              </w:rPr>
            </w:pPr>
            <w:r w:rsidRPr="002427C9">
              <w:rPr>
                <w:rFonts w:ascii="Arial" w:hAnsi="Arial" w:cs="Arial"/>
                <w:sz w:val="20"/>
                <w:szCs w:val="20"/>
                <w:lang w:val="en-US" w:eastAsia="de-DE"/>
              </w:rPr>
              <w:t>Regulatory option 4 will be deleted and we should not spend too much time and efforts on regulatory option1 since</w:t>
            </w:r>
            <w:r w:rsidR="00752086" w:rsidRPr="002427C9">
              <w:rPr>
                <w:rFonts w:ascii="Arial" w:hAnsi="Arial" w:cs="Arial"/>
                <w:sz w:val="20"/>
                <w:szCs w:val="20"/>
                <w:lang w:val="en-US" w:eastAsia="de-DE"/>
              </w:rPr>
              <w:t xml:space="preserve"> </w:t>
            </w:r>
            <w:r w:rsidRPr="002427C9">
              <w:rPr>
                <w:rFonts w:ascii="Arial" w:hAnsi="Arial" w:cs="Arial"/>
                <w:sz w:val="20"/>
                <w:szCs w:val="20"/>
                <w:lang w:val="en-US" w:eastAsia="de-DE"/>
              </w:rPr>
              <w:t>it</w:t>
            </w:r>
            <w:r w:rsidR="00A43E52" w:rsidRPr="002427C9">
              <w:rPr>
                <w:rFonts w:ascii="Arial" w:hAnsi="Arial" w:cs="Arial"/>
                <w:sz w:val="20"/>
                <w:szCs w:val="20"/>
                <w:lang w:val="en-US" w:eastAsia="de-DE"/>
              </w:rPr>
              <w:t xml:space="preserve"> will not be treated in the same way as options 2 and 3</w:t>
            </w:r>
            <w:r w:rsidR="00752086" w:rsidRPr="002427C9">
              <w:rPr>
                <w:rFonts w:ascii="Arial" w:hAnsi="Arial" w:cs="Arial"/>
                <w:sz w:val="20"/>
                <w:szCs w:val="20"/>
                <w:lang w:val="en-US" w:eastAsia="de-DE"/>
              </w:rPr>
              <w:t xml:space="preserve"> in the end</w:t>
            </w:r>
            <w:r w:rsidR="00A43E52" w:rsidRPr="002427C9">
              <w:rPr>
                <w:rFonts w:ascii="Arial" w:hAnsi="Arial" w:cs="Arial"/>
                <w:sz w:val="20"/>
                <w:szCs w:val="20"/>
                <w:lang w:val="en-US" w:eastAsia="de-DE"/>
              </w:rPr>
              <w:t>.</w:t>
            </w:r>
          </w:p>
          <w:p w:rsidR="00752086" w:rsidRPr="00E316ED" w:rsidRDefault="002427C9" w:rsidP="00032BB5">
            <w:pPr>
              <w:pStyle w:val="Paragraphedeliste"/>
              <w:numPr>
                <w:ilvl w:val="0"/>
                <w:numId w:val="4"/>
              </w:numPr>
              <w:rPr>
                <w:rFonts w:ascii="Arial" w:hAnsi="Arial" w:cs="Arial"/>
                <w:sz w:val="20"/>
                <w:szCs w:val="20"/>
                <w:lang w:val="en-US" w:eastAsia="de-DE"/>
              </w:rPr>
            </w:pPr>
            <w:r>
              <w:rPr>
                <w:rFonts w:ascii="Arial" w:hAnsi="Arial" w:cs="Arial"/>
                <w:sz w:val="20"/>
                <w:szCs w:val="20"/>
                <w:lang w:val="en-US" w:eastAsia="de-DE"/>
              </w:rPr>
              <w:t>Invites FM PT50 to consider a mor</w:t>
            </w:r>
            <w:r w:rsidR="00032BB5">
              <w:rPr>
                <w:rFonts w:ascii="Arial" w:hAnsi="Arial" w:cs="Arial"/>
                <w:sz w:val="20"/>
                <w:szCs w:val="20"/>
                <w:lang w:val="en-US" w:eastAsia="de-DE"/>
              </w:rPr>
              <w:t xml:space="preserve">e detailed </w:t>
            </w:r>
            <w:proofErr w:type="spellStart"/>
            <w:r w:rsidR="00032BB5">
              <w:rPr>
                <w:rFonts w:ascii="Arial" w:hAnsi="Arial" w:cs="Arial"/>
                <w:sz w:val="20"/>
                <w:szCs w:val="20"/>
                <w:lang w:val="en-US" w:eastAsia="de-DE"/>
              </w:rPr>
              <w:t>prioritisation</w:t>
            </w:r>
            <w:proofErr w:type="spellEnd"/>
            <w:r w:rsidR="00032BB5">
              <w:rPr>
                <w:rFonts w:ascii="Arial" w:hAnsi="Arial" w:cs="Arial"/>
                <w:sz w:val="20"/>
                <w:szCs w:val="20"/>
                <w:lang w:val="en-US" w:eastAsia="de-DE"/>
              </w:rPr>
              <w:t xml:space="preserve"> of cr</w:t>
            </w:r>
            <w:r>
              <w:rPr>
                <w:rFonts w:ascii="Arial" w:hAnsi="Arial" w:cs="Arial"/>
                <w:sz w:val="20"/>
                <w:szCs w:val="20"/>
                <w:lang w:val="en-US" w:eastAsia="de-DE"/>
              </w:rPr>
              <w:t xml:space="preserve">iteria </w:t>
            </w:r>
            <w:r w:rsidR="00032BB5">
              <w:rPr>
                <w:rFonts w:ascii="Arial" w:hAnsi="Arial" w:cs="Arial"/>
                <w:sz w:val="20"/>
                <w:szCs w:val="20"/>
                <w:lang w:val="en-US" w:eastAsia="de-DE"/>
              </w:rPr>
              <w:t>(</w:t>
            </w:r>
            <w:r>
              <w:rPr>
                <w:rFonts w:ascii="Arial" w:hAnsi="Arial" w:cs="Arial"/>
                <w:sz w:val="20"/>
                <w:szCs w:val="20"/>
                <w:lang w:val="en-US" w:eastAsia="de-DE"/>
              </w:rPr>
              <w:t>Annex 2</w:t>
            </w:r>
            <w:r w:rsidR="00032BB5">
              <w:rPr>
                <w:rFonts w:ascii="Arial" w:hAnsi="Arial" w:cs="Arial"/>
                <w:sz w:val="20"/>
                <w:szCs w:val="20"/>
                <w:lang w:val="en-US" w:eastAsia="de-DE"/>
              </w:rPr>
              <w:t>)</w:t>
            </w:r>
            <w:r>
              <w:rPr>
                <w:rFonts w:ascii="Arial" w:hAnsi="Arial" w:cs="Arial"/>
                <w:sz w:val="20"/>
                <w:szCs w:val="20"/>
                <w:lang w:val="en-US" w:eastAsia="de-DE"/>
              </w:rPr>
              <w:t xml:space="preserve"> in order to be in line with the work performed in DG4.</w:t>
            </w:r>
          </w:p>
        </w:tc>
      </w:tr>
      <w:tr w:rsidR="00D5763F" w:rsidRPr="00032BB5" w:rsidTr="007271DF">
        <w:tc>
          <w:tcPr>
            <w:tcW w:w="9600" w:type="dxa"/>
          </w:tcPr>
          <w:p w:rsidR="00D5763F" w:rsidRPr="00D33BCE" w:rsidRDefault="00D5763F" w:rsidP="007271DF">
            <w:pPr>
              <w:rPr>
                <w:rFonts w:ascii="Arial" w:hAnsi="Arial" w:cs="Arial"/>
                <w:sz w:val="20"/>
                <w:szCs w:val="20"/>
                <w:lang w:val="en-GB" w:eastAsia="de-DE"/>
              </w:rPr>
            </w:pPr>
          </w:p>
          <w:p w:rsidR="00D5763F" w:rsidRPr="00D33BCE" w:rsidRDefault="00D5763F" w:rsidP="007271DF">
            <w:pPr>
              <w:keepNext/>
              <w:outlineLvl w:val="2"/>
              <w:rPr>
                <w:rFonts w:ascii="Arial" w:hAnsi="Arial"/>
                <w:b/>
                <w:szCs w:val="20"/>
                <w:lang w:val="en-GB" w:eastAsia="de-DE"/>
              </w:rPr>
            </w:pPr>
            <w:r>
              <w:rPr>
                <w:rFonts w:ascii="Arial" w:hAnsi="Arial"/>
                <w:b/>
                <w:szCs w:val="20"/>
                <w:lang w:val="en-GB" w:eastAsia="de-DE"/>
              </w:rPr>
              <w:t>Background</w:t>
            </w:r>
          </w:p>
          <w:p w:rsidR="00CF307F" w:rsidRPr="00B97716" w:rsidRDefault="00CF307F" w:rsidP="00CF307F">
            <w:pPr>
              <w:spacing w:line="240" w:lineRule="auto"/>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 xml:space="preserve">The prioritisation of criteria as shown in the table (three categories) was agreed </w:t>
            </w:r>
            <w:r w:rsidR="00A175E4">
              <w:rPr>
                <w:rFonts w:ascii="Arial" w:eastAsia="Times New Roman" w:hAnsi="Arial" w:cs="Arial"/>
                <w:color w:val="000000"/>
                <w:sz w:val="20"/>
                <w:szCs w:val="20"/>
                <w:lang w:val="en-GB" w:eastAsia="sv-SE"/>
              </w:rPr>
              <w:t xml:space="preserve">already </w:t>
            </w:r>
            <w:r w:rsidR="00682D8F">
              <w:rPr>
                <w:rFonts w:ascii="Arial" w:eastAsia="Times New Roman" w:hAnsi="Arial" w:cs="Arial"/>
                <w:color w:val="000000"/>
                <w:sz w:val="20"/>
                <w:szCs w:val="20"/>
                <w:lang w:val="en-GB" w:eastAsia="sv-SE"/>
              </w:rPr>
              <w:t>at the FM PT</w:t>
            </w:r>
            <w:r w:rsidRPr="00B97716">
              <w:rPr>
                <w:rFonts w:ascii="Arial" w:eastAsia="Times New Roman" w:hAnsi="Arial" w:cs="Arial"/>
                <w:color w:val="000000"/>
                <w:sz w:val="20"/>
                <w:szCs w:val="20"/>
                <w:lang w:val="en-GB" w:eastAsia="sv-SE"/>
              </w:rPr>
              <w:t xml:space="preserve">50 meeting in Mainz, </w:t>
            </w:r>
            <w:r>
              <w:rPr>
                <w:rFonts w:ascii="Arial" w:eastAsia="Times New Roman" w:hAnsi="Arial" w:cs="Arial"/>
                <w:color w:val="000000"/>
                <w:sz w:val="20"/>
                <w:szCs w:val="20"/>
                <w:lang w:val="en-GB" w:eastAsia="sv-SE"/>
              </w:rPr>
              <w:t xml:space="preserve">except </w:t>
            </w:r>
            <w:r w:rsidR="00682D8F">
              <w:rPr>
                <w:rFonts w:ascii="Arial" w:eastAsia="Times New Roman" w:hAnsi="Arial" w:cs="Arial"/>
                <w:color w:val="000000"/>
                <w:sz w:val="20"/>
                <w:szCs w:val="20"/>
                <w:lang w:val="en-GB" w:eastAsia="sv-SE"/>
              </w:rPr>
              <w:t xml:space="preserve">for </w:t>
            </w:r>
            <w:r>
              <w:rPr>
                <w:rFonts w:ascii="Arial" w:eastAsia="Times New Roman" w:hAnsi="Arial" w:cs="Arial"/>
                <w:color w:val="000000"/>
                <w:sz w:val="20"/>
                <w:szCs w:val="20"/>
                <w:lang w:val="en-GB" w:eastAsia="sv-SE"/>
              </w:rPr>
              <w:t>the second column (weight</w:t>
            </w:r>
            <w:r w:rsidRPr="00B97716">
              <w:rPr>
                <w:rFonts w:ascii="Arial" w:eastAsia="Times New Roman" w:hAnsi="Arial" w:cs="Arial"/>
                <w:color w:val="000000"/>
                <w:sz w:val="20"/>
                <w:szCs w:val="20"/>
                <w:lang w:val="en-GB" w:eastAsia="sv-SE"/>
              </w:rPr>
              <w:t>).</w:t>
            </w:r>
          </w:p>
          <w:tbl>
            <w:tblPr>
              <w:tblW w:w="918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9"/>
              <w:gridCol w:w="1134"/>
              <w:gridCol w:w="567"/>
              <w:gridCol w:w="6520"/>
            </w:tblGrid>
            <w:tr w:rsidR="00CF307F" w:rsidRPr="00B97716" w:rsidTr="00CC5E6F">
              <w:tc>
                <w:tcPr>
                  <w:tcW w:w="959" w:type="dxa"/>
                  <w:tcBorders>
                    <w:top w:val="outset" w:sz="6" w:space="0" w:color="auto"/>
                    <w:left w:val="outset" w:sz="6" w:space="0" w:color="auto"/>
                    <w:bottom w:val="outset" w:sz="6" w:space="0" w:color="auto"/>
                    <w:right w:val="outset" w:sz="6"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eastAsia="sv-SE"/>
                    </w:rPr>
                  </w:pPr>
                  <w:r w:rsidRPr="00B97716">
                    <w:rPr>
                      <w:rFonts w:ascii="Arial" w:eastAsia="Times New Roman" w:hAnsi="Arial" w:cs="Arial"/>
                      <w:b/>
                      <w:color w:val="000000"/>
                      <w:sz w:val="20"/>
                      <w:szCs w:val="20"/>
                      <w:lang w:val="en-GB" w:eastAsia="sv-SE"/>
                    </w:rPr>
                    <w:t>Priority</w:t>
                  </w:r>
                </w:p>
              </w:tc>
              <w:tc>
                <w:tcPr>
                  <w:tcW w:w="1134" w:type="dxa"/>
                  <w:tcBorders>
                    <w:top w:val="single" w:sz="8" w:space="0" w:color="auto"/>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eastAsia="sv-SE"/>
                    </w:rPr>
                  </w:pPr>
                  <w:r w:rsidRPr="00B97716">
                    <w:rPr>
                      <w:rFonts w:ascii="Arial" w:eastAsia="Times New Roman" w:hAnsi="Arial" w:cs="Arial"/>
                      <w:b/>
                      <w:color w:val="000000"/>
                      <w:sz w:val="20"/>
                      <w:szCs w:val="20"/>
                      <w:lang w:val="en-GB" w:eastAsia="sv-SE"/>
                    </w:rPr>
                    <w:t>[Weight]</w:t>
                  </w:r>
                </w:p>
              </w:tc>
              <w:tc>
                <w:tcPr>
                  <w:tcW w:w="567" w:type="dxa"/>
                  <w:tcBorders>
                    <w:top w:val="single" w:sz="8" w:space="0" w:color="auto"/>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eastAsia="sv-SE"/>
                    </w:rPr>
                  </w:pPr>
                  <w:r w:rsidRPr="00B97716">
                    <w:rPr>
                      <w:rFonts w:ascii="Arial" w:eastAsia="Times New Roman" w:hAnsi="Arial" w:cs="Arial"/>
                      <w:b/>
                      <w:color w:val="000000"/>
                      <w:sz w:val="20"/>
                      <w:szCs w:val="20"/>
                      <w:lang w:val="en-GB" w:eastAsia="sv-SE"/>
                    </w:rPr>
                    <w:t>No</w:t>
                  </w:r>
                </w:p>
              </w:tc>
              <w:tc>
                <w:tcPr>
                  <w:tcW w:w="6520" w:type="dxa"/>
                  <w:tcBorders>
                    <w:top w:val="single" w:sz="8" w:space="0" w:color="auto"/>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eastAsia="sv-SE"/>
                    </w:rPr>
                  </w:pPr>
                  <w:r w:rsidRPr="00B97716">
                    <w:rPr>
                      <w:rFonts w:ascii="Arial" w:eastAsia="Times New Roman" w:hAnsi="Arial" w:cs="Arial"/>
                      <w:b/>
                      <w:color w:val="000000"/>
                      <w:sz w:val="20"/>
                      <w:szCs w:val="20"/>
                      <w:lang w:val="en-GB" w:eastAsia="sv-SE"/>
                    </w:rPr>
                    <w:t>Criterion</w:t>
                  </w:r>
                </w:p>
              </w:tc>
            </w:tr>
            <w:tr w:rsidR="00CF307F" w:rsidRPr="00032BB5" w:rsidTr="00CC5E6F">
              <w:tc>
                <w:tcPr>
                  <w:tcW w:w="959" w:type="dxa"/>
                  <w:vMerge w:val="restart"/>
                  <w:tcBorders>
                    <w:top w:val="nil"/>
                    <w:left w:val="single" w:sz="8" w:space="0" w:color="auto"/>
                    <w:bottom w:val="single" w:sz="8" w:space="0" w:color="auto"/>
                    <w:right w:val="single" w:sz="8" w:space="0" w:color="auto"/>
                  </w:tcBorders>
                  <w:vAlign w:val="center"/>
                  <w:hideMark/>
                </w:tcPr>
                <w:p w:rsidR="00CF307F" w:rsidRPr="00B97716" w:rsidRDefault="00CF307F" w:rsidP="00CC5E6F">
                  <w:pPr>
                    <w:spacing w:after="0" w:line="240" w:lineRule="auto"/>
                    <w:jc w:val="center"/>
                    <w:rPr>
                      <w:rFonts w:ascii="Verdana" w:eastAsia="Times New Roman" w:hAnsi="Verdana" w:cs="Times New Roman"/>
                      <w:color w:val="000000"/>
                      <w:sz w:val="15"/>
                      <w:szCs w:val="15"/>
                      <w:lang w:eastAsia="sv-SE"/>
                    </w:rPr>
                  </w:pPr>
                  <w:r w:rsidRPr="00B97716">
                    <w:rPr>
                      <w:rFonts w:ascii="Arial" w:eastAsia="Times New Roman" w:hAnsi="Arial" w:cs="Arial"/>
                      <w:color w:val="000000"/>
                      <w:sz w:val="20"/>
                      <w:szCs w:val="20"/>
                      <w:lang w:val="en-GB" w:eastAsia="sv-SE"/>
                    </w:rPr>
                    <w:t>High</w:t>
                  </w:r>
                </w:p>
              </w:tc>
              <w:tc>
                <w:tcPr>
                  <w:tcW w:w="1134" w:type="dxa"/>
                  <w:vMerge w:val="restart"/>
                  <w:tcBorders>
                    <w:top w:val="nil"/>
                    <w:left w:val="nil"/>
                    <w:bottom w:val="single" w:sz="8" w:space="0" w:color="auto"/>
                    <w:right w:val="single" w:sz="8" w:space="0" w:color="auto"/>
                  </w:tcBorders>
                  <w:vAlign w:val="center"/>
                  <w:hideMark/>
                </w:tcPr>
                <w:p w:rsidR="00CF307F" w:rsidRPr="00B97716" w:rsidRDefault="00CF307F" w:rsidP="00CC5E6F">
                  <w:pPr>
                    <w:spacing w:after="0" w:line="240" w:lineRule="auto"/>
                    <w:jc w:val="center"/>
                    <w:rPr>
                      <w:rFonts w:ascii="Verdana" w:eastAsia="Times New Roman" w:hAnsi="Verdana" w:cs="Times New Roman"/>
                      <w:color w:val="000000"/>
                      <w:sz w:val="15"/>
                      <w:szCs w:val="15"/>
                      <w:lang w:eastAsia="sv-SE"/>
                    </w:rPr>
                  </w:pPr>
                  <w:r w:rsidRPr="00B97716">
                    <w:rPr>
                      <w:rFonts w:ascii="Arial" w:eastAsia="Times New Roman" w:hAnsi="Arial" w:cs="Arial"/>
                      <w:color w:val="000000"/>
                      <w:sz w:val="20"/>
                      <w:szCs w:val="20"/>
                      <w:lang w:val="en-GB" w:eastAsia="sv-SE"/>
                    </w:rPr>
                    <w:t>[9]</w:t>
                  </w:r>
                </w:p>
              </w:tc>
              <w:tc>
                <w:tcPr>
                  <w:tcW w:w="567" w:type="dxa"/>
                  <w:tcBorders>
                    <w:top w:val="nil"/>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eastAsia="sv-SE"/>
                    </w:rPr>
                  </w:pPr>
                  <w:r w:rsidRPr="00B97716">
                    <w:rPr>
                      <w:rFonts w:ascii="Arial" w:eastAsia="Times New Roman" w:hAnsi="Arial" w:cs="Arial"/>
                      <w:color w:val="000000"/>
                      <w:sz w:val="20"/>
                      <w:szCs w:val="20"/>
                      <w:lang w:val="en-GB" w:eastAsia="sv-SE"/>
                    </w:rPr>
                    <w:t>3</w:t>
                  </w:r>
                </w:p>
              </w:tc>
              <w:tc>
                <w:tcPr>
                  <w:tcW w:w="6520" w:type="dxa"/>
                  <w:tcBorders>
                    <w:top w:val="nil"/>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Extent (maximisation) of social and economic benefits</w:t>
                  </w:r>
                </w:p>
              </w:tc>
            </w:tr>
            <w:tr w:rsidR="00CF307F" w:rsidRPr="00032BB5" w:rsidTr="00CC5E6F">
              <w:tc>
                <w:tcPr>
                  <w:tcW w:w="959" w:type="dxa"/>
                  <w:vMerge/>
                  <w:tcBorders>
                    <w:top w:val="nil"/>
                    <w:left w:val="single" w:sz="8" w:space="0" w:color="auto"/>
                    <w:bottom w:val="single" w:sz="8" w:space="0" w:color="auto"/>
                    <w:right w:val="single" w:sz="8" w:space="0" w:color="auto"/>
                  </w:tcBorders>
                  <w:vAlign w:val="center"/>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p>
              </w:tc>
              <w:tc>
                <w:tcPr>
                  <w:tcW w:w="1134" w:type="dxa"/>
                  <w:vMerge/>
                  <w:tcBorders>
                    <w:top w:val="nil"/>
                    <w:left w:val="nil"/>
                    <w:bottom w:val="single" w:sz="8" w:space="0" w:color="auto"/>
                    <w:right w:val="single" w:sz="8" w:space="0" w:color="auto"/>
                  </w:tcBorders>
                  <w:vAlign w:val="center"/>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p>
              </w:tc>
              <w:tc>
                <w:tcPr>
                  <w:tcW w:w="567" w:type="dxa"/>
                  <w:tcBorders>
                    <w:top w:val="nil"/>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eastAsia="sv-SE"/>
                    </w:rPr>
                  </w:pPr>
                  <w:r w:rsidRPr="00B97716">
                    <w:rPr>
                      <w:rFonts w:ascii="Arial" w:eastAsia="Times New Roman" w:hAnsi="Arial" w:cs="Arial"/>
                      <w:color w:val="000000"/>
                      <w:sz w:val="20"/>
                      <w:szCs w:val="20"/>
                      <w:lang w:val="en-GB" w:eastAsia="sv-SE"/>
                    </w:rPr>
                    <w:t>4</w:t>
                  </w:r>
                </w:p>
              </w:tc>
              <w:tc>
                <w:tcPr>
                  <w:tcW w:w="6520" w:type="dxa"/>
                  <w:tcBorders>
                    <w:top w:val="nil"/>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Timeframe for availability of equipment on a large scale and for application deployment - status of standardisation</w:t>
                  </w:r>
                </w:p>
              </w:tc>
            </w:tr>
            <w:tr w:rsidR="00CF307F" w:rsidRPr="00032BB5" w:rsidTr="00CC5E6F">
              <w:tc>
                <w:tcPr>
                  <w:tcW w:w="959" w:type="dxa"/>
                  <w:vMerge/>
                  <w:tcBorders>
                    <w:top w:val="nil"/>
                    <w:left w:val="single" w:sz="8" w:space="0" w:color="auto"/>
                    <w:bottom w:val="single" w:sz="8" w:space="0" w:color="auto"/>
                    <w:right w:val="single" w:sz="8" w:space="0" w:color="auto"/>
                  </w:tcBorders>
                  <w:vAlign w:val="center"/>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p>
              </w:tc>
              <w:tc>
                <w:tcPr>
                  <w:tcW w:w="1134" w:type="dxa"/>
                  <w:vMerge/>
                  <w:tcBorders>
                    <w:top w:val="nil"/>
                    <w:left w:val="nil"/>
                    <w:bottom w:val="single" w:sz="8" w:space="0" w:color="auto"/>
                    <w:right w:val="single" w:sz="8" w:space="0" w:color="auto"/>
                  </w:tcBorders>
                  <w:vAlign w:val="center"/>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p>
              </w:tc>
              <w:tc>
                <w:tcPr>
                  <w:tcW w:w="567" w:type="dxa"/>
                  <w:tcBorders>
                    <w:top w:val="nil"/>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eastAsia="sv-SE"/>
                    </w:rPr>
                  </w:pPr>
                  <w:r w:rsidRPr="00B97716">
                    <w:rPr>
                      <w:rFonts w:ascii="Arial" w:eastAsia="Times New Roman" w:hAnsi="Arial" w:cs="Arial"/>
                      <w:color w:val="000000"/>
                      <w:sz w:val="20"/>
                      <w:szCs w:val="20"/>
                      <w:lang w:val="en-GB" w:eastAsia="sv-SE"/>
                    </w:rPr>
                    <w:t>5</w:t>
                  </w:r>
                </w:p>
              </w:tc>
              <w:tc>
                <w:tcPr>
                  <w:tcW w:w="6520" w:type="dxa"/>
                  <w:tcBorders>
                    <w:top w:val="nil"/>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Potential for economy of scale (need and potential for harmonisation within and outside CEPT)</w:t>
                  </w:r>
                </w:p>
              </w:tc>
            </w:tr>
            <w:tr w:rsidR="00CF307F" w:rsidRPr="00032BB5" w:rsidTr="00CC5E6F">
              <w:tc>
                <w:tcPr>
                  <w:tcW w:w="959" w:type="dxa"/>
                  <w:vMerge w:val="restart"/>
                  <w:tcBorders>
                    <w:top w:val="nil"/>
                    <w:left w:val="single" w:sz="8" w:space="0" w:color="auto"/>
                    <w:bottom w:val="single" w:sz="8" w:space="0" w:color="auto"/>
                    <w:right w:val="single" w:sz="8" w:space="0" w:color="auto"/>
                  </w:tcBorders>
                  <w:vAlign w:val="center"/>
                  <w:hideMark/>
                </w:tcPr>
                <w:p w:rsidR="00CF307F" w:rsidRPr="00B97716" w:rsidRDefault="00CF307F" w:rsidP="00CC5E6F">
                  <w:pPr>
                    <w:spacing w:after="0" w:line="240" w:lineRule="auto"/>
                    <w:jc w:val="center"/>
                    <w:rPr>
                      <w:rFonts w:ascii="Verdana" w:eastAsia="Times New Roman" w:hAnsi="Verdana" w:cs="Times New Roman"/>
                      <w:color w:val="000000"/>
                      <w:sz w:val="15"/>
                      <w:szCs w:val="15"/>
                      <w:lang w:eastAsia="sv-SE"/>
                    </w:rPr>
                  </w:pPr>
                  <w:r w:rsidRPr="00B97716">
                    <w:rPr>
                      <w:rFonts w:ascii="Arial" w:eastAsia="Times New Roman" w:hAnsi="Arial" w:cs="Arial"/>
                      <w:color w:val="000000"/>
                      <w:sz w:val="20"/>
                      <w:szCs w:val="20"/>
                      <w:lang w:val="en-GB" w:eastAsia="sv-SE"/>
                    </w:rPr>
                    <w:lastRenderedPageBreak/>
                    <w:t>Medium</w:t>
                  </w:r>
                </w:p>
              </w:tc>
              <w:tc>
                <w:tcPr>
                  <w:tcW w:w="1134" w:type="dxa"/>
                  <w:tcBorders>
                    <w:top w:val="nil"/>
                    <w:left w:val="nil"/>
                    <w:bottom w:val="single" w:sz="8" w:space="0" w:color="auto"/>
                    <w:right w:val="single" w:sz="8" w:space="0" w:color="auto"/>
                  </w:tcBorders>
                  <w:vAlign w:val="center"/>
                  <w:hideMark/>
                </w:tcPr>
                <w:p w:rsidR="00CF307F" w:rsidRPr="00B97716" w:rsidRDefault="00CF307F" w:rsidP="00CC5E6F">
                  <w:pPr>
                    <w:spacing w:after="0" w:line="240" w:lineRule="auto"/>
                    <w:jc w:val="center"/>
                    <w:rPr>
                      <w:rFonts w:ascii="Verdana" w:eastAsia="Times New Roman" w:hAnsi="Verdana" w:cs="Times New Roman"/>
                      <w:color w:val="000000"/>
                      <w:sz w:val="15"/>
                      <w:szCs w:val="15"/>
                      <w:lang w:eastAsia="sv-SE"/>
                    </w:rPr>
                  </w:pPr>
                  <w:r w:rsidRPr="00B97716">
                    <w:rPr>
                      <w:rFonts w:ascii="Arial" w:eastAsia="Times New Roman" w:hAnsi="Arial" w:cs="Arial"/>
                      <w:color w:val="000000"/>
                      <w:sz w:val="20"/>
                      <w:szCs w:val="20"/>
                      <w:lang w:val="en-GB" w:eastAsia="sv-SE"/>
                    </w:rPr>
                    <w:t>[6]</w:t>
                  </w:r>
                </w:p>
              </w:tc>
              <w:tc>
                <w:tcPr>
                  <w:tcW w:w="567" w:type="dxa"/>
                  <w:tcBorders>
                    <w:top w:val="nil"/>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eastAsia="sv-SE"/>
                    </w:rPr>
                  </w:pPr>
                  <w:r w:rsidRPr="00B97716">
                    <w:rPr>
                      <w:rFonts w:ascii="Arial" w:eastAsia="Times New Roman" w:hAnsi="Arial" w:cs="Arial"/>
                      <w:color w:val="000000"/>
                      <w:sz w:val="20"/>
                      <w:szCs w:val="20"/>
                      <w:lang w:val="en-GB" w:eastAsia="sv-SE"/>
                    </w:rPr>
                    <w:t>2</w:t>
                  </w:r>
                </w:p>
              </w:tc>
              <w:tc>
                <w:tcPr>
                  <w:tcW w:w="6520" w:type="dxa"/>
                  <w:tcBorders>
                    <w:top w:val="nil"/>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Possibility to share with other applications/uses (frequency, spatial, time and/or signal separation)</w:t>
                  </w:r>
                </w:p>
              </w:tc>
            </w:tr>
            <w:tr w:rsidR="00CF307F" w:rsidRPr="00032BB5" w:rsidTr="00CC5E6F">
              <w:tc>
                <w:tcPr>
                  <w:tcW w:w="959" w:type="dxa"/>
                  <w:vMerge/>
                  <w:tcBorders>
                    <w:top w:val="nil"/>
                    <w:left w:val="single" w:sz="8" w:space="0" w:color="auto"/>
                    <w:bottom w:val="single" w:sz="8" w:space="0" w:color="auto"/>
                    <w:right w:val="single" w:sz="8" w:space="0" w:color="auto"/>
                  </w:tcBorders>
                  <w:vAlign w:val="center"/>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p>
              </w:tc>
              <w:tc>
                <w:tcPr>
                  <w:tcW w:w="1134" w:type="dxa"/>
                  <w:tcBorders>
                    <w:top w:val="nil"/>
                    <w:left w:val="nil"/>
                    <w:bottom w:val="single" w:sz="8" w:space="0" w:color="auto"/>
                    <w:right w:val="single" w:sz="8" w:space="0" w:color="auto"/>
                  </w:tcBorders>
                  <w:vAlign w:val="center"/>
                  <w:hideMark/>
                </w:tcPr>
                <w:p w:rsidR="00CF307F" w:rsidRPr="00B97716" w:rsidRDefault="00CF307F" w:rsidP="00CC5E6F">
                  <w:pPr>
                    <w:spacing w:after="0" w:line="240" w:lineRule="auto"/>
                    <w:jc w:val="center"/>
                    <w:rPr>
                      <w:rFonts w:ascii="Verdana" w:eastAsia="Times New Roman" w:hAnsi="Verdana" w:cs="Times New Roman"/>
                      <w:color w:val="000000"/>
                      <w:sz w:val="15"/>
                      <w:szCs w:val="15"/>
                      <w:lang w:eastAsia="sv-SE"/>
                    </w:rPr>
                  </w:pPr>
                  <w:r w:rsidRPr="00B97716">
                    <w:rPr>
                      <w:rFonts w:ascii="Arial" w:eastAsia="Times New Roman" w:hAnsi="Arial" w:cs="Arial"/>
                      <w:color w:val="000000"/>
                      <w:sz w:val="20"/>
                      <w:szCs w:val="20"/>
                      <w:lang w:val="en-GB" w:eastAsia="sv-SE"/>
                    </w:rPr>
                    <w:t>[2]</w:t>
                  </w:r>
                </w:p>
              </w:tc>
              <w:tc>
                <w:tcPr>
                  <w:tcW w:w="567" w:type="dxa"/>
                  <w:tcBorders>
                    <w:top w:val="nil"/>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eastAsia="sv-SE"/>
                    </w:rPr>
                  </w:pPr>
                  <w:r w:rsidRPr="00B97716">
                    <w:rPr>
                      <w:rFonts w:ascii="Arial" w:eastAsia="Times New Roman" w:hAnsi="Arial" w:cs="Arial"/>
                      <w:color w:val="000000"/>
                      <w:sz w:val="20"/>
                      <w:szCs w:val="20"/>
                      <w:lang w:val="en-GB" w:eastAsia="sv-SE"/>
                    </w:rPr>
                    <w:t>1a</w:t>
                  </w:r>
                </w:p>
              </w:tc>
              <w:tc>
                <w:tcPr>
                  <w:tcW w:w="6520" w:type="dxa"/>
                  <w:tcBorders>
                    <w:top w:val="nil"/>
                    <w:left w:val="nil"/>
                    <w:bottom w:val="single" w:sz="8" w:space="0" w:color="auto"/>
                    <w:right w:val="single" w:sz="8" w:space="0" w:color="auto"/>
                  </w:tcBorders>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Compatibility with the Radio Regulations (Article 5)</w:t>
                  </w:r>
                </w:p>
              </w:tc>
            </w:tr>
            <w:tr w:rsidR="00CF307F" w:rsidRPr="00032BB5" w:rsidTr="00CC5E6F">
              <w:tc>
                <w:tcPr>
                  <w:tcW w:w="959" w:type="dxa"/>
                  <w:vMerge/>
                  <w:tcBorders>
                    <w:top w:val="nil"/>
                    <w:left w:val="single" w:sz="8" w:space="0" w:color="auto"/>
                    <w:bottom w:val="single" w:sz="8" w:space="0" w:color="auto"/>
                    <w:right w:val="single" w:sz="8" w:space="0" w:color="auto"/>
                  </w:tcBorders>
                  <w:vAlign w:val="center"/>
                  <w:hideMark/>
                </w:tcPr>
                <w:p w:rsidR="00CF307F" w:rsidRPr="00B97716" w:rsidRDefault="00CF307F" w:rsidP="00CC5E6F">
                  <w:pPr>
                    <w:spacing w:after="0" w:line="240" w:lineRule="auto"/>
                    <w:rPr>
                      <w:rFonts w:ascii="Verdana" w:eastAsia="Times New Roman" w:hAnsi="Verdana" w:cs="Times New Roman"/>
                      <w:color w:val="000000"/>
                      <w:sz w:val="15"/>
                      <w:szCs w:val="15"/>
                      <w:lang w:val="en-US" w:eastAsia="sv-SE"/>
                    </w:rPr>
                  </w:pPr>
                </w:p>
              </w:tc>
              <w:tc>
                <w:tcPr>
                  <w:tcW w:w="1134" w:type="dxa"/>
                  <w:tcBorders>
                    <w:top w:val="nil"/>
                    <w:left w:val="nil"/>
                    <w:bottom w:val="single" w:sz="8" w:space="0" w:color="auto"/>
                    <w:right w:val="single" w:sz="8" w:space="0" w:color="auto"/>
                  </w:tcBorders>
                  <w:vAlign w:val="center"/>
                  <w:hideMark/>
                </w:tcPr>
                <w:p w:rsidR="00CF307F" w:rsidRPr="00CF307F" w:rsidRDefault="00CF307F" w:rsidP="00CC5E6F">
                  <w:pPr>
                    <w:spacing w:after="0" w:line="240" w:lineRule="auto"/>
                    <w:jc w:val="center"/>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[2]</w:t>
                  </w:r>
                </w:p>
              </w:tc>
              <w:tc>
                <w:tcPr>
                  <w:tcW w:w="567" w:type="dxa"/>
                  <w:tcBorders>
                    <w:top w:val="nil"/>
                    <w:left w:val="nil"/>
                    <w:bottom w:val="single" w:sz="8" w:space="0" w:color="auto"/>
                    <w:right w:val="single" w:sz="8" w:space="0" w:color="auto"/>
                  </w:tcBorders>
                  <w:hideMark/>
                </w:tcPr>
                <w:p w:rsidR="00CF307F" w:rsidRPr="00CF307F" w:rsidRDefault="00CF307F" w:rsidP="00CC5E6F">
                  <w:pPr>
                    <w:spacing w:after="0" w:line="240" w:lineRule="auto"/>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1b</w:t>
                  </w:r>
                </w:p>
              </w:tc>
              <w:tc>
                <w:tcPr>
                  <w:tcW w:w="6520" w:type="dxa"/>
                  <w:tcBorders>
                    <w:top w:val="nil"/>
                    <w:left w:val="nil"/>
                    <w:bottom w:val="single" w:sz="8" w:space="0" w:color="auto"/>
                    <w:right w:val="single" w:sz="8" w:space="0" w:color="auto"/>
                  </w:tcBorders>
                  <w:hideMark/>
                </w:tcPr>
                <w:p w:rsidR="00CF307F" w:rsidRPr="00CF307F" w:rsidRDefault="00CF307F" w:rsidP="00CC5E6F">
                  <w:pPr>
                    <w:spacing w:after="0" w:line="240" w:lineRule="auto"/>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Compatibility with MA02revCO07</w:t>
                  </w:r>
                </w:p>
              </w:tc>
            </w:tr>
            <w:tr w:rsidR="00CF307F" w:rsidRPr="00032BB5" w:rsidTr="00CC5E6F">
              <w:tc>
                <w:tcPr>
                  <w:tcW w:w="959" w:type="dxa"/>
                  <w:tcBorders>
                    <w:top w:val="nil"/>
                    <w:left w:val="single" w:sz="8" w:space="0" w:color="auto"/>
                    <w:bottom w:val="single" w:sz="8" w:space="0" w:color="auto"/>
                    <w:right w:val="single" w:sz="8" w:space="0" w:color="auto"/>
                  </w:tcBorders>
                  <w:vAlign w:val="center"/>
                  <w:hideMark/>
                </w:tcPr>
                <w:p w:rsidR="00CF307F" w:rsidRPr="00CF307F" w:rsidRDefault="00CF307F" w:rsidP="00CC5E6F">
                  <w:pPr>
                    <w:spacing w:after="0" w:line="240" w:lineRule="auto"/>
                    <w:jc w:val="center"/>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Low</w:t>
                  </w:r>
                </w:p>
              </w:tc>
              <w:tc>
                <w:tcPr>
                  <w:tcW w:w="1134" w:type="dxa"/>
                  <w:tcBorders>
                    <w:top w:val="nil"/>
                    <w:left w:val="nil"/>
                    <w:bottom w:val="single" w:sz="8" w:space="0" w:color="auto"/>
                    <w:right w:val="single" w:sz="8" w:space="0" w:color="auto"/>
                  </w:tcBorders>
                  <w:vAlign w:val="center"/>
                  <w:hideMark/>
                </w:tcPr>
                <w:p w:rsidR="00CF307F" w:rsidRPr="00CF307F" w:rsidRDefault="00CF307F" w:rsidP="00CC5E6F">
                  <w:pPr>
                    <w:spacing w:after="0" w:line="240" w:lineRule="auto"/>
                    <w:jc w:val="center"/>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[1]</w:t>
                  </w:r>
                </w:p>
              </w:tc>
              <w:tc>
                <w:tcPr>
                  <w:tcW w:w="567" w:type="dxa"/>
                  <w:tcBorders>
                    <w:top w:val="nil"/>
                    <w:left w:val="nil"/>
                    <w:bottom w:val="single" w:sz="8" w:space="0" w:color="auto"/>
                    <w:right w:val="single" w:sz="8" w:space="0" w:color="auto"/>
                  </w:tcBorders>
                  <w:hideMark/>
                </w:tcPr>
                <w:p w:rsidR="00CF307F" w:rsidRPr="00CF307F" w:rsidRDefault="00CF307F" w:rsidP="00CC5E6F">
                  <w:pPr>
                    <w:spacing w:after="0" w:line="240" w:lineRule="auto"/>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1c</w:t>
                  </w:r>
                </w:p>
              </w:tc>
              <w:tc>
                <w:tcPr>
                  <w:tcW w:w="6520" w:type="dxa"/>
                  <w:tcBorders>
                    <w:top w:val="nil"/>
                    <w:left w:val="nil"/>
                    <w:bottom w:val="single" w:sz="8" w:space="0" w:color="auto"/>
                    <w:right w:val="single" w:sz="8" w:space="0" w:color="auto"/>
                  </w:tcBorders>
                  <w:hideMark/>
                </w:tcPr>
                <w:p w:rsidR="00CF307F" w:rsidRPr="00CF307F" w:rsidRDefault="00CF307F" w:rsidP="00CC5E6F">
                  <w:pPr>
                    <w:spacing w:after="0" w:line="240" w:lineRule="auto"/>
                    <w:rPr>
                      <w:rFonts w:ascii="Verdana" w:eastAsia="Times New Roman" w:hAnsi="Verdana" w:cs="Times New Roman"/>
                      <w:color w:val="000000"/>
                      <w:sz w:val="15"/>
                      <w:szCs w:val="15"/>
                      <w:lang w:val="en-US" w:eastAsia="sv-SE"/>
                    </w:rPr>
                  </w:pPr>
                  <w:r w:rsidRPr="00B97716">
                    <w:rPr>
                      <w:rFonts w:ascii="Arial" w:eastAsia="Times New Roman" w:hAnsi="Arial" w:cs="Arial"/>
                      <w:color w:val="000000"/>
                      <w:sz w:val="20"/>
                      <w:szCs w:val="20"/>
                      <w:lang w:val="en-GB" w:eastAsia="sv-SE"/>
                    </w:rPr>
                    <w:t>Compatibility with ECC/DEC/(03)/02</w:t>
                  </w:r>
                </w:p>
              </w:tc>
            </w:tr>
          </w:tbl>
          <w:p w:rsidR="00CF307F" w:rsidRDefault="00CF307F" w:rsidP="00CF307F">
            <w:pPr>
              <w:spacing w:after="0" w:line="240" w:lineRule="auto"/>
              <w:rPr>
                <w:rFonts w:ascii="Arial" w:eastAsia="Times New Roman" w:hAnsi="Arial" w:cs="Arial"/>
                <w:color w:val="000000"/>
                <w:sz w:val="20"/>
                <w:szCs w:val="20"/>
                <w:lang w:val="en-GB" w:eastAsia="sv-SE"/>
              </w:rPr>
            </w:pPr>
          </w:p>
          <w:p w:rsidR="00CF307F" w:rsidRDefault="00CF307F" w:rsidP="00CF307F">
            <w:pPr>
              <w:spacing w:after="0" w:line="240" w:lineRule="auto"/>
              <w:rPr>
                <w:rFonts w:ascii="Arial" w:eastAsia="Times New Roman" w:hAnsi="Arial" w:cs="Arial"/>
                <w:color w:val="000000"/>
                <w:sz w:val="20"/>
                <w:szCs w:val="20"/>
                <w:lang w:val="en-GB" w:eastAsia="sv-SE"/>
              </w:rPr>
            </w:pPr>
            <w:r w:rsidRPr="00B97716">
              <w:rPr>
                <w:rFonts w:ascii="Arial" w:eastAsia="Times New Roman" w:hAnsi="Arial" w:cs="Arial"/>
                <w:color w:val="000000"/>
                <w:sz w:val="20"/>
                <w:szCs w:val="20"/>
                <w:lang w:val="en-GB" w:eastAsia="sv-SE"/>
              </w:rPr>
              <w:t xml:space="preserve">The methodology proposed be Italy </w:t>
            </w:r>
            <w:r>
              <w:rPr>
                <w:rFonts w:ascii="Arial" w:eastAsia="Times New Roman" w:hAnsi="Arial" w:cs="Arial"/>
                <w:color w:val="000000"/>
                <w:sz w:val="20"/>
                <w:szCs w:val="20"/>
                <w:lang w:val="en-GB" w:eastAsia="sv-SE"/>
              </w:rPr>
              <w:t xml:space="preserve">to the Bologna meeting </w:t>
            </w:r>
            <w:r w:rsidR="00A175E4">
              <w:rPr>
                <w:rFonts w:ascii="Arial" w:eastAsia="Times New Roman" w:hAnsi="Arial" w:cs="Arial"/>
                <w:color w:val="000000"/>
                <w:sz w:val="20"/>
                <w:szCs w:val="20"/>
                <w:lang w:val="en-GB" w:eastAsia="sv-SE"/>
              </w:rPr>
              <w:t>ha</w:t>
            </w:r>
            <w:r w:rsidRPr="00B97716">
              <w:rPr>
                <w:rFonts w:ascii="Arial" w:eastAsia="Times New Roman" w:hAnsi="Arial" w:cs="Arial"/>
                <w:color w:val="000000"/>
                <w:sz w:val="20"/>
                <w:szCs w:val="20"/>
                <w:lang w:val="en-GB" w:eastAsia="sv-SE"/>
              </w:rPr>
              <w:t>s</w:t>
            </w:r>
            <w:r w:rsidR="00A175E4">
              <w:rPr>
                <w:rFonts w:ascii="Arial" w:eastAsia="Times New Roman" w:hAnsi="Arial" w:cs="Arial"/>
                <w:color w:val="000000"/>
                <w:sz w:val="20"/>
                <w:szCs w:val="20"/>
                <w:lang w:val="en-GB" w:eastAsia="sv-SE"/>
              </w:rPr>
              <w:t xml:space="preserve"> been</w:t>
            </w:r>
            <w:r w:rsidRPr="00B97716">
              <w:rPr>
                <w:rFonts w:ascii="Arial" w:eastAsia="Times New Roman" w:hAnsi="Arial" w:cs="Arial"/>
                <w:color w:val="000000"/>
                <w:sz w:val="20"/>
                <w:szCs w:val="20"/>
                <w:lang w:val="en-GB" w:eastAsia="sv-SE"/>
              </w:rPr>
              <w:t xml:space="preserve"> available </w:t>
            </w:r>
            <w:r w:rsidR="00A175E4">
              <w:rPr>
                <w:rFonts w:ascii="Arial" w:eastAsia="Times New Roman" w:hAnsi="Arial" w:cs="Arial"/>
                <w:color w:val="000000"/>
                <w:sz w:val="20"/>
                <w:szCs w:val="20"/>
                <w:lang w:val="en-GB" w:eastAsia="sv-SE"/>
              </w:rPr>
              <w:t xml:space="preserve">for almost two months and can be found in </w:t>
            </w:r>
            <w:r w:rsidRPr="00B97716">
              <w:rPr>
                <w:rFonts w:ascii="Arial" w:eastAsia="Times New Roman" w:hAnsi="Arial" w:cs="Arial"/>
                <w:color w:val="000000"/>
                <w:sz w:val="20"/>
                <w:szCs w:val="20"/>
                <w:lang w:val="en-GB" w:eastAsia="sv-SE"/>
              </w:rPr>
              <w:t>FM50(12)044_Annex 7.</w:t>
            </w:r>
          </w:p>
          <w:p w:rsidR="00D5763F" w:rsidRDefault="00D5763F" w:rsidP="00A674B4">
            <w:pPr>
              <w:spacing w:before="60" w:after="60"/>
              <w:rPr>
                <w:rFonts w:ascii="Arial" w:eastAsia="Times New Roman" w:hAnsi="Arial" w:cs="Arial"/>
                <w:color w:val="000000"/>
                <w:sz w:val="20"/>
                <w:szCs w:val="20"/>
                <w:lang w:val="en-GB" w:eastAsia="sv-SE"/>
              </w:rPr>
            </w:pPr>
          </w:p>
          <w:p w:rsidR="00A674B4" w:rsidRPr="00E72FC8" w:rsidRDefault="00A674B4" w:rsidP="00A674B4">
            <w:pPr>
              <w:spacing w:before="60" w:after="60"/>
              <w:rPr>
                <w:rFonts w:ascii="Arial" w:hAnsi="Arial" w:cs="Arial"/>
                <w:lang w:val="en-US"/>
              </w:rPr>
            </w:pPr>
          </w:p>
        </w:tc>
      </w:tr>
    </w:tbl>
    <w:p w:rsidR="00D5763F" w:rsidRPr="00D33BCE" w:rsidRDefault="00D5763F" w:rsidP="00D5763F">
      <w:pPr>
        <w:jc w:val="both"/>
        <w:rPr>
          <w:lang w:val="en-GB" w:eastAsia="de-DE"/>
        </w:rPr>
      </w:pPr>
    </w:p>
    <w:p w:rsidR="00D5763F" w:rsidRPr="00D33BCE" w:rsidRDefault="00D5763F" w:rsidP="00D5763F">
      <w:pPr>
        <w:jc w:val="both"/>
        <w:rPr>
          <w:lang w:val="en-GB" w:eastAsia="de-DE"/>
        </w:rPr>
      </w:pPr>
    </w:p>
    <w:p w:rsidR="00B97716" w:rsidRPr="00B97716" w:rsidRDefault="00B97716" w:rsidP="00B97716">
      <w:pPr>
        <w:spacing w:line="240" w:lineRule="auto"/>
        <w:rPr>
          <w:rFonts w:ascii="Arial" w:eastAsia="Times New Roman" w:hAnsi="Arial" w:cs="Arial"/>
          <w:b/>
          <w:color w:val="000000"/>
          <w:sz w:val="20"/>
          <w:szCs w:val="20"/>
          <w:lang w:val="en-US" w:eastAsia="sv-SE"/>
        </w:rPr>
      </w:pPr>
    </w:p>
    <w:p w:rsidR="00B97716" w:rsidRDefault="00B97716" w:rsidP="00B97716">
      <w:pPr>
        <w:spacing w:line="240" w:lineRule="auto"/>
        <w:rPr>
          <w:rFonts w:ascii="Arial" w:eastAsia="Times New Roman" w:hAnsi="Arial" w:cs="Arial"/>
          <w:b/>
          <w:color w:val="000000"/>
          <w:sz w:val="20"/>
          <w:szCs w:val="20"/>
          <w:lang w:val="en-GB" w:eastAsia="sv-SE"/>
        </w:rPr>
      </w:pPr>
    </w:p>
    <w:p w:rsidR="00B97716" w:rsidRDefault="00B97716">
      <w:pPr>
        <w:rPr>
          <w:rFonts w:ascii="Arial" w:eastAsia="Times New Roman" w:hAnsi="Arial" w:cs="Arial"/>
          <w:b/>
          <w:color w:val="000000"/>
          <w:sz w:val="20"/>
          <w:szCs w:val="20"/>
          <w:lang w:val="en-GB" w:eastAsia="sv-SE"/>
        </w:rPr>
      </w:pPr>
      <w:r>
        <w:rPr>
          <w:rFonts w:ascii="Arial" w:eastAsia="Times New Roman" w:hAnsi="Arial" w:cs="Arial"/>
          <w:b/>
          <w:color w:val="000000"/>
          <w:sz w:val="20"/>
          <w:szCs w:val="20"/>
          <w:lang w:val="en-GB" w:eastAsia="sv-SE"/>
        </w:rPr>
        <w:br w:type="page"/>
      </w:r>
    </w:p>
    <w:p w:rsidR="00926B5B" w:rsidRPr="00926B5B" w:rsidRDefault="00B6025C" w:rsidP="00B97716">
      <w:pPr>
        <w:spacing w:line="240" w:lineRule="auto"/>
        <w:rPr>
          <w:rFonts w:ascii="Arial" w:hAnsi="Arial" w:cs="Arial"/>
          <w:b/>
          <w:sz w:val="20"/>
          <w:szCs w:val="20"/>
          <w:lang w:val="en-US"/>
        </w:rPr>
      </w:pPr>
      <w:r w:rsidRPr="00926B5B">
        <w:rPr>
          <w:rFonts w:ascii="Arial" w:eastAsia="Times New Roman" w:hAnsi="Arial" w:cs="Arial"/>
          <w:b/>
          <w:color w:val="000000"/>
          <w:sz w:val="20"/>
          <w:szCs w:val="20"/>
          <w:lang w:val="en-GB" w:eastAsia="sv-SE"/>
        </w:rPr>
        <w:lastRenderedPageBreak/>
        <w:t>Annex</w:t>
      </w:r>
      <w:r w:rsidR="002C3FF1" w:rsidRPr="00926B5B">
        <w:rPr>
          <w:rFonts w:ascii="Arial" w:eastAsia="Times New Roman" w:hAnsi="Arial" w:cs="Arial"/>
          <w:b/>
          <w:color w:val="000000"/>
          <w:sz w:val="20"/>
          <w:szCs w:val="20"/>
          <w:lang w:val="en-GB" w:eastAsia="sv-SE"/>
        </w:rPr>
        <w:t xml:space="preserve"> 1 - </w:t>
      </w:r>
      <w:r w:rsidR="00926B5B" w:rsidRPr="00926B5B">
        <w:rPr>
          <w:rFonts w:ascii="Arial" w:eastAsia="Times New Roman" w:hAnsi="Arial" w:cs="Arial"/>
          <w:b/>
          <w:color w:val="000000"/>
          <w:sz w:val="20"/>
          <w:szCs w:val="20"/>
          <w:lang w:val="en-GB" w:eastAsia="sv-SE"/>
        </w:rPr>
        <w:t>O</w:t>
      </w:r>
      <w:proofErr w:type="spellStart"/>
      <w:r w:rsidR="00926B5B" w:rsidRPr="00926B5B">
        <w:rPr>
          <w:rFonts w:ascii="Arial" w:hAnsi="Arial" w:cs="Arial"/>
          <w:b/>
          <w:sz w:val="20"/>
          <w:szCs w:val="20"/>
          <w:lang w:val="en-US"/>
        </w:rPr>
        <w:t>utput</w:t>
      </w:r>
      <w:proofErr w:type="spellEnd"/>
      <w:r w:rsidR="00926B5B" w:rsidRPr="00926B5B">
        <w:rPr>
          <w:rFonts w:ascii="Arial" w:hAnsi="Arial" w:cs="Arial"/>
          <w:b/>
          <w:sz w:val="20"/>
          <w:szCs w:val="20"/>
          <w:lang w:val="en-US"/>
        </w:rPr>
        <w:t xml:space="preserve"> f</w:t>
      </w:r>
      <w:r w:rsidR="00926B5B">
        <w:rPr>
          <w:rFonts w:ascii="Arial" w:hAnsi="Arial" w:cs="Arial"/>
          <w:b/>
          <w:sz w:val="20"/>
          <w:szCs w:val="20"/>
          <w:lang w:val="en-US"/>
        </w:rPr>
        <w:t>rom</w:t>
      </w:r>
      <w:r w:rsidR="00926B5B" w:rsidRPr="00926B5B">
        <w:rPr>
          <w:rFonts w:ascii="Arial" w:hAnsi="Arial" w:cs="Arial"/>
          <w:b/>
          <w:sz w:val="20"/>
          <w:szCs w:val="20"/>
          <w:lang w:val="en-US"/>
        </w:rPr>
        <w:t xml:space="preserve"> previous FM PT50 meetings and lists of issues to be discussed</w:t>
      </w:r>
      <w:bookmarkStart w:id="0" w:name="_GoBack"/>
      <w:bookmarkEnd w:id="0"/>
    </w:p>
    <w:p w:rsidR="00B97716" w:rsidRPr="00B6025C" w:rsidRDefault="00B97716" w:rsidP="00B97716">
      <w:pPr>
        <w:spacing w:line="240" w:lineRule="auto"/>
        <w:rPr>
          <w:rFonts w:ascii="Arial" w:eastAsia="Times New Roman" w:hAnsi="Arial" w:cs="Arial"/>
          <w:color w:val="000000"/>
          <w:sz w:val="20"/>
          <w:szCs w:val="20"/>
          <w:lang w:val="en-US" w:eastAsia="sv-SE"/>
        </w:rPr>
      </w:pPr>
      <w:r w:rsidRPr="00B6025C">
        <w:rPr>
          <w:rFonts w:ascii="Arial" w:eastAsia="Times New Roman" w:hAnsi="Arial" w:cs="Arial"/>
          <w:b/>
          <w:color w:val="000000"/>
          <w:sz w:val="20"/>
          <w:szCs w:val="20"/>
          <w:lang w:val="en-GB" w:eastAsia="sv-SE"/>
        </w:rPr>
        <w:t xml:space="preserve">Criterion 1: </w:t>
      </w:r>
      <w:r w:rsidRPr="00B6025C">
        <w:rPr>
          <w:rFonts w:ascii="Arial" w:eastAsia="Times New Roman" w:hAnsi="Arial" w:cs="Arial"/>
          <w:color w:val="000000"/>
          <w:sz w:val="20"/>
          <w:szCs w:val="20"/>
          <w:lang w:val="en-GB" w:eastAsia="sv-SE"/>
        </w:rPr>
        <w:t>Compatibility with regulatory framework</w:t>
      </w:r>
    </w:p>
    <w:p w:rsidR="00B97716" w:rsidRPr="00B6025C" w:rsidRDefault="00B97716" w:rsidP="00B97716">
      <w:p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GB" w:eastAsia="sv-SE"/>
        </w:rPr>
        <w:t xml:space="preserve">During the meeting in Bologna it was suggested that judging criterion 1 for each application may not be appropriate because some applications may be incompatible when combined in a specific regulatory option. </w:t>
      </w:r>
    </w:p>
    <w:p w:rsidR="00886B35" w:rsidRPr="00B6025C" w:rsidRDefault="00B97716" w:rsidP="00886B35">
      <w:p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GB" w:eastAsia="sv-SE"/>
        </w:rPr>
        <w:t>For example,</w:t>
      </w:r>
    </w:p>
    <w:p w:rsidR="00886B35" w:rsidRPr="00B6025C" w:rsidRDefault="00B97716" w:rsidP="00886B35">
      <w:pPr>
        <w:pStyle w:val="Paragraphedeliste"/>
        <w:numPr>
          <w:ilvl w:val="0"/>
          <w:numId w:val="4"/>
        </w:num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GB" w:eastAsia="sv-SE"/>
        </w:rPr>
        <w:t xml:space="preserve">T-DAB is on its own compatible with ECC/DEC/(03)02 when using the lower part of the band, while also </w:t>
      </w:r>
    </w:p>
    <w:p w:rsidR="00886B35" w:rsidRPr="00B6025C" w:rsidRDefault="00B97716" w:rsidP="00886B35">
      <w:pPr>
        <w:pStyle w:val="Paragraphedeliste"/>
        <w:numPr>
          <w:ilvl w:val="0"/>
          <w:numId w:val="4"/>
        </w:num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GB" w:eastAsia="sv-SE"/>
        </w:rPr>
        <w:t>BDA2GC is compatible with ECC/DEC</w:t>
      </w:r>
      <w:proofErr w:type="gramStart"/>
      <w:r w:rsidRPr="00B6025C">
        <w:rPr>
          <w:rFonts w:ascii="Arial" w:eastAsia="Times New Roman" w:hAnsi="Arial" w:cs="Arial"/>
          <w:color w:val="000000"/>
          <w:sz w:val="20"/>
          <w:szCs w:val="20"/>
          <w:lang w:val="en-GB" w:eastAsia="sv-SE"/>
        </w:rPr>
        <w:t>/(</w:t>
      </w:r>
      <w:proofErr w:type="gramEnd"/>
      <w:r w:rsidRPr="00B6025C">
        <w:rPr>
          <w:rFonts w:ascii="Arial" w:eastAsia="Times New Roman" w:hAnsi="Arial" w:cs="Arial"/>
          <w:color w:val="000000"/>
          <w:sz w:val="20"/>
          <w:szCs w:val="20"/>
          <w:lang w:val="en-GB" w:eastAsia="sv-SE"/>
        </w:rPr>
        <w:t xml:space="preserve">03)02 when using the lower part of the band. </w:t>
      </w:r>
    </w:p>
    <w:p w:rsidR="00B97716" w:rsidRPr="00B6025C" w:rsidRDefault="00B97716" w:rsidP="00886B35">
      <w:pPr>
        <w:pStyle w:val="Paragraphedeliste"/>
        <w:numPr>
          <w:ilvl w:val="0"/>
          <w:numId w:val="4"/>
        </w:num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GB" w:eastAsia="sv-SE"/>
        </w:rPr>
        <w:t>However, there cannot be a regulatory option where both T-DAB and BDA2GC are compatible with ECC/DEC</w:t>
      </w:r>
      <w:proofErr w:type="gramStart"/>
      <w:r w:rsidRPr="00B6025C">
        <w:rPr>
          <w:rFonts w:ascii="Arial" w:eastAsia="Times New Roman" w:hAnsi="Arial" w:cs="Arial"/>
          <w:color w:val="000000"/>
          <w:sz w:val="20"/>
          <w:szCs w:val="20"/>
          <w:lang w:val="en-GB" w:eastAsia="sv-SE"/>
        </w:rPr>
        <w:t>/(</w:t>
      </w:r>
      <w:proofErr w:type="gramEnd"/>
      <w:r w:rsidRPr="00B6025C">
        <w:rPr>
          <w:rFonts w:ascii="Arial" w:eastAsia="Times New Roman" w:hAnsi="Arial" w:cs="Arial"/>
          <w:color w:val="000000"/>
          <w:sz w:val="20"/>
          <w:szCs w:val="20"/>
          <w:lang w:val="en-GB" w:eastAsia="sv-SE"/>
        </w:rPr>
        <w:t>03)02.</w:t>
      </w:r>
    </w:p>
    <w:p w:rsidR="00886B35" w:rsidRPr="00B6025C" w:rsidRDefault="00B97716" w:rsidP="00886B35">
      <w:p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GB" w:eastAsia="sv-SE"/>
        </w:rPr>
        <w:t>The impact of the exact positioning of application with regards to the entire band explains why the compatibility of an application with given regulatory regime can only be judged in the context of a complete regulatory option. With this approach we will take care of issues like:</w:t>
      </w:r>
    </w:p>
    <w:p w:rsidR="00886B35" w:rsidRPr="00B6025C" w:rsidRDefault="00B97716" w:rsidP="00886B35">
      <w:pPr>
        <w:pStyle w:val="Paragraphedeliste"/>
        <w:numPr>
          <w:ilvl w:val="0"/>
          <w:numId w:val="4"/>
        </w:num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US" w:eastAsia="sv-SE"/>
        </w:rPr>
        <w:t>Compliance with the ECC/DEC</w:t>
      </w:r>
      <w:proofErr w:type="gramStart"/>
      <w:r w:rsidRPr="00B6025C">
        <w:rPr>
          <w:rFonts w:ascii="Arial" w:eastAsia="Times New Roman" w:hAnsi="Arial" w:cs="Arial"/>
          <w:color w:val="000000"/>
          <w:sz w:val="20"/>
          <w:szCs w:val="20"/>
          <w:lang w:val="en-US" w:eastAsia="sv-SE"/>
        </w:rPr>
        <w:t>/(</w:t>
      </w:r>
      <w:proofErr w:type="gramEnd"/>
      <w:r w:rsidRPr="00B6025C">
        <w:rPr>
          <w:rFonts w:ascii="Arial" w:eastAsia="Times New Roman" w:hAnsi="Arial" w:cs="Arial"/>
          <w:color w:val="000000"/>
          <w:sz w:val="20"/>
          <w:szCs w:val="20"/>
          <w:lang w:val="en-US" w:eastAsia="sv-SE"/>
        </w:rPr>
        <w:t>03)/02 if the required spectrum is outside the 1479,5-1492 MHz band.</w:t>
      </w:r>
    </w:p>
    <w:p w:rsidR="00886B35" w:rsidRPr="00B6025C" w:rsidRDefault="00B97716" w:rsidP="00886B35">
      <w:pPr>
        <w:pStyle w:val="Paragraphedeliste"/>
        <w:numPr>
          <w:ilvl w:val="0"/>
          <w:numId w:val="4"/>
        </w:num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US" w:eastAsia="sv-SE"/>
        </w:rPr>
        <w:t>Compliance with the MA02revCO07 special arrangement if the required spectrum is outside the 1452-1479</w:t>
      </w:r>
      <w:proofErr w:type="gramStart"/>
      <w:r w:rsidRPr="00B6025C">
        <w:rPr>
          <w:rFonts w:ascii="Arial" w:eastAsia="Times New Roman" w:hAnsi="Arial" w:cs="Arial"/>
          <w:color w:val="000000"/>
          <w:sz w:val="20"/>
          <w:szCs w:val="20"/>
          <w:lang w:val="en-US" w:eastAsia="sv-SE"/>
        </w:rPr>
        <w:t>,5</w:t>
      </w:r>
      <w:proofErr w:type="gramEnd"/>
      <w:r w:rsidRPr="00B6025C">
        <w:rPr>
          <w:rFonts w:ascii="Arial" w:eastAsia="Times New Roman" w:hAnsi="Arial" w:cs="Arial"/>
          <w:color w:val="000000"/>
          <w:sz w:val="20"/>
          <w:szCs w:val="20"/>
          <w:lang w:val="en-US" w:eastAsia="sv-SE"/>
        </w:rPr>
        <w:t xml:space="preserve"> MHz band.</w:t>
      </w:r>
    </w:p>
    <w:p w:rsidR="00B97716" w:rsidRPr="00B6025C" w:rsidRDefault="00B97716" w:rsidP="00886B35">
      <w:pPr>
        <w:pStyle w:val="Paragraphedeliste"/>
        <w:numPr>
          <w:ilvl w:val="0"/>
          <w:numId w:val="4"/>
        </w:num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US" w:eastAsia="sv-SE"/>
        </w:rPr>
        <w:t>Compliance with MA02revCO07 as a tool for cross-border coordination if the required service area is the entire CEPT region.</w:t>
      </w:r>
    </w:p>
    <w:p w:rsidR="00B97716" w:rsidRPr="00B6025C" w:rsidRDefault="00B97716" w:rsidP="00B97716">
      <w:p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US" w:eastAsia="sv-SE"/>
        </w:rPr>
        <w:t>With respect to RR Article 5 and the ECC/DEC</w:t>
      </w:r>
      <w:proofErr w:type="gramStart"/>
      <w:r w:rsidRPr="00B6025C">
        <w:rPr>
          <w:rFonts w:ascii="Arial" w:eastAsia="Times New Roman" w:hAnsi="Arial" w:cs="Arial"/>
          <w:color w:val="000000"/>
          <w:sz w:val="20"/>
          <w:szCs w:val="20"/>
          <w:lang w:val="en-US" w:eastAsia="sv-SE"/>
        </w:rPr>
        <w:t>/(</w:t>
      </w:r>
      <w:proofErr w:type="gramEnd"/>
      <w:r w:rsidRPr="00B6025C">
        <w:rPr>
          <w:rFonts w:ascii="Arial" w:eastAsia="Times New Roman" w:hAnsi="Arial" w:cs="Arial"/>
          <w:color w:val="000000"/>
          <w:sz w:val="20"/>
          <w:szCs w:val="20"/>
          <w:lang w:val="en-US" w:eastAsia="sv-SE"/>
        </w:rPr>
        <w:t>03)/02 they will be assessed under the qualitative part of the methodology as described in the Annex.</w:t>
      </w:r>
    </w:p>
    <w:p w:rsidR="00B97716" w:rsidRPr="00B6025C" w:rsidRDefault="00B97716" w:rsidP="00B97716">
      <w:pPr>
        <w:spacing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US" w:eastAsia="sv-SE"/>
        </w:rPr>
        <w:t>The three sub-criteria related to MA02revCO07 will be combined under the qualitative methodology with sub-criteria as described in the Annex.</w:t>
      </w:r>
    </w:p>
    <w:p w:rsidR="00B97716" w:rsidRPr="00B6025C" w:rsidRDefault="00B97716" w:rsidP="00B97716">
      <w:pPr>
        <w:spacing w:line="240" w:lineRule="auto"/>
        <w:rPr>
          <w:rFonts w:ascii="Arial" w:eastAsia="Times New Roman" w:hAnsi="Arial" w:cs="Arial"/>
          <w:color w:val="000000"/>
          <w:sz w:val="20"/>
          <w:szCs w:val="20"/>
          <w:lang w:val="en-US" w:eastAsia="sv-SE"/>
        </w:rPr>
      </w:pPr>
      <w:r w:rsidRPr="00B6025C">
        <w:rPr>
          <w:rFonts w:ascii="Arial" w:eastAsia="Times New Roman" w:hAnsi="Arial" w:cs="Arial"/>
          <w:b/>
          <w:color w:val="000000"/>
          <w:sz w:val="20"/>
          <w:szCs w:val="20"/>
          <w:lang w:val="en-GB" w:eastAsia="sv-SE"/>
        </w:rPr>
        <w:t>List of issues to be discussed in the ECO forum with respect to criterion 1</w:t>
      </w:r>
    </w:p>
    <w:p w:rsidR="00886B35" w:rsidRPr="00B6025C" w:rsidRDefault="00B97716" w:rsidP="00886B35">
      <w:pPr>
        <w:pStyle w:val="Paragraphedeliste"/>
        <w:numPr>
          <w:ilvl w:val="0"/>
          <w:numId w:val="4"/>
        </w:numPr>
        <w:spacing w:after="0"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GB" w:eastAsia="sv-SE"/>
        </w:rPr>
        <w:t>Further investigate if criterion 1 should assess regulatory options rather than individual applications.</w:t>
      </w:r>
    </w:p>
    <w:p w:rsidR="00886B35" w:rsidRPr="00B6025C" w:rsidRDefault="00B97716" w:rsidP="00886B35">
      <w:pPr>
        <w:pStyle w:val="Paragraphedeliste"/>
        <w:numPr>
          <w:ilvl w:val="0"/>
          <w:numId w:val="4"/>
        </w:numPr>
        <w:spacing w:after="0"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GB" w:eastAsia="sv-SE"/>
        </w:rPr>
        <w:t xml:space="preserve">Investigate possible problems having absolute marks with respect to some criteria and relative marks with respect to others. </w:t>
      </w:r>
    </w:p>
    <w:p w:rsidR="00886B35" w:rsidRPr="00B6025C" w:rsidRDefault="00B97716" w:rsidP="00886B35">
      <w:pPr>
        <w:pStyle w:val="Paragraphedeliste"/>
        <w:numPr>
          <w:ilvl w:val="0"/>
          <w:numId w:val="4"/>
        </w:numPr>
        <w:spacing w:after="0"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GB" w:eastAsia="sv-SE"/>
        </w:rPr>
        <w:t>How should we handle the flexibility built in regulatory options 2 and 3?</w:t>
      </w:r>
    </w:p>
    <w:p w:rsidR="00B97716" w:rsidRPr="00B6025C" w:rsidRDefault="00B97716" w:rsidP="00886B35">
      <w:pPr>
        <w:pStyle w:val="Paragraphedeliste"/>
        <w:numPr>
          <w:ilvl w:val="0"/>
          <w:numId w:val="4"/>
        </w:numPr>
        <w:spacing w:after="0" w:line="240" w:lineRule="auto"/>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GB" w:eastAsia="sv-SE"/>
        </w:rPr>
        <w:t>How to assess an application (i.e., terrestrial broadcasting and S-DAB) that had the opportunity to be deployed under the existing regulatory framework and was not deployed?</w:t>
      </w:r>
    </w:p>
    <w:p w:rsidR="00B6025C" w:rsidRPr="00B6025C" w:rsidRDefault="00B6025C" w:rsidP="00B6025C">
      <w:pPr>
        <w:rPr>
          <w:rFonts w:ascii="Arial" w:eastAsia="Times New Roman" w:hAnsi="Arial" w:cs="Arial"/>
          <w:color w:val="000000"/>
          <w:sz w:val="20"/>
          <w:szCs w:val="20"/>
          <w:lang w:val="en-US" w:eastAsia="sv-SE"/>
        </w:rPr>
      </w:pPr>
    </w:p>
    <w:p w:rsidR="00B97716" w:rsidRPr="00B6025C" w:rsidRDefault="00B97716" w:rsidP="00B6025C">
      <w:pPr>
        <w:rPr>
          <w:rFonts w:ascii="Arial" w:eastAsia="Times New Roman" w:hAnsi="Arial" w:cs="Arial"/>
          <w:color w:val="000000"/>
          <w:sz w:val="20"/>
          <w:szCs w:val="20"/>
          <w:lang w:val="en-US" w:eastAsia="sv-SE"/>
        </w:rPr>
      </w:pPr>
      <w:r w:rsidRPr="00B6025C">
        <w:rPr>
          <w:rFonts w:ascii="Arial" w:hAnsi="Arial" w:cs="Arial"/>
          <w:b/>
          <w:color w:val="000000"/>
          <w:sz w:val="20"/>
          <w:szCs w:val="20"/>
          <w:lang w:val="en-GB"/>
        </w:rPr>
        <w:t xml:space="preserve">Criterion 2: </w:t>
      </w:r>
      <w:r w:rsidRPr="00B6025C">
        <w:rPr>
          <w:rFonts w:ascii="Arial" w:hAnsi="Arial" w:cs="Arial"/>
          <w:color w:val="000000"/>
          <w:sz w:val="20"/>
          <w:szCs w:val="20"/>
          <w:lang w:val="en-GB"/>
        </w:rPr>
        <w:t>Possibility to share with other applications/uses (frequency, spatial, time and/or signal separation)</w:t>
      </w:r>
    </w:p>
    <w:p w:rsidR="00B97716" w:rsidRPr="00B6025C" w:rsidRDefault="00B97716" w:rsidP="00B97716">
      <w:pPr>
        <w:pStyle w:val="NormalWeb"/>
        <w:spacing w:before="0" w:beforeAutospacing="0" w:after="200" w:afterAutospacing="0"/>
        <w:rPr>
          <w:rFonts w:ascii="Arial" w:hAnsi="Arial" w:cs="Arial"/>
          <w:color w:val="000000"/>
          <w:sz w:val="20"/>
          <w:szCs w:val="20"/>
          <w:lang w:val="en-US"/>
        </w:rPr>
      </w:pPr>
      <w:r w:rsidRPr="00B6025C">
        <w:rPr>
          <w:rFonts w:ascii="Arial" w:hAnsi="Arial" w:cs="Arial"/>
          <w:color w:val="000000"/>
          <w:sz w:val="20"/>
          <w:szCs w:val="20"/>
          <w:lang w:val="en-GB"/>
        </w:rPr>
        <w:t xml:space="preserve">During the meeting in Bologna </w:t>
      </w:r>
      <w:proofErr w:type="spellStart"/>
      <w:r w:rsidRPr="00B6025C">
        <w:rPr>
          <w:rFonts w:ascii="Arial" w:hAnsi="Arial" w:cs="Arial"/>
          <w:color w:val="000000"/>
          <w:sz w:val="20"/>
          <w:szCs w:val="20"/>
          <w:lang w:val="en-GB"/>
        </w:rPr>
        <w:t>i</w:t>
      </w:r>
      <w:r w:rsidRPr="00B6025C">
        <w:rPr>
          <w:rFonts w:ascii="Arial" w:hAnsi="Arial" w:cs="Arial"/>
          <w:color w:val="000000"/>
          <w:sz w:val="20"/>
          <w:szCs w:val="20"/>
          <w:lang w:val="en-US"/>
        </w:rPr>
        <w:t>t</w:t>
      </w:r>
      <w:proofErr w:type="spellEnd"/>
      <w:r w:rsidRPr="00B6025C">
        <w:rPr>
          <w:rFonts w:ascii="Arial" w:hAnsi="Arial" w:cs="Arial"/>
          <w:color w:val="000000"/>
          <w:sz w:val="20"/>
          <w:szCs w:val="20"/>
          <w:lang w:val="en-US"/>
        </w:rPr>
        <w:t xml:space="preserve"> was suggested that judging criterion 2 for each application may not be appropriate because some sharing possibilities may be incompatible when combined in a regulatory option. </w:t>
      </w:r>
    </w:p>
    <w:p w:rsidR="00B6025C" w:rsidRPr="00B6025C" w:rsidRDefault="00B97716" w:rsidP="00B6025C">
      <w:pPr>
        <w:pStyle w:val="NormalWeb"/>
        <w:spacing w:before="0" w:beforeAutospacing="0" w:after="200" w:afterAutospacing="0"/>
        <w:rPr>
          <w:rFonts w:ascii="Arial" w:hAnsi="Arial" w:cs="Arial"/>
          <w:color w:val="000000"/>
          <w:sz w:val="20"/>
          <w:szCs w:val="20"/>
          <w:lang w:val="en-US"/>
        </w:rPr>
      </w:pPr>
      <w:r w:rsidRPr="00B6025C">
        <w:rPr>
          <w:rFonts w:ascii="Arial" w:hAnsi="Arial" w:cs="Arial"/>
          <w:color w:val="000000"/>
          <w:sz w:val="20"/>
          <w:szCs w:val="20"/>
          <w:lang w:val="en-US"/>
        </w:rPr>
        <w:t xml:space="preserve">For example, </w:t>
      </w:r>
    </w:p>
    <w:p w:rsidR="00B6025C" w:rsidRPr="00B6025C" w:rsidRDefault="00B97716" w:rsidP="00B6025C">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B6025C">
        <w:rPr>
          <w:rFonts w:ascii="Arial" w:eastAsia="Times New Roman" w:hAnsi="Arial" w:cs="Arial"/>
          <w:color w:val="000000"/>
          <w:sz w:val="20"/>
          <w:szCs w:val="20"/>
          <w:lang w:val="en-GB" w:eastAsia="sv-SE"/>
        </w:rPr>
        <w:t xml:space="preserve">T-DAB and PPDR may share the band under the assumption that one uses one part of the band, and the other uses another part of the band. </w:t>
      </w:r>
    </w:p>
    <w:p w:rsidR="00B97716" w:rsidRDefault="00B97716" w:rsidP="00B6025C">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B6025C">
        <w:rPr>
          <w:rFonts w:ascii="Arial" w:eastAsia="Times New Roman" w:hAnsi="Arial" w:cs="Arial"/>
          <w:color w:val="000000"/>
          <w:sz w:val="20"/>
          <w:szCs w:val="20"/>
          <w:lang w:val="en-GB" w:eastAsia="sv-SE"/>
        </w:rPr>
        <w:t xml:space="preserve">However, under a regulatory option where only 20 MHz would be available for TRA-ECS, It would not be possible to accommodate both T-DAB and PPDR (see regulatory option 3). </w:t>
      </w:r>
    </w:p>
    <w:p w:rsidR="00B6025C" w:rsidRPr="00B6025C" w:rsidRDefault="00B6025C" w:rsidP="00B6025C">
      <w:pPr>
        <w:spacing w:after="0" w:line="240" w:lineRule="auto"/>
        <w:rPr>
          <w:rFonts w:ascii="Arial" w:eastAsia="Times New Roman" w:hAnsi="Arial" w:cs="Arial"/>
          <w:color w:val="000000"/>
          <w:sz w:val="20"/>
          <w:szCs w:val="20"/>
          <w:lang w:val="en-GB" w:eastAsia="sv-SE"/>
        </w:rPr>
      </w:pPr>
    </w:p>
    <w:p w:rsidR="00B97716" w:rsidRPr="00B6025C" w:rsidRDefault="00B97716" w:rsidP="00B97716">
      <w:pPr>
        <w:pStyle w:val="NormalWeb"/>
        <w:spacing w:before="0" w:beforeAutospacing="0" w:after="200" w:afterAutospacing="0"/>
        <w:rPr>
          <w:rFonts w:ascii="Arial" w:hAnsi="Arial" w:cs="Arial"/>
          <w:color w:val="000000"/>
          <w:sz w:val="20"/>
          <w:szCs w:val="20"/>
          <w:lang w:val="en-US"/>
        </w:rPr>
      </w:pPr>
      <w:r w:rsidRPr="00B6025C">
        <w:rPr>
          <w:rFonts w:ascii="Arial" w:hAnsi="Arial" w:cs="Arial"/>
          <w:color w:val="000000"/>
          <w:sz w:val="20"/>
          <w:szCs w:val="20"/>
          <w:lang w:val="en-US"/>
        </w:rPr>
        <w:t xml:space="preserve">This preliminary consideration seems to indicate that the impact of the total amount of spectrum available for all applications considered under a given specific regulatory option explains why the possibility for an application to share with another application might only be judged in the context of a </w:t>
      </w:r>
      <w:r w:rsidRPr="00B6025C">
        <w:rPr>
          <w:rFonts w:ascii="Arial" w:hAnsi="Arial" w:cs="Arial"/>
          <w:color w:val="000000"/>
          <w:sz w:val="20"/>
          <w:szCs w:val="20"/>
          <w:lang w:val="en-US"/>
        </w:rPr>
        <w:lastRenderedPageBreak/>
        <w:t xml:space="preserve">complete regulatory option. Provided that this is correct, criterion 2 would assess the degree of flexibility it provides to a national administration to have national flexibility under the given regulatory option. </w:t>
      </w:r>
      <w:r w:rsidRPr="00B6025C">
        <w:rPr>
          <w:rFonts w:ascii="Arial" w:hAnsi="Arial" w:cs="Arial"/>
          <w:color w:val="000000"/>
          <w:sz w:val="20"/>
          <w:szCs w:val="20"/>
          <w:lang w:val="en-US"/>
        </w:rPr>
        <w:br/>
      </w:r>
      <w:r w:rsidRPr="00B6025C">
        <w:rPr>
          <w:rFonts w:ascii="Arial" w:hAnsi="Arial" w:cs="Arial"/>
          <w:color w:val="000000"/>
          <w:sz w:val="20"/>
          <w:szCs w:val="20"/>
          <w:lang w:val="en-US"/>
        </w:rPr>
        <w:br/>
      </w:r>
      <w:r w:rsidRPr="00B6025C">
        <w:rPr>
          <w:rFonts w:ascii="Arial" w:hAnsi="Arial" w:cs="Arial"/>
          <w:b/>
          <w:color w:val="000000"/>
          <w:sz w:val="20"/>
          <w:szCs w:val="20"/>
          <w:lang w:val="en-GB"/>
        </w:rPr>
        <w:t>List of issues to be discussed in the ECO forum with respect to criterion 2</w:t>
      </w:r>
    </w:p>
    <w:p w:rsidR="00B97716" w:rsidRPr="00B6025C" w:rsidRDefault="00B97716" w:rsidP="00B6025C">
      <w:pPr>
        <w:pStyle w:val="Paragraphedeliste"/>
        <w:numPr>
          <w:ilvl w:val="0"/>
          <w:numId w:val="7"/>
        </w:numPr>
        <w:spacing w:after="0" w:line="240" w:lineRule="auto"/>
        <w:rPr>
          <w:rFonts w:ascii="Arial" w:eastAsia="Times New Roman" w:hAnsi="Arial" w:cs="Arial"/>
          <w:color w:val="000000"/>
          <w:sz w:val="20"/>
          <w:szCs w:val="20"/>
          <w:lang w:val="en-GB" w:eastAsia="sv-SE"/>
        </w:rPr>
      </w:pPr>
      <w:r w:rsidRPr="00B6025C">
        <w:rPr>
          <w:rFonts w:ascii="Arial" w:eastAsia="Times New Roman" w:hAnsi="Arial" w:cs="Arial"/>
          <w:color w:val="000000"/>
          <w:sz w:val="20"/>
          <w:szCs w:val="20"/>
          <w:lang w:val="en-GB" w:eastAsia="sv-SE"/>
        </w:rPr>
        <w:t>Further investigate if criterion 2 should assess regulatory options rather than individual applications.</w:t>
      </w:r>
    </w:p>
    <w:p w:rsidR="00B97716" w:rsidRPr="00B6025C" w:rsidRDefault="00B97716" w:rsidP="00B6025C">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B6025C">
        <w:rPr>
          <w:rFonts w:ascii="Arial" w:eastAsia="Times New Roman" w:hAnsi="Arial" w:cs="Arial"/>
          <w:color w:val="000000"/>
          <w:sz w:val="20"/>
          <w:szCs w:val="20"/>
          <w:lang w:val="en-GB" w:eastAsia="sv-SE"/>
        </w:rPr>
        <w:t xml:space="preserve">Investigate possible problems having absolute marks with respect to some criteria and relative marks with respect to others. </w:t>
      </w:r>
    </w:p>
    <w:p w:rsidR="00B97716" w:rsidRPr="00B6025C" w:rsidRDefault="00B97716" w:rsidP="00B6025C">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B6025C">
        <w:rPr>
          <w:rFonts w:ascii="Arial" w:eastAsia="Times New Roman" w:hAnsi="Arial" w:cs="Arial"/>
          <w:color w:val="000000"/>
          <w:sz w:val="20"/>
          <w:szCs w:val="20"/>
          <w:lang w:val="en-GB" w:eastAsia="sv-SE"/>
        </w:rPr>
        <w:t>How to handle a criterion when we don´t have the relevant information available for all applications considered?</w:t>
      </w:r>
    </w:p>
    <w:p w:rsidR="00B97716" w:rsidRPr="00B6025C" w:rsidRDefault="00B97716" w:rsidP="00B6025C">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B6025C">
        <w:rPr>
          <w:rFonts w:ascii="Arial" w:eastAsia="Times New Roman" w:hAnsi="Arial" w:cs="Arial"/>
          <w:color w:val="000000"/>
          <w:sz w:val="20"/>
          <w:szCs w:val="20"/>
          <w:lang w:val="en-GB" w:eastAsia="sv-SE"/>
        </w:rPr>
        <w:t>How should we handle the flexibility built-in in regulatory options 2 and 3?</w:t>
      </w:r>
    </w:p>
    <w:p w:rsidR="00B97716" w:rsidRPr="00B6025C" w:rsidRDefault="00B97716" w:rsidP="00B6025C">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B6025C">
        <w:rPr>
          <w:rFonts w:ascii="Arial" w:eastAsia="Times New Roman" w:hAnsi="Arial" w:cs="Arial"/>
          <w:color w:val="000000"/>
          <w:sz w:val="20"/>
          <w:szCs w:val="20"/>
          <w:lang w:val="en-GB" w:eastAsia="sv-SE"/>
        </w:rPr>
        <w:t>How to assess an application (i.e., terrestrial broadcasting and S-DAB) that had the opportunity to be deployed under the existing regulatory framework and was not deployed?</w:t>
      </w:r>
    </w:p>
    <w:p w:rsidR="00B6025C" w:rsidRPr="00B6025C" w:rsidRDefault="00B6025C">
      <w:pPr>
        <w:rPr>
          <w:rFonts w:ascii="Arial" w:eastAsia="Times New Roman" w:hAnsi="Arial" w:cs="Arial"/>
          <w:color w:val="000000"/>
          <w:sz w:val="20"/>
          <w:szCs w:val="20"/>
          <w:lang w:val="en-US" w:eastAsia="sv-SE"/>
        </w:rPr>
      </w:pPr>
    </w:p>
    <w:p w:rsidR="00D5763F" w:rsidRPr="00B6025C" w:rsidRDefault="00D5763F" w:rsidP="00D5763F">
      <w:pPr>
        <w:pStyle w:val="NormalWeb"/>
        <w:spacing w:before="0" w:beforeAutospacing="0" w:after="200" w:afterAutospacing="0"/>
        <w:rPr>
          <w:rFonts w:ascii="Arial" w:hAnsi="Arial" w:cs="Arial"/>
          <w:color w:val="000000"/>
          <w:sz w:val="20"/>
          <w:szCs w:val="20"/>
          <w:lang w:val="en-US"/>
        </w:rPr>
      </w:pPr>
      <w:r w:rsidRPr="00B6025C">
        <w:rPr>
          <w:rFonts w:ascii="Arial" w:hAnsi="Arial" w:cs="Arial"/>
          <w:b/>
          <w:color w:val="000000"/>
          <w:sz w:val="20"/>
          <w:szCs w:val="20"/>
          <w:lang w:val="en-GB"/>
        </w:rPr>
        <w:t xml:space="preserve">Criterion 3: </w:t>
      </w:r>
      <w:r w:rsidRPr="00B6025C">
        <w:rPr>
          <w:rFonts w:ascii="Arial" w:hAnsi="Arial" w:cs="Arial"/>
          <w:color w:val="000000"/>
          <w:sz w:val="20"/>
          <w:szCs w:val="20"/>
          <w:lang w:val="en-GB"/>
        </w:rPr>
        <w:t>Extent (maximisation) of social and economic benefits</w:t>
      </w:r>
    </w:p>
    <w:p w:rsidR="00D5763F" w:rsidRPr="00B6025C" w:rsidRDefault="00D5763F" w:rsidP="00D5763F">
      <w:pPr>
        <w:pStyle w:val="NormalWeb"/>
        <w:spacing w:before="0" w:beforeAutospacing="0" w:after="200" w:afterAutospacing="0"/>
        <w:rPr>
          <w:rFonts w:ascii="Arial" w:hAnsi="Arial" w:cs="Arial"/>
          <w:color w:val="000000"/>
          <w:sz w:val="20"/>
          <w:szCs w:val="20"/>
          <w:lang w:val="en-US"/>
        </w:rPr>
      </w:pPr>
      <w:r w:rsidRPr="00B6025C">
        <w:rPr>
          <w:rFonts w:ascii="Arial" w:hAnsi="Arial" w:cs="Arial"/>
          <w:color w:val="000000"/>
          <w:sz w:val="20"/>
          <w:szCs w:val="20"/>
          <w:lang w:val="en-GB"/>
        </w:rPr>
        <w:t>This criterion was not discussed in Bologna and has to be described regarding how to apply the concept with respect to it.</w:t>
      </w:r>
    </w:p>
    <w:p w:rsidR="00D5763F" w:rsidRPr="00B6025C" w:rsidRDefault="00D5763F" w:rsidP="00D5763F">
      <w:pPr>
        <w:pStyle w:val="NormalWeb"/>
        <w:spacing w:before="0" w:beforeAutospacing="0" w:after="200" w:afterAutospacing="0"/>
        <w:ind w:right="26"/>
        <w:rPr>
          <w:rFonts w:ascii="Arial" w:hAnsi="Arial" w:cs="Arial"/>
          <w:color w:val="000000"/>
          <w:sz w:val="20"/>
          <w:szCs w:val="20"/>
          <w:lang w:val="en-US"/>
        </w:rPr>
      </w:pPr>
      <w:r w:rsidRPr="00B6025C">
        <w:rPr>
          <w:rFonts w:ascii="Arial" w:hAnsi="Arial" w:cs="Arial"/>
          <w:b/>
          <w:color w:val="000000"/>
          <w:sz w:val="20"/>
          <w:szCs w:val="20"/>
          <w:lang w:val="en-GB"/>
        </w:rPr>
        <w:br/>
        <w:t>List of issues to be discussed in the ECO forum with respect to criterion 3</w:t>
      </w:r>
    </w:p>
    <w:p w:rsidR="00D5763F" w:rsidRPr="007B26D4" w:rsidRDefault="00D5763F"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 xml:space="preserve">Investigate possible problems having absolute marks with respect to some criteria and relative marks with respect to others. </w:t>
      </w:r>
    </w:p>
    <w:p w:rsidR="00D5763F" w:rsidRPr="007B26D4" w:rsidRDefault="00D5763F"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How to handle a criterion when we don´t have the relevant information available for all applications considered?</w:t>
      </w:r>
    </w:p>
    <w:p w:rsidR="00D5763F" w:rsidRPr="007B26D4" w:rsidRDefault="00D5763F"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How should we handle the flexibility built-in in regulatory options 2 and 3?</w:t>
      </w:r>
    </w:p>
    <w:p w:rsidR="00D5763F" w:rsidRPr="007B26D4" w:rsidRDefault="00D5763F"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How to assess an application (i.e. terrestrial broadcasting and S-DAB) that had the opportunity to be deployed under the existing regulatory framework and was not deployed?</w:t>
      </w:r>
    </w:p>
    <w:p w:rsidR="007B26D4" w:rsidRDefault="007B26D4" w:rsidP="007B26D4">
      <w:pPr>
        <w:rPr>
          <w:rFonts w:ascii="Arial" w:hAnsi="Arial" w:cs="Arial"/>
          <w:color w:val="000000"/>
          <w:sz w:val="20"/>
          <w:szCs w:val="20"/>
          <w:lang w:val="en-GB"/>
        </w:rPr>
      </w:pPr>
      <w:r>
        <w:rPr>
          <w:rFonts w:ascii="Arial" w:eastAsia="Times New Roman" w:hAnsi="Arial" w:cs="Arial"/>
          <w:b/>
          <w:color w:val="000000"/>
          <w:sz w:val="20"/>
          <w:szCs w:val="20"/>
          <w:lang w:val="en-GB" w:eastAsia="sv-SE"/>
        </w:rPr>
        <w:br/>
      </w:r>
      <w:r w:rsidR="00D5763F" w:rsidRPr="00B6025C">
        <w:rPr>
          <w:rFonts w:ascii="Arial" w:hAnsi="Arial" w:cs="Arial"/>
          <w:color w:val="000000"/>
          <w:sz w:val="20"/>
          <w:szCs w:val="20"/>
          <w:lang w:val="en-GB"/>
        </w:rPr>
        <w:t>The proposal from the discussions in the drafting group on prioritisation was that criterion 3 will award points for individual applications, which will be summed appropriately for regulatory options.</w:t>
      </w:r>
    </w:p>
    <w:p w:rsidR="007B26D4" w:rsidRDefault="007B26D4" w:rsidP="007B26D4">
      <w:pPr>
        <w:rPr>
          <w:rFonts w:ascii="Arial" w:hAnsi="Arial" w:cs="Arial"/>
          <w:color w:val="000000"/>
          <w:sz w:val="20"/>
          <w:szCs w:val="20"/>
          <w:lang w:val="en-GB"/>
        </w:rPr>
      </w:pPr>
    </w:p>
    <w:p w:rsidR="008B6C8E" w:rsidRPr="007B26D4" w:rsidRDefault="008B6C8E" w:rsidP="007B26D4">
      <w:pPr>
        <w:rPr>
          <w:rFonts w:ascii="Arial" w:hAnsi="Arial" w:cs="Arial"/>
          <w:color w:val="000000"/>
          <w:sz w:val="20"/>
          <w:szCs w:val="20"/>
          <w:lang w:val="en-GB"/>
        </w:rPr>
      </w:pPr>
      <w:r w:rsidRPr="00B6025C">
        <w:rPr>
          <w:rFonts w:ascii="Arial" w:hAnsi="Arial" w:cs="Arial"/>
          <w:b/>
          <w:color w:val="000000"/>
          <w:sz w:val="20"/>
          <w:szCs w:val="20"/>
          <w:lang w:val="en-GB"/>
        </w:rPr>
        <w:t>Criterion 4:</w:t>
      </w:r>
      <w:r w:rsidRPr="00B6025C">
        <w:rPr>
          <w:rFonts w:ascii="Arial" w:hAnsi="Arial" w:cs="Arial"/>
          <w:color w:val="000000"/>
          <w:sz w:val="20"/>
          <w:szCs w:val="20"/>
          <w:lang w:val="en-GB"/>
        </w:rPr>
        <w:t xml:space="preserve"> Timeframe for availability of equipment on a large scale and for application deployment - status of standardisation (quantitative and individual application)</w:t>
      </w:r>
    </w:p>
    <w:p w:rsidR="007B26D4" w:rsidRPr="00866990" w:rsidRDefault="007B26D4" w:rsidP="007B26D4">
      <w:pPr>
        <w:rPr>
          <w:rFonts w:ascii="Arial" w:hAnsi="Arial" w:cs="Arial"/>
          <w:i/>
          <w:sz w:val="20"/>
          <w:szCs w:val="20"/>
          <w:lang w:val="en-GB"/>
        </w:rPr>
      </w:pPr>
      <w:r w:rsidRPr="00866990">
        <w:rPr>
          <w:rFonts w:ascii="Arial" w:hAnsi="Arial" w:cs="Arial"/>
          <w:i/>
          <w:sz w:val="20"/>
          <w:szCs w:val="20"/>
          <w:lang w:val="en-GB"/>
        </w:rPr>
        <w:t>Individual Criterion 4</w:t>
      </w:r>
    </w:p>
    <w:p w:rsidR="007B26D4" w:rsidRPr="00866990" w:rsidRDefault="007B26D4" w:rsidP="007B26D4">
      <w:pPr>
        <w:rPr>
          <w:rFonts w:ascii="Arial" w:hAnsi="Arial" w:cs="Arial"/>
          <w:sz w:val="20"/>
          <w:szCs w:val="20"/>
          <w:lang w:val="en-GB"/>
        </w:rPr>
      </w:pPr>
      <w:r w:rsidRPr="00866990">
        <w:rPr>
          <w:rFonts w:ascii="Arial" w:hAnsi="Arial" w:cs="Arial"/>
          <w:sz w:val="20"/>
          <w:szCs w:val="20"/>
          <w:lang w:val="en-GB"/>
        </w:rPr>
        <w:t>All sub-criteria addressed in DG4 are leading up to operational deployment, which will be the only part taken into account.</w:t>
      </w:r>
    </w:p>
    <w:p w:rsidR="007B26D4" w:rsidRPr="00866990" w:rsidRDefault="00C601FB" w:rsidP="007B26D4">
      <w:pPr>
        <w:rPr>
          <w:lang w:val="en-GB"/>
        </w:rPr>
      </w:pPr>
      <m:oMathPara>
        <m:oMath>
          <m:sSub>
            <m:sSubPr>
              <m:ctrlPr>
                <w:rPr>
                  <w:rFonts w:ascii="Cambria Math" w:hAnsi="Cambria Math"/>
                  <w:i/>
                  <w:lang w:val="en-GB"/>
                </w:rPr>
              </m:ctrlPr>
            </m:sSubPr>
            <m:e>
              <m:r>
                <w:rPr>
                  <w:rFonts w:ascii="Cambria Math" w:hAnsi="Cambria Math"/>
                  <w:lang w:val="en-GB"/>
                </w:rPr>
                <m:t>Criterion4</m:t>
              </m:r>
            </m:e>
            <m:sub>
              <m:r>
                <w:rPr>
                  <w:rFonts w:ascii="Cambria Math" w:hAnsi="Cambria Math"/>
                  <w:lang w:val="en-GB"/>
                </w:rPr>
                <m:t>application a</m:t>
              </m:r>
            </m:sub>
          </m:sSub>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ΔT</m:t>
                  </m:r>
                </m:e>
                <m:sub>
                  <m:r>
                    <w:rPr>
                      <w:rFonts w:ascii="Cambria Math" w:hAnsi="Cambria Math"/>
                      <w:lang w:val="en-GB"/>
                    </w:rPr>
                    <m:t>application a</m:t>
                  </m:r>
                </m:sub>
              </m:sSub>
            </m:num>
            <m:den>
              <m:r>
                <w:rPr>
                  <w:rFonts w:ascii="Cambria Math" w:hAnsi="Cambria Math"/>
                  <w:lang w:val="en-GB"/>
                </w:rPr>
                <m:t>Max(ΔT)</m:t>
              </m:r>
            </m:den>
          </m:f>
        </m:oMath>
      </m:oMathPara>
    </w:p>
    <w:p w:rsidR="007B26D4" w:rsidRPr="00866990" w:rsidRDefault="007B26D4" w:rsidP="007B26D4">
      <w:pPr>
        <w:rPr>
          <w:rFonts w:ascii="Arial" w:eastAsia="Times New Roman" w:hAnsi="Arial" w:cs="Arial"/>
          <w:color w:val="000000"/>
          <w:sz w:val="20"/>
          <w:szCs w:val="20"/>
          <w:lang w:val="en-GB" w:eastAsia="sv-SE"/>
        </w:rPr>
      </w:pPr>
      <w:r w:rsidRPr="00866990">
        <w:rPr>
          <w:rFonts w:ascii="Arial" w:eastAsia="Times New Roman" w:hAnsi="Arial" w:cs="Arial"/>
          <w:color w:val="000000"/>
          <w:sz w:val="20"/>
          <w:szCs w:val="20"/>
          <w:lang w:val="en-GB" w:eastAsia="sv-SE"/>
        </w:rPr>
        <w:t>Where</w:t>
      </w:r>
    </w:p>
    <w:p w:rsidR="007B26D4" w:rsidRPr="00866990" w:rsidRDefault="00C601FB" w:rsidP="007B26D4">
      <w:pPr>
        <w:rPr>
          <w:rFonts w:ascii="Arial" w:eastAsia="Times New Roman" w:hAnsi="Arial" w:cs="Arial"/>
          <w:color w:val="000000"/>
          <w:sz w:val="20"/>
          <w:szCs w:val="20"/>
          <w:lang w:val="en-GB" w:eastAsia="sv-SE"/>
        </w:rPr>
      </w:pPr>
      <m:oMath>
        <m:sSub>
          <m:sSubPr>
            <m:ctrlPr>
              <w:rPr>
                <w:rFonts w:ascii="Cambria Math" w:eastAsia="Times New Roman" w:hAnsi="Cambria Math" w:cs="Arial"/>
                <w:color w:val="000000"/>
                <w:sz w:val="20"/>
                <w:szCs w:val="20"/>
                <w:lang w:val="en-GB" w:eastAsia="sv-SE"/>
              </w:rPr>
            </m:ctrlPr>
          </m:sSubPr>
          <m:e>
            <m:r>
              <m:rPr>
                <m:sty m:val="p"/>
              </m:rPr>
              <w:rPr>
                <w:rFonts w:ascii="Cambria Math" w:eastAsia="Times New Roman" w:hAnsi="Cambria Math" w:cs="Arial"/>
                <w:color w:val="000000"/>
                <w:sz w:val="20"/>
                <w:szCs w:val="20"/>
                <w:lang w:val="en-GB" w:eastAsia="sv-SE"/>
              </w:rPr>
              <m:t>ΔT</m:t>
            </m:r>
          </m:e>
          <m:sub>
            <m:r>
              <m:rPr>
                <m:sty m:val="p"/>
              </m:rPr>
              <w:rPr>
                <w:rFonts w:ascii="Cambria Math" w:eastAsia="Times New Roman" w:hAnsi="Cambria Math" w:cs="Arial"/>
                <w:color w:val="000000"/>
                <w:sz w:val="20"/>
                <w:szCs w:val="20"/>
                <w:lang w:val="en-GB" w:eastAsia="sv-SE"/>
              </w:rPr>
              <m:t>application a</m:t>
            </m:r>
          </m:sub>
        </m:sSub>
      </m:oMath>
      <w:r w:rsidR="007B26D4" w:rsidRPr="00866990">
        <w:rPr>
          <w:rFonts w:ascii="Arial" w:eastAsia="Times New Roman" w:hAnsi="Arial" w:cs="Arial"/>
          <w:color w:val="000000"/>
          <w:sz w:val="20"/>
          <w:szCs w:val="20"/>
          <w:lang w:val="en-GB" w:eastAsia="sv-SE"/>
        </w:rPr>
        <w:t xml:space="preserve"> </w:t>
      </w:r>
      <w:proofErr w:type="gramStart"/>
      <w:r w:rsidR="007B26D4" w:rsidRPr="00866990">
        <w:rPr>
          <w:rFonts w:ascii="Arial" w:eastAsia="Times New Roman" w:hAnsi="Arial" w:cs="Arial"/>
          <w:color w:val="000000"/>
          <w:sz w:val="20"/>
          <w:szCs w:val="20"/>
          <w:lang w:val="en-GB" w:eastAsia="sv-SE"/>
        </w:rPr>
        <w:t>is</w:t>
      </w:r>
      <w:proofErr w:type="gramEnd"/>
      <w:r w:rsidR="007B26D4" w:rsidRPr="00866990">
        <w:rPr>
          <w:rFonts w:ascii="Arial" w:eastAsia="Times New Roman" w:hAnsi="Arial" w:cs="Arial"/>
          <w:color w:val="000000"/>
          <w:sz w:val="20"/>
          <w:szCs w:val="20"/>
          <w:lang w:val="en-GB" w:eastAsia="sv-SE"/>
        </w:rPr>
        <w:t xml:space="preserve"> the time between January 2013 and the projected date of operational deployment of application a.</w:t>
      </w:r>
    </w:p>
    <w:p w:rsidR="007B26D4" w:rsidRPr="00866990" w:rsidRDefault="007B26D4" w:rsidP="007B26D4">
      <w:pPr>
        <w:rPr>
          <w:rFonts w:ascii="Arial" w:eastAsia="Times New Roman" w:hAnsi="Arial" w:cs="Arial"/>
          <w:color w:val="000000"/>
          <w:sz w:val="20"/>
          <w:szCs w:val="20"/>
          <w:lang w:val="en-GB" w:eastAsia="sv-SE"/>
        </w:rPr>
      </w:pPr>
      <w:r w:rsidRPr="00866990">
        <w:rPr>
          <w:rFonts w:ascii="Arial" w:eastAsia="Times New Roman" w:hAnsi="Arial" w:cs="Arial"/>
          <w:color w:val="000000"/>
          <w:sz w:val="20"/>
          <w:szCs w:val="20"/>
          <w:lang w:val="en-GB" w:eastAsia="sv-SE"/>
        </w:rPr>
        <w:t>January 2013 is proposed as the earliest possible date of operational deployment of all applications, corresponding to the possible date of operational deployment of T-DAB.</w:t>
      </w:r>
    </w:p>
    <w:p w:rsidR="007B26D4" w:rsidRPr="00866990" w:rsidRDefault="007B26D4" w:rsidP="007B26D4">
      <w:pPr>
        <w:rPr>
          <w:rFonts w:ascii="Arial" w:hAnsi="Arial" w:cs="Arial"/>
          <w:sz w:val="20"/>
          <w:szCs w:val="20"/>
          <w:lang w:val="en-GB"/>
        </w:rPr>
      </w:pPr>
    </w:p>
    <w:p w:rsidR="007B26D4" w:rsidRPr="00866990" w:rsidRDefault="007B26D4" w:rsidP="007B26D4">
      <w:pPr>
        <w:rPr>
          <w:rFonts w:ascii="Arial" w:hAnsi="Arial" w:cs="Arial"/>
          <w:i/>
          <w:sz w:val="20"/>
          <w:szCs w:val="20"/>
          <w:lang w:val="en-GB"/>
        </w:rPr>
      </w:pPr>
      <w:r w:rsidRPr="00866990">
        <w:rPr>
          <w:rFonts w:ascii="Arial" w:hAnsi="Arial" w:cs="Arial"/>
          <w:i/>
          <w:sz w:val="20"/>
          <w:szCs w:val="20"/>
          <w:lang w:val="en-GB"/>
        </w:rPr>
        <w:lastRenderedPageBreak/>
        <w:t>Applications as part of a regulatory option</w:t>
      </w:r>
    </w:p>
    <w:p w:rsidR="007B26D4" w:rsidRPr="00866990" w:rsidRDefault="007B26D4" w:rsidP="007B26D4">
      <w:pPr>
        <w:rPr>
          <w:lang w:val="en-GB"/>
        </w:rPr>
      </w:pPr>
    </w:p>
    <w:p w:rsidR="007B26D4" w:rsidRPr="00866990" w:rsidRDefault="00C601FB" w:rsidP="007B26D4">
      <w:pPr>
        <w:rPr>
          <w:rFonts w:eastAsiaTheme="minorEastAsia"/>
          <w:vertAlign w:val="subscript"/>
          <w:lang w:val="en-GB"/>
        </w:rPr>
      </w:pPr>
      <m:oMathPara>
        <m:oMath>
          <m:sSub>
            <m:sSubPr>
              <m:ctrlPr>
                <w:rPr>
                  <w:rFonts w:ascii="Cambria Math" w:hAnsi="Cambria Math"/>
                  <w:i/>
                  <w:vertAlign w:val="subscript"/>
                  <w:lang w:val="en-GB"/>
                </w:rPr>
              </m:ctrlPr>
            </m:sSubPr>
            <m:e>
              <m:r>
                <w:rPr>
                  <w:rFonts w:ascii="Cambria Math" w:hAnsi="Cambria Math"/>
                  <w:vertAlign w:val="subscript"/>
                  <w:lang w:val="en-GB"/>
                </w:rPr>
                <m:t>Criterion4</m:t>
              </m:r>
            </m:e>
            <m:sub>
              <m:r>
                <w:rPr>
                  <w:rFonts w:ascii="Cambria Math" w:hAnsi="Cambria Math"/>
                  <w:vertAlign w:val="subscript"/>
                  <w:lang w:val="en-GB"/>
                </w:rPr>
                <m:t>Regulat</m:t>
              </m:r>
              <m:r>
                <w:rPr>
                  <w:rFonts w:ascii="Cambria Math" w:hAnsi="Cambria Math"/>
                  <w:vertAlign w:val="subscript"/>
                  <w:lang w:val="en-GB"/>
                </w:rPr>
                <m:t>ory Option</m:t>
              </m:r>
            </m:sub>
          </m:sSub>
          <m:r>
            <w:rPr>
              <w:rFonts w:ascii="Cambria Math" w:eastAsiaTheme="minorEastAsia" w:hAnsi="Cambria Math"/>
              <w:vertAlign w:val="subscript"/>
              <w:lang w:val="en-GB"/>
            </w:rPr>
            <m:t>=</m:t>
          </m:r>
          <m:nary>
            <m:naryPr>
              <m:chr m:val="∑"/>
              <m:limLoc m:val="undOvr"/>
              <m:ctrlPr>
                <w:rPr>
                  <w:rFonts w:ascii="Cambria Math" w:eastAsiaTheme="minorEastAsia" w:hAnsi="Cambria Math"/>
                  <w:i/>
                  <w:vertAlign w:val="subscript"/>
                  <w:lang w:val="en-GB"/>
                </w:rPr>
              </m:ctrlPr>
            </m:naryPr>
            <m:sub>
              <m:r>
                <w:rPr>
                  <w:rFonts w:ascii="Cambria Math" w:eastAsiaTheme="minorEastAsia" w:hAnsi="Cambria Math"/>
                  <w:vertAlign w:val="subscript"/>
                  <w:lang w:val="en-GB"/>
                </w:rPr>
                <m:t>a=1</m:t>
              </m:r>
            </m:sub>
            <m:sup>
              <m:r>
                <w:rPr>
                  <w:rFonts w:ascii="Cambria Math" w:eastAsiaTheme="minorEastAsia" w:hAnsi="Cambria Math"/>
                  <w:vertAlign w:val="subscript"/>
                  <w:lang w:val="en-GB"/>
                </w:rPr>
                <m:t>nb_applications</m:t>
              </m:r>
            </m:sup>
            <m:e>
              <m:sSub>
                <m:sSubPr>
                  <m:ctrlPr>
                    <w:rPr>
                      <w:rFonts w:ascii="Cambria Math" w:eastAsiaTheme="minorEastAsia" w:hAnsi="Cambria Math"/>
                      <w:i/>
                      <w:vertAlign w:val="subscript"/>
                      <w:lang w:val="en-GB"/>
                    </w:rPr>
                  </m:ctrlPr>
                </m:sSubPr>
                <m:e>
                  <m:r>
                    <w:rPr>
                      <w:rFonts w:ascii="Cambria Math" w:eastAsiaTheme="minorEastAsia" w:hAnsi="Cambria Math"/>
                      <w:vertAlign w:val="subscript"/>
                      <w:lang w:val="en-GB"/>
                    </w:rPr>
                    <m:t>Criterion4</m:t>
                  </m:r>
                </m:e>
                <m:sub>
                  <m:r>
                    <w:rPr>
                      <w:rFonts w:ascii="Cambria Math" w:eastAsiaTheme="minorEastAsia" w:hAnsi="Cambria Math"/>
                      <w:vertAlign w:val="subscript"/>
                      <w:lang w:val="en-GB"/>
                    </w:rPr>
                    <m:t>application a</m:t>
                  </m:r>
                </m:sub>
              </m:sSub>
              <m:r>
                <w:rPr>
                  <w:rFonts w:ascii="Cambria Math" w:eastAsiaTheme="minorEastAsia" w:hAnsi="Cambria Math"/>
                  <w:vertAlign w:val="subscript"/>
                  <w:lang w:val="en-GB"/>
                </w:rPr>
                <m:t>×</m:t>
              </m:r>
              <m:f>
                <m:fPr>
                  <m:ctrlPr>
                    <w:rPr>
                      <w:rFonts w:ascii="Cambria Math" w:eastAsiaTheme="minorEastAsia" w:hAnsi="Cambria Math"/>
                      <w:i/>
                      <w:vertAlign w:val="subscript"/>
                      <w:lang w:val="en-GB"/>
                    </w:rPr>
                  </m:ctrlPr>
                </m:fPr>
                <m:num>
                  <m:sSub>
                    <m:sSubPr>
                      <m:ctrlPr>
                        <w:rPr>
                          <w:rFonts w:ascii="Cambria Math" w:eastAsiaTheme="minorEastAsia" w:hAnsi="Cambria Math"/>
                          <w:i/>
                          <w:vertAlign w:val="subscript"/>
                          <w:lang w:val="en-GB"/>
                        </w:rPr>
                      </m:ctrlPr>
                    </m:sSubPr>
                    <m:e>
                      <m:r>
                        <w:rPr>
                          <w:rFonts w:ascii="Cambria Math" w:eastAsiaTheme="minorEastAsia" w:hAnsi="Cambria Math"/>
                          <w:vertAlign w:val="subscript"/>
                          <w:lang w:val="en-GB"/>
                        </w:rPr>
                        <m:t>BW</m:t>
                      </m:r>
                    </m:e>
                    <m:sub>
                      <m:r>
                        <w:rPr>
                          <w:rFonts w:ascii="Cambria Math" w:eastAsiaTheme="minorEastAsia" w:hAnsi="Cambria Math"/>
                          <w:vertAlign w:val="subscript"/>
                          <w:lang w:val="en-GB"/>
                        </w:rPr>
                        <m:t>a</m:t>
                      </m:r>
                    </m:sub>
                  </m:sSub>
                </m:num>
                <m:den>
                  <m:r>
                    <w:rPr>
                      <w:rFonts w:ascii="Cambria Math" w:eastAsiaTheme="minorEastAsia" w:hAnsi="Cambria Math"/>
                      <w:vertAlign w:val="subscript"/>
                      <w:lang w:val="en-GB"/>
                    </w:rPr>
                    <m:t>Total BW</m:t>
                  </m:r>
                </m:den>
              </m:f>
            </m:e>
          </m:nary>
        </m:oMath>
      </m:oMathPara>
    </w:p>
    <w:p w:rsidR="007B26D4" w:rsidRPr="00866990" w:rsidRDefault="007B26D4" w:rsidP="007B26D4">
      <w:pPr>
        <w:rPr>
          <w:rFonts w:ascii="Arial" w:hAnsi="Arial" w:cs="Arial"/>
          <w:sz w:val="20"/>
          <w:szCs w:val="20"/>
          <w:lang w:val="en-GB"/>
        </w:rPr>
      </w:pPr>
      <w:proofErr w:type="gramStart"/>
      <w:r w:rsidRPr="00866990">
        <w:rPr>
          <w:rFonts w:ascii="Arial" w:hAnsi="Arial" w:cs="Arial"/>
          <w:sz w:val="20"/>
          <w:szCs w:val="20"/>
          <w:lang w:val="en-GB"/>
        </w:rPr>
        <w:t>where</w:t>
      </w:r>
      <w:proofErr w:type="gramEnd"/>
    </w:p>
    <w:p w:rsidR="007B26D4" w:rsidRPr="00866990" w:rsidRDefault="007B26D4" w:rsidP="007B26D4">
      <w:pPr>
        <w:rPr>
          <w:rFonts w:eastAsiaTheme="minorEastAsia"/>
          <w:vertAlign w:val="subscript"/>
          <w:lang w:val="en-GB"/>
        </w:rPr>
      </w:pPr>
      <m:oMathPara>
        <m:oMath>
          <m:r>
            <w:rPr>
              <w:rFonts w:ascii="Cambria Math" w:hAnsi="Cambria Math"/>
              <w:vertAlign w:val="subscript"/>
              <w:lang w:val="en-GB"/>
            </w:rPr>
            <m:t>Total BW=</m:t>
          </m:r>
          <m:nary>
            <m:naryPr>
              <m:chr m:val="∑"/>
              <m:limLoc m:val="undOvr"/>
              <m:ctrlPr>
                <w:rPr>
                  <w:rFonts w:ascii="Cambria Math" w:hAnsi="Cambria Math"/>
                  <w:i/>
                  <w:vertAlign w:val="subscript"/>
                  <w:lang w:val="en-GB"/>
                </w:rPr>
              </m:ctrlPr>
            </m:naryPr>
            <m:sub>
              <m:r>
                <w:rPr>
                  <w:rFonts w:ascii="Cambria Math" w:hAnsi="Cambria Math"/>
                  <w:vertAlign w:val="subscript"/>
                  <w:lang w:val="en-GB"/>
                </w:rPr>
                <m:t>a=1</m:t>
              </m:r>
            </m:sub>
            <m:sup>
              <m:r>
                <w:rPr>
                  <w:rFonts w:ascii="Cambria Math" w:hAnsi="Cambria Math"/>
                  <w:vertAlign w:val="subscript"/>
                  <w:lang w:val="en-GB"/>
                </w:rPr>
                <m:t>nb_applications</m:t>
              </m:r>
            </m:sup>
            <m:e>
              <m:sSub>
                <m:sSubPr>
                  <m:ctrlPr>
                    <w:rPr>
                      <w:rFonts w:ascii="Cambria Math" w:hAnsi="Cambria Math"/>
                      <w:i/>
                      <w:vertAlign w:val="subscript"/>
                      <w:lang w:val="en-GB"/>
                    </w:rPr>
                  </m:ctrlPr>
                </m:sSubPr>
                <m:e>
                  <m:r>
                    <w:rPr>
                      <w:rFonts w:ascii="Cambria Math" w:hAnsi="Cambria Math"/>
                      <w:vertAlign w:val="subscript"/>
                      <w:lang w:val="en-GB"/>
                    </w:rPr>
                    <m:t>BW</m:t>
                  </m:r>
                </m:e>
                <m:sub>
                  <m:r>
                    <w:rPr>
                      <w:rFonts w:ascii="Cambria Math" w:hAnsi="Cambria Math"/>
                      <w:vertAlign w:val="subscript"/>
                      <w:lang w:val="en-GB"/>
                    </w:rPr>
                    <m:t>a</m:t>
                  </m:r>
                </m:sub>
              </m:sSub>
            </m:e>
          </m:nary>
          <m:r>
            <w:rPr>
              <w:rFonts w:ascii="Cambria Math" w:hAnsi="Cambria Math"/>
              <w:vertAlign w:val="subscript"/>
              <w:lang w:val="en-GB"/>
            </w:rPr>
            <m:t xml:space="preserve"> </m:t>
          </m:r>
        </m:oMath>
      </m:oMathPara>
    </w:p>
    <w:p w:rsidR="007B26D4" w:rsidRPr="00866990" w:rsidRDefault="007B26D4" w:rsidP="007B26D4">
      <w:pPr>
        <w:rPr>
          <w:rFonts w:eastAsiaTheme="minorEastAsia"/>
          <w:vertAlign w:val="subscript"/>
          <w:lang w:val="en-GB"/>
        </w:rPr>
      </w:pPr>
    </w:p>
    <w:p w:rsidR="007B26D4" w:rsidRPr="00866990" w:rsidRDefault="007B26D4" w:rsidP="007B26D4">
      <w:pPr>
        <w:rPr>
          <w:rFonts w:ascii="Arial" w:hAnsi="Arial" w:cs="Arial"/>
          <w:sz w:val="20"/>
          <w:szCs w:val="20"/>
          <w:lang w:val="en-GB"/>
        </w:rPr>
      </w:pPr>
      <w:r w:rsidRPr="00866990">
        <w:rPr>
          <w:rFonts w:ascii="Arial" w:hAnsi="Arial" w:cs="Arial"/>
          <w:sz w:val="20"/>
          <w:szCs w:val="20"/>
          <w:lang w:val="en-GB"/>
        </w:rPr>
        <w:t>Example on no change</w:t>
      </w:r>
    </w:p>
    <w:p w:rsidR="007B26D4" w:rsidRPr="00866990" w:rsidRDefault="00C601FB" w:rsidP="007B26D4">
      <w:pPr>
        <w:rPr>
          <w:vertAlign w:val="subscript"/>
          <w:lang w:val="en-GB"/>
        </w:rPr>
      </w:pPr>
      <m:oMathPara>
        <m:oMath>
          <m:sSub>
            <m:sSubPr>
              <m:ctrlPr>
                <w:rPr>
                  <w:rFonts w:ascii="Cambria Math" w:hAnsi="Cambria Math"/>
                  <w:i/>
                  <w:vertAlign w:val="subscript"/>
                  <w:lang w:val="en-GB"/>
                </w:rPr>
              </m:ctrlPr>
            </m:sSubPr>
            <m:e>
              <m:r>
                <w:rPr>
                  <w:rFonts w:ascii="Cambria Math" w:hAnsi="Cambria Math"/>
                  <w:vertAlign w:val="subscript"/>
                  <w:lang w:val="en-GB"/>
                </w:rPr>
                <m:t>Criterion4</m:t>
              </m:r>
            </m:e>
            <m:sub>
              <m:r>
                <w:rPr>
                  <w:rFonts w:ascii="Cambria Math" w:hAnsi="Cambria Math"/>
                  <w:vertAlign w:val="subscript"/>
                  <w:lang w:val="en-GB"/>
                </w:rPr>
                <m:t>no change</m:t>
              </m:r>
            </m:sub>
          </m:sSub>
          <m:r>
            <w:rPr>
              <w:rFonts w:ascii="Cambria Math" w:hAnsi="Cambria Math"/>
              <w:vertAlign w:val="subscript"/>
              <w:lang w:val="en-GB"/>
            </w:rPr>
            <m:t>=</m:t>
          </m:r>
          <m:sSub>
            <m:sSubPr>
              <m:ctrlPr>
                <w:rPr>
                  <w:rFonts w:ascii="Cambria Math" w:hAnsi="Cambria Math"/>
                  <w:i/>
                  <w:vertAlign w:val="subscript"/>
                  <w:lang w:val="en-GB"/>
                </w:rPr>
              </m:ctrlPr>
            </m:sSubPr>
            <m:e>
              <m:r>
                <w:rPr>
                  <w:rFonts w:ascii="Cambria Math" w:hAnsi="Cambria Math"/>
                  <w:vertAlign w:val="subscript"/>
                  <w:lang w:val="en-GB"/>
                </w:rPr>
                <m:t>Criterion4</m:t>
              </m:r>
            </m:e>
            <m:sub>
              <m:r>
                <w:rPr>
                  <w:rFonts w:ascii="Cambria Math" w:hAnsi="Cambria Math"/>
                  <w:vertAlign w:val="subscript"/>
                  <w:lang w:val="en-GB"/>
                </w:rPr>
                <m:t>T-DAB</m:t>
              </m:r>
            </m:sub>
          </m:sSub>
          <m:r>
            <w:rPr>
              <w:rFonts w:ascii="Cambria Math" w:hAnsi="Cambria Math"/>
              <w:vertAlign w:val="subscript"/>
              <w:lang w:val="en-GB"/>
            </w:rPr>
            <m:t>×</m:t>
          </m:r>
          <m:f>
            <m:fPr>
              <m:ctrlPr>
                <w:rPr>
                  <w:rFonts w:ascii="Cambria Math" w:hAnsi="Cambria Math"/>
                  <w:i/>
                  <w:vertAlign w:val="subscript"/>
                  <w:lang w:val="en-GB"/>
                </w:rPr>
              </m:ctrlPr>
            </m:fPr>
            <m:num>
              <m:sSub>
                <m:sSubPr>
                  <m:ctrlPr>
                    <w:rPr>
                      <w:rFonts w:ascii="Cambria Math" w:hAnsi="Cambria Math"/>
                      <w:i/>
                      <w:vertAlign w:val="subscript"/>
                      <w:lang w:val="en-GB"/>
                    </w:rPr>
                  </m:ctrlPr>
                </m:sSubPr>
                <m:e>
                  <m:r>
                    <w:rPr>
                      <w:rFonts w:ascii="Cambria Math" w:hAnsi="Cambria Math"/>
                      <w:vertAlign w:val="subscript"/>
                      <w:lang w:val="en-GB"/>
                    </w:rPr>
                    <m:t>BW</m:t>
                  </m:r>
                </m:e>
                <m:sub>
                  <m:r>
                    <w:rPr>
                      <w:rFonts w:ascii="Cambria Math" w:hAnsi="Cambria Math"/>
                      <w:vertAlign w:val="subscript"/>
                      <w:lang w:val="en-GB"/>
                    </w:rPr>
                    <m:t>T-DAB</m:t>
                  </m:r>
                </m:sub>
              </m:sSub>
            </m:num>
            <m:den>
              <m:r>
                <w:rPr>
                  <w:rFonts w:ascii="Cambria Math" w:hAnsi="Cambria Math"/>
                  <w:vertAlign w:val="subscript"/>
                  <w:lang w:val="en-GB"/>
                </w:rPr>
                <m:t>Total BW</m:t>
              </m:r>
            </m:den>
          </m:f>
          <m:r>
            <w:rPr>
              <w:rFonts w:ascii="Cambria Math" w:hAnsi="Cambria Math"/>
              <w:vertAlign w:val="subscript"/>
              <w:lang w:val="en-GB"/>
            </w:rPr>
            <m:t>+</m:t>
          </m:r>
          <m:sSub>
            <m:sSubPr>
              <m:ctrlPr>
                <w:rPr>
                  <w:rFonts w:ascii="Cambria Math" w:hAnsi="Cambria Math"/>
                  <w:i/>
                  <w:vertAlign w:val="subscript"/>
                  <w:lang w:val="en-GB"/>
                </w:rPr>
              </m:ctrlPr>
            </m:sSubPr>
            <m:e>
              <m:r>
                <w:rPr>
                  <w:rFonts w:ascii="Cambria Math" w:hAnsi="Cambria Math"/>
                  <w:vertAlign w:val="subscript"/>
                  <w:lang w:val="en-GB"/>
                </w:rPr>
                <m:t>Criterion4</m:t>
              </m:r>
            </m:e>
            <m:sub>
              <m:r>
                <w:rPr>
                  <w:rFonts w:ascii="Cambria Math" w:hAnsi="Cambria Math"/>
                  <w:vertAlign w:val="subscript"/>
                  <w:lang w:val="en-GB"/>
                </w:rPr>
                <m:t>S-DAB</m:t>
              </m:r>
            </m:sub>
          </m:sSub>
          <m:r>
            <w:rPr>
              <w:rFonts w:ascii="Cambria Math" w:hAnsi="Cambria Math"/>
              <w:vertAlign w:val="subscript"/>
              <w:lang w:val="en-GB"/>
            </w:rPr>
            <m:t>×</m:t>
          </m:r>
          <m:f>
            <m:fPr>
              <m:ctrlPr>
                <w:rPr>
                  <w:rFonts w:ascii="Cambria Math" w:hAnsi="Cambria Math"/>
                  <w:i/>
                  <w:vertAlign w:val="subscript"/>
                  <w:lang w:val="en-GB"/>
                </w:rPr>
              </m:ctrlPr>
            </m:fPr>
            <m:num>
              <m:sSub>
                <m:sSubPr>
                  <m:ctrlPr>
                    <w:rPr>
                      <w:rFonts w:ascii="Cambria Math" w:hAnsi="Cambria Math"/>
                      <w:i/>
                      <w:vertAlign w:val="subscript"/>
                      <w:lang w:val="en-GB"/>
                    </w:rPr>
                  </m:ctrlPr>
                </m:sSubPr>
                <m:e>
                  <m:r>
                    <w:rPr>
                      <w:rFonts w:ascii="Cambria Math" w:hAnsi="Cambria Math"/>
                      <w:vertAlign w:val="subscript"/>
                      <w:lang w:val="en-GB"/>
                    </w:rPr>
                    <m:t>BW</m:t>
                  </m:r>
                </m:e>
                <m:sub>
                  <m:r>
                    <w:rPr>
                      <w:rFonts w:ascii="Cambria Math" w:hAnsi="Cambria Math"/>
                      <w:vertAlign w:val="subscript"/>
                      <w:lang w:val="en-GB"/>
                    </w:rPr>
                    <m:t>S-DAB</m:t>
                  </m:r>
                </m:sub>
              </m:sSub>
            </m:num>
            <m:den>
              <m:r>
                <w:rPr>
                  <w:rFonts w:ascii="Cambria Math" w:hAnsi="Cambria Math"/>
                  <w:vertAlign w:val="subscript"/>
                  <w:lang w:val="en-GB"/>
                </w:rPr>
                <m:t>Total BW</m:t>
              </m:r>
            </m:den>
          </m:f>
          <m:r>
            <w:rPr>
              <w:rFonts w:ascii="Cambria Math" w:hAnsi="Cambria Math"/>
              <w:vertAlign w:val="subscript"/>
              <w:lang w:val="en-GB"/>
            </w:rPr>
            <m:t>=</m:t>
          </m:r>
          <m:sSub>
            <m:sSubPr>
              <m:ctrlPr>
                <w:rPr>
                  <w:rFonts w:ascii="Cambria Math" w:hAnsi="Cambria Math"/>
                  <w:i/>
                  <w:vertAlign w:val="subscript"/>
                  <w:lang w:val="en-GB"/>
                </w:rPr>
              </m:ctrlPr>
            </m:sSubPr>
            <m:e>
              <m:r>
                <w:rPr>
                  <w:rFonts w:ascii="Cambria Math" w:hAnsi="Cambria Math"/>
                  <w:vertAlign w:val="subscript"/>
                  <w:lang w:val="en-GB"/>
                </w:rPr>
                <m:t>Criterion4</m:t>
              </m:r>
            </m:e>
            <m:sub>
              <m:r>
                <w:rPr>
                  <w:rFonts w:ascii="Cambria Math" w:hAnsi="Cambria Math"/>
                  <w:vertAlign w:val="subscript"/>
                  <w:lang w:val="en-GB"/>
                </w:rPr>
                <m:t>T-DAB</m:t>
              </m:r>
            </m:sub>
          </m:sSub>
          <m:r>
            <w:rPr>
              <w:rFonts w:ascii="Cambria Math" w:hAnsi="Cambria Math"/>
              <w:vertAlign w:val="subscript"/>
              <w:lang w:val="en-GB"/>
            </w:rPr>
            <m:t>×</m:t>
          </m:r>
          <m:f>
            <m:fPr>
              <m:ctrlPr>
                <w:rPr>
                  <w:rFonts w:ascii="Cambria Math" w:hAnsi="Cambria Math"/>
                  <w:i/>
                  <w:vertAlign w:val="subscript"/>
                  <w:lang w:val="en-GB"/>
                </w:rPr>
              </m:ctrlPr>
            </m:fPr>
            <m:num>
              <m:r>
                <w:rPr>
                  <w:rFonts w:ascii="Cambria Math" w:hAnsi="Cambria Math"/>
                  <w:vertAlign w:val="subscript"/>
                  <w:lang w:val="en-GB"/>
                </w:rPr>
                <m:t>27,5</m:t>
              </m:r>
            </m:num>
            <m:den>
              <m:r>
                <w:rPr>
                  <w:rFonts w:ascii="Cambria Math" w:hAnsi="Cambria Math"/>
                  <w:vertAlign w:val="subscript"/>
                  <w:lang w:val="en-GB"/>
                </w:rPr>
                <m:t>40</m:t>
              </m:r>
            </m:den>
          </m:f>
          <m:r>
            <w:rPr>
              <w:rFonts w:ascii="Cambria Math" w:hAnsi="Cambria Math"/>
              <w:vertAlign w:val="subscript"/>
              <w:lang w:val="en-GB"/>
            </w:rPr>
            <m:t>+</m:t>
          </m:r>
          <m:sSub>
            <m:sSubPr>
              <m:ctrlPr>
                <w:rPr>
                  <w:rFonts w:ascii="Cambria Math" w:hAnsi="Cambria Math"/>
                  <w:i/>
                  <w:vertAlign w:val="subscript"/>
                  <w:lang w:val="en-GB"/>
                </w:rPr>
              </m:ctrlPr>
            </m:sSubPr>
            <m:e>
              <m:r>
                <w:rPr>
                  <w:rFonts w:ascii="Cambria Math" w:hAnsi="Cambria Math"/>
                  <w:vertAlign w:val="subscript"/>
                  <w:lang w:val="en-GB"/>
                </w:rPr>
                <m:t>Criterion4</m:t>
              </m:r>
            </m:e>
            <m:sub>
              <m:r>
                <w:rPr>
                  <w:rFonts w:ascii="Cambria Math" w:hAnsi="Cambria Math"/>
                  <w:vertAlign w:val="subscript"/>
                  <w:lang w:val="en-GB"/>
                </w:rPr>
                <m:t>S-DAB</m:t>
              </m:r>
            </m:sub>
          </m:sSub>
          <m:r>
            <w:rPr>
              <w:rFonts w:ascii="Cambria Math" w:hAnsi="Cambria Math"/>
              <w:vertAlign w:val="subscript"/>
              <w:lang w:val="en-GB"/>
            </w:rPr>
            <m:t>×</m:t>
          </m:r>
          <m:f>
            <m:fPr>
              <m:ctrlPr>
                <w:rPr>
                  <w:rFonts w:ascii="Cambria Math" w:hAnsi="Cambria Math"/>
                  <w:i/>
                  <w:vertAlign w:val="subscript"/>
                  <w:lang w:val="en-GB"/>
                </w:rPr>
              </m:ctrlPr>
            </m:fPr>
            <m:num>
              <m:r>
                <w:rPr>
                  <w:rFonts w:ascii="Cambria Math" w:hAnsi="Cambria Math"/>
                  <w:vertAlign w:val="subscript"/>
                  <w:lang w:val="en-GB"/>
                </w:rPr>
                <m:t>12,5</m:t>
              </m:r>
            </m:num>
            <m:den>
              <m:r>
                <w:rPr>
                  <w:rFonts w:ascii="Cambria Math" w:hAnsi="Cambria Math"/>
                  <w:vertAlign w:val="subscript"/>
                  <w:lang w:val="en-GB"/>
                </w:rPr>
                <m:t>40</m:t>
              </m:r>
            </m:den>
          </m:f>
        </m:oMath>
      </m:oMathPara>
    </w:p>
    <w:p w:rsidR="007B26D4" w:rsidRPr="00866990" w:rsidRDefault="007B26D4" w:rsidP="007B26D4">
      <w:pPr>
        <w:rPr>
          <w:rFonts w:ascii="Arial" w:hAnsi="Arial" w:cs="Arial"/>
          <w:sz w:val="20"/>
          <w:szCs w:val="20"/>
          <w:lang w:val="en-GB"/>
        </w:rPr>
      </w:pPr>
    </w:p>
    <w:p w:rsidR="008B6C8E" w:rsidRPr="00B6025C" w:rsidRDefault="008B6C8E" w:rsidP="008B6C8E">
      <w:pPr>
        <w:pStyle w:val="NormalWeb"/>
        <w:spacing w:before="0" w:beforeAutospacing="0" w:after="200" w:afterAutospacing="0"/>
        <w:rPr>
          <w:rFonts w:ascii="Arial" w:hAnsi="Arial" w:cs="Arial"/>
          <w:color w:val="000000"/>
          <w:sz w:val="20"/>
          <w:szCs w:val="20"/>
          <w:lang w:val="en-US"/>
        </w:rPr>
      </w:pPr>
      <w:r w:rsidRPr="00B6025C">
        <w:rPr>
          <w:rFonts w:ascii="Arial" w:hAnsi="Arial" w:cs="Arial"/>
          <w:b/>
          <w:color w:val="000000"/>
          <w:sz w:val="20"/>
          <w:szCs w:val="20"/>
          <w:lang w:val="en-GB"/>
        </w:rPr>
        <w:t>List of issues to be discussed in the ECO forum with respect to criterion 4</w:t>
      </w:r>
    </w:p>
    <w:p w:rsidR="008B6C8E" w:rsidRPr="007B26D4" w:rsidRDefault="008B6C8E"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 xml:space="preserve">Investigate possible problems having absolute marks with respect to some criteria and relative marks with respect to others. </w:t>
      </w:r>
    </w:p>
    <w:p w:rsidR="007B26D4" w:rsidRDefault="008B6C8E"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How to handle a criterion when we don´t have the relevant information available for all applications considered?</w:t>
      </w:r>
    </w:p>
    <w:p w:rsidR="008B6C8E" w:rsidRPr="007B26D4" w:rsidRDefault="008B6C8E"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How should we handle the flexibility built-in in regulatory options 2 and 3?</w:t>
      </w:r>
    </w:p>
    <w:p w:rsidR="008B6C8E" w:rsidRPr="007B26D4" w:rsidRDefault="008B6C8E"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Further study the idea with respect to this criterion.</w:t>
      </w:r>
    </w:p>
    <w:p w:rsidR="008B6C8E" w:rsidRPr="007B26D4" w:rsidRDefault="008B6C8E"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How to assess an application (i.e. terrestrial broadcasting and S-DAB) that had the opportunity to be deployed under the existing regulatory framework and was not deployed?</w:t>
      </w:r>
    </w:p>
    <w:p w:rsidR="008B6C8E" w:rsidRPr="00B6025C" w:rsidRDefault="008B6C8E" w:rsidP="008B6C8E">
      <w:pPr>
        <w:spacing w:after="0" w:line="240" w:lineRule="auto"/>
        <w:rPr>
          <w:rFonts w:ascii="Arial" w:hAnsi="Arial" w:cs="Arial"/>
          <w:color w:val="000000"/>
          <w:sz w:val="20"/>
          <w:szCs w:val="20"/>
          <w:lang w:val="en-US"/>
        </w:rPr>
      </w:pPr>
    </w:p>
    <w:p w:rsidR="007E729B" w:rsidRPr="00B6025C" w:rsidRDefault="007E729B">
      <w:pPr>
        <w:rPr>
          <w:rFonts w:ascii="Arial" w:eastAsia="Times New Roman" w:hAnsi="Arial" w:cs="Arial"/>
          <w:color w:val="000000"/>
          <w:sz w:val="20"/>
          <w:szCs w:val="20"/>
          <w:lang w:val="en-US" w:eastAsia="sv-SE"/>
        </w:rPr>
      </w:pPr>
    </w:p>
    <w:p w:rsidR="007E729B" w:rsidRPr="00B6025C" w:rsidRDefault="007E729B" w:rsidP="007E729B">
      <w:pPr>
        <w:pStyle w:val="NormalWeb"/>
        <w:spacing w:before="0" w:beforeAutospacing="0" w:after="200" w:afterAutospacing="0"/>
        <w:rPr>
          <w:rFonts w:ascii="Arial" w:hAnsi="Arial" w:cs="Arial"/>
          <w:color w:val="000000"/>
          <w:sz w:val="20"/>
          <w:szCs w:val="20"/>
          <w:lang w:val="en-US"/>
        </w:rPr>
      </w:pPr>
      <w:r w:rsidRPr="00B6025C">
        <w:rPr>
          <w:rFonts w:ascii="Arial" w:hAnsi="Arial" w:cs="Arial"/>
          <w:b/>
          <w:color w:val="000000"/>
          <w:sz w:val="20"/>
          <w:szCs w:val="20"/>
          <w:lang w:val="en-GB"/>
        </w:rPr>
        <w:t>Criterion 5</w:t>
      </w:r>
      <w:r w:rsidRPr="00B6025C">
        <w:rPr>
          <w:rFonts w:ascii="Arial" w:hAnsi="Arial" w:cs="Arial"/>
          <w:color w:val="000000"/>
          <w:sz w:val="20"/>
          <w:szCs w:val="20"/>
          <w:lang w:val="en-GB"/>
        </w:rPr>
        <w:t>: Potential for economy of scale (need and potential for harmonisation within and outside CEPT)</w:t>
      </w:r>
    </w:p>
    <w:p w:rsidR="007E729B" w:rsidRPr="00B6025C" w:rsidRDefault="007E729B" w:rsidP="007E729B">
      <w:pPr>
        <w:pStyle w:val="NormalWeb"/>
        <w:spacing w:before="0" w:beforeAutospacing="0" w:after="200" w:afterAutospacing="0"/>
        <w:rPr>
          <w:rFonts w:ascii="Arial" w:hAnsi="Arial" w:cs="Arial"/>
          <w:color w:val="000000"/>
          <w:sz w:val="20"/>
          <w:szCs w:val="20"/>
          <w:lang w:val="en-US"/>
        </w:rPr>
      </w:pPr>
      <w:r w:rsidRPr="00B6025C">
        <w:rPr>
          <w:rFonts w:ascii="Arial" w:hAnsi="Arial" w:cs="Arial"/>
          <w:color w:val="000000"/>
          <w:sz w:val="20"/>
          <w:szCs w:val="20"/>
          <w:lang w:val="en-GB"/>
        </w:rPr>
        <w:t>This criterion was not discussed in Bologna and has to be d</w:t>
      </w:r>
      <w:proofErr w:type="spellStart"/>
      <w:r w:rsidRPr="00B6025C">
        <w:rPr>
          <w:rFonts w:ascii="Arial" w:hAnsi="Arial" w:cs="Arial"/>
          <w:color w:val="000000"/>
          <w:sz w:val="20"/>
          <w:szCs w:val="20"/>
          <w:lang w:val="en-US"/>
        </w:rPr>
        <w:t>escribed</w:t>
      </w:r>
      <w:proofErr w:type="spellEnd"/>
      <w:r w:rsidRPr="00B6025C">
        <w:rPr>
          <w:rFonts w:ascii="Arial" w:hAnsi="Arial" w:cs="Arial"/>
          <w:color w:val="000000"/>
          <w:sz w:val="20"/>
          <w:szCs w:val="20"/>
          <w:lang w:val="en-US"/>
        </w:rPr>
        <w:t xml:space="preserve"> regarding how to apply the concept with respect to it.</w:t>
      </w:r>
      <w:r w:rsidRPr="00B6025C">
        <w:rPr>
          <w:rFonts w:ascii="Arial" w:hAnsi="Arial" w:cs="Arial"/>
          <w:color w:val="000000"/>
          <w:sz w:val="20"/>
          <w:szCs w:val="20"/>
          <w:lang w:val="en-US"/>
        </w:rPr>
        <w:br/>
      </w:r>
    </w:p>
    <w:p w:rsidR="007E729B" w:rsidRPr="00B6025C" w:rsidRDefault="007E729B" w:rsidP="007E729B">
      <w:pPr>
        <w:pStyle w:val="NormalWeb"/>
        <w:spacing w:before="0" w:beforeAutospacing="0" w:after="200" w:afterAutospacing="0"/>
        <w:rPr>
          <w:rFonts w:ascii="Arial" w:hAnsi="Arial" w:cs="Arial"/>
          <w:color w:val="000000"/>
          <w:sz w:val="20"/>
          <w:szCs w:val="20"/>
          <w:lang w:val="en-US"/>
        </w:rPr>
      </w:pPr>
      <w:r w:rsidRPr="00B6025C">
        <w:rPr>
          <w:rFonts w:ascii="Arial" w:hAnsi="Arial" w:cs="Arial"/>
          <w:b/>
          <w:color w:val="000000"/>
          <w:sz w:val="20"/>
          <w:szCs w:val="20"/>
          <w:lang w:val="en-GB"/>
        </w:rPr>
        <w:t>List of issues to be discussed in the ECO forum with respect to criterion 5</w:t>
      </w:r>
    </w:p>
    <w:p w:rsidR="007E729B" w:rsidRPr="007B26D4" w:rsidRDefault="007E729B"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 xml:space="preserve">Investigate possible problems having absolute marks with respect to some criteria and relative marks with respect to others. </w:t>
      </w:r>
    </w:p>
    <w:p w:rsidR="007E729B" w:rsidRPr="007B26D4" w:rsidRDefault="007E729B"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How to handle a criterion when we don´t have the relevant information available for all applications considered?</w:t>
      </w:r>
    </w:p>
    <w:p w:rsidR="007E729B" w:rsidRPr="007B26D4" w:rsidRDefault="007E729B"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How should we handle the flexibility built-in in regulatory option 2 and 3?</w:t>
      </w:r>
    </w:p>
    <w:p w:rsidR="007E729B" w:rsidRPr="007B26D4" w:rsidRDefault="007E729B" w:rsidP="007B26D4">
      <w:pPr>
        <w:pStyle w:val="Paragraphedeliste"/>
        <w:numPr>
          <w:ilvl w:val="0"/>
          <w:numId w:val="4"/>
        </w:numPr>
        <w:spacing w:after="0" w:line="240" w:lineRule="auto"/>
        <w:rPr>
          <w:rFonts w:ascii="Arial" w:eastAsia="Times New Roman" w:hAnsi="Arial" w:cs="Arial"/>
          <w:color w:val="000000"/>
          <w:sz w:val="20"/>
          <w:szCs w:val="20"/>
          <w:lang w:val="en-GB" w:eastAsia="sv-SE"/>
        </w:rPr>
      </w:pPr>
      <w:r w:rsidRPr="007B26D4">
        <w:rPr>
          <w:rFonts w:ascii="Arial" w:eastAsia="Times New Roman" w:hAnsi="Arial" w:cs="Arial"/>
          <w:color w:val="000000"/>
          <w:sz w:val="20"/>
          <w:szCs w:val="20"/>
          <w:lang w:val="en-GB" w:eastAsia="sv-SE"/>
        </w:rPr>
        <w:t>How to assess an application (i.e. terrestrial broadcasting and S-DAB) that had the opportunity to be deployed under the existing regulatory framework and was not deployed?</w:t>
      </w:r>
    </w:p>
    <w:p w:rsidR="006B136D" w:rsidRPr="00B6025C" w:rsidRDefault="006B136D">
      <w:pPr>
        <w:rPr>
          <w:rFonts w:ascii="Arial" w:eastAsia="Times New Roman" w:hAnsi="Arial" w:cs="Arial"/>
          <w:color w:val="000000"/>
          <w:sz w:val="20"/>
          <w:szCs w:val="20"/>
          <w:lang w:val="en-US" w:eastAsia="sv-SE"/>
        </w:rPr>
      </w:pPr>
      <w:r w:rsidRPr="00B6025C">
        <w:rPr>
          <w:rFonts w:ascii="Arial" w:eastAsia="Times New Roman" w:hAnsi="Arial" w:cs="Arial"/>
          <w:color w:val="000000"/>
          <w:sz w:val="20"/>
          <w:szCs w:val="20"/>
          <w:lang w:val="en-US" w:eastAsia="sv-SE"/>
        </w:rPr>
        <w:br w:type="page"/>
      </w:r>
    </w:p>
    <w:p w:rsidR="007E729B" w:rsidRPr="007B26D4" w:rsidRDefault="007B26D4" w:rsidP="007E729B">
      <w:pPr>
        <w:spacing w:line="240" w:lineRule="auto"/>
        <w:rPr>
          <w:rFonts w:ascii="Arial" w:eastAsia="Times New Roman" w:hAnsi="Arial" w:cs="Arial"/>
          <w:b/>
          <w:color w:val="000000"/>
          <w:sz w:val="20"/>
          <w:szCs w:val="20"/>
          <w:lang w:val="en-US" w:eastAsia="sv-SE"/>
        </w:rPr>
      </w:pPr>
      <w:r w:rsidRPr="007B26D4">
        <w:rPr>
          <w:rFonts w:ascii="Arial" w:eastAsia="Times New Roman" w:hAnsi="Arial" w:cs="Arial"/>
          <w:b/>
          <w:color w:val="000000"/>
          <w:sz w:val="20"/>
          <w:szCs w:val="20"/>
          <w:lang w:val="en-US" w:eastAsia="sv-SE"/>
        </w:rPr>
        <w:lastRenderedPageBreak/>
        <w:t xml:space="preserve">Annex 2 - </w:t>
      </w:r>
      <w:r w:rsidR="006B136D" w:rsidRPr="007B26D4">
        <w:rPr>
          <w:rFonts w:ascii="Arial" w:eastAsia="Times New Roman" w:hAnsi="Arial" w:cs="Arial"/>
          <w:b/>
          <w:color w:val="000000"/>
          <w:sz w:val="20"/>
          <w:szCs w:val="20"/>
          <w:lang w:val="en-US" w:eastAsia="sv-SE"/>
        </w:rPr>
        <w:t xml:space="preserve">Proposal from the </w:t>
      </w:r>
      <w:r w:rsidRPr="007B26D4">
        <w:rPr>
          <w:rFonts w:ascii="Arial" w:eastAsia="Times New Roman" w:hAnsi="Arial" w:cs="Arial"/>
          <w:b/>
          <w:color w:val="000000"/>
          <w:sz w:val="20"/>
          <w:szCs w:val="20"/>
          <w:lang w:val="en-US" w:eastAsia="sv-SE"/>
        </w:rPr>
        <w:t xml:space="preserve">DG </w:t>
      </w:r>
      <w:r w:rsidR="006B136D" w:rsidRPr="007B26D4">
        <w:rPr>
          <w:rFonts w:ascii="Arial" w:eastAsia="Times New Roman" w:hAnsi="Arial" w:cs="Arial"/>
          <w:b/>
          <w:color w:val="000000"/>
          <w:sz w:val="20"/>
          <w:szCs w:val="20"/>
          <w:lang w:val="en-US" w:eastAsia="sv-SE"/>
        </w:rPr>
        <w:t xml:space="preserve">coordinator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014"/>
        <w:gridCol w:w="650"/>
        <w:gridCol w:w="3450"/>
        <w:gridCol w:w="1676"/>
        <w:gridCol w:w="1468"/>
      </w:tblGrid>
      <w:tr w:rsidR="006B136D" w:rsidRPr="00B6025C" w:rsidTr="00CC5E6F">
        <w:tc>
          <w:tcPr>
            <w:tcW w:w="1030" w:type="dxa"/>
            <w:shd w:val="clear" w:color="auto" w:fill="auto"/>
          </w:tcPr>
          <w:p w:rsidR="006B136D" w:rsidRPr="00B6025C" w:rsidRDefault="006B136D" w:rsidP="00CC5E6F">
            <w:pPr>
              <w:rPr>
                <w:rFonts w:ascii="Arial" w:eastAsia="Calibri" w:hAnsi="Arial" w:cs="Arial"/>
                <w:color w:val="000000"/>
                <w:sz w:val="20"/>
                <w:szCs w:val="20"/>
                <w:lang w:val="en-GB" w:eastAsia="sv-SE"/>
              </w:rPr>
            </w:pPr>
            <w:r w:rsidRPr="00B6025C">
              <w:rPr>
                <w:rFonts w:ascii="Arial" w:eastAsia="Calibri" w:hAnsi="Arial" w:cs="Arial"/>
                <w:b/>
                <w:color w:val="000000"/>
                <w:sz w:val="20"/>
                <w:szCs w:val="20"/>
                <w:lang w:val="en-GB" w:eastAsia="sv-SE"/>
              </w:rPr>
              <w:t>Priority</w:t>
            </w:r>
          </w:p>
        </w:tc>
        <w:tc>
          <w:tcPr>
            <w:tcW w:w="1014" w:type="dxa"/>
            <w:shd w:val="clear" w:color="auto" w:fill="auto"/>
          </w:tcPr>
          <w:p w:rsidR="006B136D" w:rsidRPr="00B6025C" w:rsidRDefault="006B136D" w:rsidP="00CC5E6F">
            <w:pPr>
              <w:rPr>
                <w:rFonts w:ascii="Arial" w:eastAsia="Calibri" w:hAnsi="Arial" w:cs="Arial"/>
                <w:color w:val="000000"/>
                <w:sz w:val="20"/>
                <w:szCs w:val="20"/>
                <w:lang w:val="en-GB" w:eastAsia="sv-SE"/>
              </w:rPr>
            </w:pPr>
            <w:r w:rsidRPr="00B6025C">
              <w:rPr>
                <w:rFonts w:ascii="Arial" w:eastAsia="Calibri" w:hAnsi="Arial" w:cs="Arial"/>
                <w:b/>
                <w:color w:val="000000"/>
                <w:sz w:val="20"/>
                <w:szCs w:val="20"/>
                <w:lang w:val="en-GB" w:eastAsia="sv-SE"/>
              </w:rPr>
              <w:t>Weight</w:t>
            </w:r>
          </w:p>
        </w:tc>
        <w:tc>
          <w:tcPr>
            <w:tcW w:w="650" w:type="dxa"/>
            <w:shd w:val="clear" w:color="auto" w:fill="auto"/>
          </w:tcPr>
          <w:p w:rsidR="006B136D" w:rsidRPr="00B6025C" w:rsidRDefault="006B136D" w:rsidP="00CC5E6F">
            <w:pPr>
              <w:rPr>
                <w:rFonts w:ascii="Arial" w:eastAsia="Calibri" w:hAnsi="Arial" w:cs="Arial"/>
                <w:color w:val="000000"/>
                <w:sz w:val="20"/>
                <w:szCs w:val="20"/>
                <w:lang w:val="en-GB" w:eastAsia="sv-SE"/>
              </w:rPr>
            </w:pPr>
            <w:r w:rsidRPr="00B6025C">
              <w:rPr>
                <w:rFonts w:ascii="Arial" w:eastAsia="Calibri" w:hAnsi="Arial" w:cs="Arial"/>
                <w:b/>
                <w:color w:val="000000"/>
                <w:sz w:val="20"/>
                <w:szCs w:val="20"/>
                <w:lang w:val="en-GB" w:eastAsia="sv-SE"/>
              </w:rPr>
              <w:t>No</w:t>
            </w:r>
          </w:p>
        </w:tc>
        <w:tc>
          <w:tcPr>
            <w:tcW w:w="3450" w:type="dxa"/>
            <w:shd w:val="clear" w:color="auto" w:fill="auto"/>
          </w:tcPr>
          <w:p w:rsidR="006B136D" w:rsidRPr="00B6025C" w:rsidRDefault="006B136D" w:rsidP="00CC5E6F">
            <w:pPr>
              <w:rPr>
                <w:rFonts w:ascii="Arial" w:eastAsia="Calibri" w:hAnsi="Arial" w:cs="Arial"/>
                <w:color w:val="000000"/>
                <w:sz w:val="20"/>
                <w:szCs w:val="20"/>
                <w:lang w:val="en-GB" w:eastAsia="sv-SE"/>
              </w:rPr>
            </w:pPr>
            <w:r w:rsidRPr="00B6025C">
              <w:rPr>
                <w:rFonts w:ascii="Arial" w:eastAsia="Calibri" w:hAnsi="Arial" w:cs="Arial"/>
                <w:b/>
                <w:color w:val="000000"/>
                <w:sz w:val="20"/>
                <w:szCs w:val="20"/>
                <w:lang w:val="en-GB" w:eastAsia="sv-SE"/>
              </w:rPr>
              <w:t>Criterion</w:t>
            </w:r>
          </w:p>
        </w:tc>
        <w:tc>
          <w:tcPr>
            <w:tcW w:w="1676" w:type="dxa"/>
            <w:shd w:val="clear" w:color="auto" w:fill="auto"/>
          </w:tcPr>
          <w:p w:rsidR="006B136D" w:rsidRPr="00B6025C" w:rsidRDefault="006B136D" w:rsidP="00CC5E6F">
            <w:pPr>
              <w:rPr>
                <w:rFonts w:ascii="Arial" w:eastAsia="Calibri" w:hAnsi="Arial" w:cs="Arial"/>
                <w:b/>
                <w:color w:val="000000"/>
                <w:sz w:val="20"/>
                <w:szCs w:val="20"/>
                <w:lang w:val="en-GB" w:eastAsia="sv-SE"/>
              </w:rPr>
            </w:pPr>
            <w:r w:rsidRPr="00B6025C">
              <w:rPr>
                <w:rFonts w:ascii="Arial" w:eastAsia="Calibri" w:hAnsi="Arial" w:cs="Arial"/>
                <w:b/>
                <w:color w:val="000000"/>
                <w:sz w:val="20"/>
                <w:szCs w:val="20"/>
                <w:lang w:val="en-GB" w:eastAsia="sv-SE"/>
              </w:rPr>
              <w:t>Results</w:t>
            </w:r>
          </w:p>
        </w:tc>
        <w:tc>
          <w:tcPr>
            <w:tcW w:w="1468" w:type="dxa"/>
            <w:shd w:val="clear" w:color="auto" w:fill="auto"/>
          </w:tcPr>
          <w:p w:rsidR="006B136D" w:rsidRPr="00B6025C" w:rsidRDefault="006B136D" w:rsidP="00CC5E6F">
            <w:pPr>
              <w:rPr>
                <w:rFonts w:ascii="Arial" w:eastAsia="Calibri" w:hAnsi="Arial" w:cs="Arial"/>
                <w:b/>
                <w:color w:val="000000"/>
                <w:sz w:val="20"/>
                <w:szCs w:val="20"/>
                <w:lang w:val="en-GB" w:eastAsia="sv-SE"/>
              </w:rPr>
            </w:pPr>
            <w:r w:rsidRPr="00B6025C">
              <w:rPr>
                <w:rFonts w:ascii="Arial" w:eastAsia="Calibri" w:hAnsi="Arial" w:cs="Arial"/>
                <w:b/>
                <w:color w:val="000000"/>
                <w:sz w:val="20"/>
                <w:szCs w:val="20"/>
                <w:lang w:val="en-GB" w:eastAsia="sv-SE"/>
              </w:rPr>
              <w:t>Points</w:t>
            </w:r>
          </w:p>
        </w:tc>
      </w:tr>
      <w:tr w:rsidR="006B136D" w:rsidRPr="00B6025C" w:rsidTr="006B136D">
        <w:trPr>
          <w:trHeight w:val="367"/>
        </w:trPr>
        <w:tc>
          <w:tcPr>
            <w:tcW w:w="1030" w:type="dxa"/>
            <w:vMerge w:val="restart"/>
            <w:shd w:val="clear" w:color="auto" w:fill="auto"/>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High</w:t>
            </w:r>
          </w:p>
        </w:tc>
        <w:tc>
          <w:tcPr>
            <w:tcW w:w="1014" w:type="dxa"/>
            <w:shd w:val="clear" w:color="auto" w:fill="D9D9D9" w:themeFill="background1" w:themeFillShade="D9"/>
            <w:vAlign w:val="center"/>
          </w:tcPr>
          <w:p w:rsidR="006B136D" w:rsidRPr="00B6025C" w:rsidRDefault="00F379CE" w:rsidP="00CC5E6F">
            <w:pPr>
              <w:jc w:val="center"/>
              <w:rPr>
                <w:rFonts w:ascii="Arial" w:eastAsia="Calibri" w:hAnsi="Arial" w:cs="Arial"/>
                <w:sz w:val="20"/>
                <w:szCs w:val="20"/>
                <w:lang w:val="en-GB"/>
              </w:rPr>
            </w:pPr>
            <w:r>
              <w:rPr>
                <w:rFonts w:ascii="Arial" w:eastAsia="Calibri" w:hAnsi="Arial" w:cs="Arial"/>
                <w:sz w:val="20"/>
                <w:szCs w:val="20"/>
                <w:lang w:val="en-GB"/>
              </w:rPr>
              <w:t>[</w:t>
            </w:r>
            <w:r w:rsidR="006B136D" w:rsidRPr="00B6025C">
              <w:rPr>
                <w:rFonts w:ascii="Arial" w:eastAsia="Calibri" w:hAnsi="Arial" w:cs="Arial"/>
                <w:sz w:val="20"/>
                <w:szCs w:val="20"/>
                <w:lang w:val="en-GB"/>
              </w:rPr>
              <w:t>2</w:t>
            </w:r>
            <w:r>
              <w:rPr>
                <w:rFonts w:ascii="Arial" w:eastAsia="Calibri" w:hAnsi="Arial" w:cs="Arial"/>
                <w:sz w:val="20"/>
                <w:szCs w:val="20"/>
                <w:lang w:val="en-GB"/>
              </w:rPr>
              <w:t>]</w:t>
            </w:r>
          </w:p>
        </w:tc>
        <w:tc>
          <w:tcPr>
            <w:tcW w:w="650" w:type="dxa"/>
            <w:shd w:val="clear" w:color="auto" w:fill="D9D9D9" w:themeFill="background1" w:themeFillShade="D9"/>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3a</w:t>
            </w:r>
          </w:p>
        </w:tc>
        <w:tc>
          <w:tcPr>
            <w:tcW w:w="3450" w:type="dxa"/>
            <w:shd w:val="clear" w:color="auto" w:fill="D9D9D9" w:themeFill="background1" w:themeFillShade="D9"/>
          </w:tcPr>
          <w:p w:rsidR="006B136D" w:rsidRPr="00B6025C" w:rsidRDefault="006B136D" w:rsidP="00CC5E6F">
            <w:pPr>
              <w:rPr>
                <w:rFonts w:ascii="Arial" w:eastAsia="Calibri" w:hAnsi="Arial" w:cs="Arial"/>
                <w:sz w:val="20"/>
                <w:szCs w:val="20"/>
                <w:lang w:val="en-GB"/>
              </w:rPr>
            </w:pPr>
            <w:r w:rsidRPr="00B6025C">
              <w:rPr>
                <w:rFonts w:ascii="Arial" w:eastAsia="Calibri" w:hAnsi="Arial" w:cs="Arial"/>
                <w:sz w:val="20"/>
                <w:szCs w:val="20"/>
                <w:lang w:val="en-GB"/>
              </w:rPr>
              <w:t>Consumer surplus</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r w:rsidR="006B136D" w:rsidRPr="00B6025C" w:rsidTr="006B136D">
        <w:tc>
          <w:tcPr>
            <w:tcW w:w="1030" w:type="dxa"/>
            <w:vMerge/>
            <w:shd w:val="clear" w:color="auto" w:fill="auto"/>
            <w:vAlign w:val="center"/>
          </w:tcPr>
          <w:p w:rsidR="006B136D" w:rsidRPr="00B6025C" w:rsidRDefault="006B136D" w:rsidP="00CC5E6F">
            <w:pPr>
              <w:jc w:val="center"/>
              <w:rPr>
                <w:rFonts w:ascii="Arial" w:eastAsia="Calibri" w:hAnsi="Arial" w:cs="Arial"/>
                <w:sz w:val="20"/>
                <w:szCs w:val="20"/>
                <w:lang w:val="en-GB"/>
              </w:rPr>
            </w:pPr>
          </w:p>
        </w:tc>
        <w:tc>
          <w:tcPr>
            <w:tcW w:w="1014" w:type="dxa"/>
            <w:shd w:val="clear" w:color="auto" w:fill="D9D9D9" w:themeFill="background1" w:themeFillShade="D9"/>
            <w:vAlign w:val="center"/>
          </w:tcPr>
          <w:p w:rsidR="006B136D" w:rsidRPr="00B6025C" w:rsidRDefault="00F379CE" w:rsidP="00CC5E6F">
            <w:pPr>
              <w:jc w:val="center"/>
              <w:rPr>
                <w:rFonts w:ascii="Arial" w:eastAsia="Calibri" w:hAnsi="Arial" w:cs="Arial"/>
                <w:sz w:val="20"/>
                <w:szCs w:val="20"/>
                <w:lang w:val="en-GB"/>
              </w:rPr>
            </w:pPr>
            <w:r>
              <w:rPr>
                <w:rFonts w:ascii="Arial" w:eastAsia="Calibri" w:hAnsi="Arial" w:cs="Arial"/>
                <w:sz w:val="20"/>
                <w:szCs w:val="20"/>
                <w:lang w:val="en-GB"/>
              </w:rPr>
              <w:t>[</w:t>
            </w:r>
            <w:r w:rsidR="006B136D" w:rsidRPr="00B6025C">
              <w:rPr>
                <w:rFonts w:ascii="Arial" w:eastAsia="Calibri" w:hAnsi="Arial" w:cs="Arial"/>
                <w:sz w:val="20"/>
                <w:szCs w:val="20"/>
                <w:lang w:val="en-GB"/>
              </w:rPr>
              <w:t>3</w:t>
            </w:r>
            <w:r>
              <w:rPr>
                <w:rFonts w:ascii="Arial" w:eastAsia="Calibri" w:hAnsi="Arial" w:cs="Arial"/>
                <w:sz w:val="20"/>
                <w:szCs w:val="20"/>
                <w:lang w:val="en-GB"/>
              </w:rPr>
              <w:t>]</w:t>
            </w:r>
          </w:p>
        </w:tc>
        <w:tc>
          <w:tcPr>
            <w:tcW w:w="650" w:type="dxa"/>
            <w:shd w:val="clear" w:color="auto" w:fill="D9D9D9" w:themeFill="background1" w:themeFillShade="D9"/>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3b</w:t>
            </w:r>
          </w:p>
        </w:tc>
        <w:tc>
          <w:tcPr>
            <w:tcW w:w="3450" w:type="dxa"/>
            <w:shd w:val="clear" w:color="auto" w:fill="D9D9D9" w:themeFill="background1" w:themeFillShade="D9"/>
          </w:tcPr>
          <w:p w:rsidR="006B136D" w:rsidRPr="00B6025C" w:rsidRDefault="006B136D" w:rsidP="00CC5E6F">
            <w:pPr>
              <w:rPr>
                <w:rFonts w:ascii="Arial" w:eastAsia="Calibri" w:hAnsi="Arial" w:cs="Arial"/>
                <w:sz w:val="20"/>
                <w:szCs w:val="20"/>
                <w:lang w:val="en-GB"/>
              </w:rPr>
            </w:pPr>
            <w:r w:rsidRPr="00B6025C">
              <w:rPr>
                <w:rFonts w:ascii="Arial" w:eastAsia="Calibri" w:hAnsi="Arial" w:cs="Arial"/>
                <w:sz w:val="20"/>
                <w:szCs w:val="20"/>
                <w:lang w:val="en-GB"/>
              </w:rPr>
              <w:t>Citizen/consumer benefits</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r w:rsidR="006B136D" w:rsidRPr="00B6025C" w:rsidTr="006B136D">
        <w:tc>
          <w:tcPr>
            <w:tcW w:w="1030" w:type="dxa"/>
            <w:vMerge/>
            <w:shd w:val="clear" w:color="auto" w:fill="auto"/>
            <w:vAlign w:val="center"/>
          </w:tcPr>
          <w:p w:rsidR="006B136D" w:rsidRPr="00B6025C" w:rsidRDefault="006B136D" w:rsidP="00CC5E6F">
            <w:pPr>
              <w:jc w:val="center"/>
              <w:rPr>
                <w:rFonts w:ascii="Arial" w:eastAsia="Calibri" w:hAnsi="Arial" w:cs="Arial"/>
                <w:sz w:val="20"/>
                <w:szCs w:val="20"/>
                <w:lang w:val="en-GB"/>
              </w:rPr>
            </w:pPr>
          </w:p>
        </w:tc>
        <w:tc>
          <w:tcPr>
            <w:tcW w:w="1014" w:type="dxa"/>
            <w:shd w:val="clear" w:color="auto" w:fill="D9D9D9" w:themeFill="background1" w:themeFillShade="D9"/>
            <w:vAlign w:val="center"/>
          </w:tcPr>
          <w:p w:rsidR="006B136D" w:rsidRPr="00B6025C" w:rsidRDefault="00F379CE" w:rsidP="00CC5E6F">
            <w:pPr>
              <w:jc w:val="center"/>
              <w:rPr>
                <w:rFonts w:ascii="Arial" w:eastAsia="Calibri" w:hAnsi="Arial" w:cs="Arial"/>
                <w:sz w:val="20"/>
                <w:szCs w:val="20"/>
                <w:lang w:val="en-GB"/>
              </w:rPr>
            </w:pPr>
            <w:r>
              <w:rPr>
                <w:rFonts w:ascii="Arial" w:eastAsia="Calibri" w:hAnsi="Arial" w:cs="Arial"/>
                <w:sz w:val="20"/>
                <w:szCs w:val="20"/>
                <w:lang w:val="en-GB"/>
              </w:rPr>
              <w:t>[</w:t>
            </w:r>
            <w:r w:rsidR="006B136D" w:rsidRPr="00B6025C">
              <w:rPr>
                <w:rFonts w:ascii="Arial" w:eastAsia="Calibri" w:hAnsi="Arial" w:cs="Arial"/>
                <w:sz w:val="20"/>
                <w:szCs w:val="20"/>
                <w:lang w:val="en-GB"/>
              </w:rPr>
              <w:t>2</w:t>
            </w:r>
            <w:r>
              <w:rPr>
                <w:rFonts w:ascii="Arial" w:eastAsia="Calibri" w:hAnsi="Arial" w:cs="Arial"/>
                <w:sz w:val="20"/>
                <w:szCs w:val="20"/>
                <w:lang w:val="en-GB"/>
              </w:rPr>
              <w:t>]</w:t>
            </w:r>
          </w:p>
        </w:tc>
        <w:tc>
          <w:tcPr>
            <w:tcW w:w="650" w:type="dxa"/>
            <w:shd w:val="clear" w:color="auto" w:fill="D9D9D9" w:themeFill="background1" w:themeFillShade="D9"/>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3c</w:t>
            </w:r>
          </w:p>
        </w:tc>
        <w:tc>
          <w:tcPr>
            <w:tcW w:w="3450" w:type="dxa"/>
            <w:shd w:val="clear" w:color="auto" w:fill="D9D9D9" w:themeFill="background1" w:themeFillShade="D9"/>
          </w:tcPr>
          <w:p w:rsidR="006B136D" w:rsidRPr="00B6025C" w:rsidRDefault="006B136D" w:rsidP="00CC5E6F">
            <w:pPr>
              <w:rPr>
                <w:rFonts w:ascii="Arial" w:eastAsia="Calibri" w:hAnsi="Arial" w:cs="Arial"/>
                <w:sz w:val="20"/>
                <w:szCs w:val="20"/>
                <w:lang w:val="en-GB"/>
              </w:rPr>
            </w:pPr>
            <w:r w:rsidRPr="00B6025C">
              <w:rPr>
                <w:rFonts w:ascii="Arial" w:eastAsia="Calibri" w:hAnsi="Arial" w:cs="Arial"/>
                <w:sz w:val="20"/>
                <w:szCs w:val="20"/>
                <w:lang w:val="en-GB"/>
              </w:rPr>
              <w:t>Producer surplus</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r w:rsidR="006B136D" w:rsidRPr="00B6025C" w:rsidTr="006B136D">
        <w:tc>
          <w:tcPr>
            <w:tcW w:w="1030" w:type="dxa"/>
            <w:vMerge/>
            <w:shd w:val="clear" w:color="auto" w:fill="auto"/>
            <w:vAlign w:val="center"/>
          </w:tcPr>
          <w:p w:rsidR="006B136D" w:rsidRPr="00B6025C" w:rsidRDefault="006B136D" w:rsidP="00CC5E6F">
            <w:pPr>
              <w:jc w:val="center"/>
              <w:rPr>
                <w:rFonts w:ascii="Arial" w:eastAsia="Calibri" w:hAnsi="Arial" w:cs="Arial"/>
                <w:sz w:val="20"/>
                <w:szCs w:val="20"/>
                <w:lang w:val="en-GB"/>
              </w:rPr>
            </w:pPr>
          </w:p>
        </w:tc>
        <w:tc>
          <w:tcPr>
            <w:tcW w:w="1014" w:type="dxa"/>
            <w:shd w:val="clear" w:color="auto" w:fill="D9D9D9" w:themeFill="background1" w:themeFillShade="D9"/>
            <w:vAlign w:val="center"/>
          </w:tcPr>
          <w:p w:rsidR="006B136D" w:rsidRPr="00B6025C" w:rsidRDefault="00F379CE" w:rsidP="00CC5E6F">
            <w:pPr>
              <w:jc w:val="center"/>
              <w:rPr>
                <w:rFonts w:ascii="Arial" w:eastAsia="Calibri" w:hAnsi="Arial" w:cs="Arial"/>
                <w:sz w:val="20"/>
                <w:szCs w:val="20"/>
                <w:lang w:val="en-GB"/>
              </w:rPr>
            </w:pPr>
            <w:r>
              <w:rPr>
                <w:rFonts w:ascii="Arial" w:eastAsia="Calibri" w:hAnsi="Arial" w:cs="Arial"/>
                <w:sz w:val="20"/>
                <w:szCs w:val="20"/>
                <w:lang w:val="en-GB"/>
              </w:rPr>
              <w:t>[</w:t>
            </w:r>
            <w:r w:rsidR="006B136D" w:rsidRPr="00B6025C">
              <w:rPr>
                <w:rFonts w:ascii="Arial" w:eastAsia="Calibri" w:hAnsi="Arial" w:cs="Arial"/>
                <w:sz w:val="20"/>
                <w:szCs w:val="20"/>
                <w:lang w:val="en-GB"/>
              </w:rPr>
              <w:t>2</w:t>
            </w:r>
            <w:r>
              <w:rPr>
                <w:rFonts w:ascii="Arial" w:eastAsia="Calibri" w:hAnsi="Arial" w:cs="Arial"/>
                <w:sz w:val="20"/>
                <w:szCs w:val="20"/>
                <w:lang w:val="en-GB"/>
              </w:rPr>
              <w:t>]</w:t>
            </w:r>
          </w:p>
        </w:tc>
        <w:tc>
          <w:tcPr>
            <w:tcW w:w="650" w:type="dxa"/>
            <w:shd w:val="clear" w:color="auto" w:fill="D9D9D9" w:themeFill="background1" w:themeFillShade="D9"/>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3d</w:t>
            </w:r>
          </w:p>
        </w:tc>
        <w:tc>
          <w:tcPr>
            <w:tcW w:w="3450" w:type="dxa"/>
            <w:shd w:val="clear" w:color="auto" w:fill="D9D9D9" w:themeFill="background1" w:themeFillShade="D9"/>
          </w:tcPr>
          <w:p w:rsidR="006B136D" w:rsidRPr="00B6025C" w:rsidRDefault="006B136D" w:rsidP="00CC5E6F">
            <w:pPr>
              <w:rPr>
                <w:rFonts w:ascii="Arial" w:eastAsia="Calibri" w:hAnsi="Arial" w:cs="Arial"/>
                <w:sz w:val="20"/>
                <w:szCs w:val="20"/>
                <w:lang w:val="en-GB"/>
              </w:rPr>
            </w:pPr>
            <w:r w:rsidRPr="00B6025C">
              <w:rPr>
                <w:rFonts w:ascii="Arial" w:eastAsia="Calibri" w:hAnsi="Arial" w:cs="Arial"/>
                <w:sz w:val="20"/>
                <w:szCs w:val="20"/>
                <w:lang w:val="en-GB"/>
              </w:rPr>
              <w:t>Producer benefits</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r w:rsidR="006B136D" w:rsidRPr="00032BB5" w:rsidTr="00CC5E6F">
        <w:tc>
          <w:tcPr>
            <w:tcW w:w="1030" w:type="dxa"/>
            <w:vMerge/>
            <w:shd w:val="clear" w:color="auto" w:fill="auto"/>
            <w:vAlign w:val="center"/>
          </w:tcPr>
          <w:p w:rsidR="006B136D" w:rsidRPr="00B6025C" w:rsidRDefault="006B136D" w:rsidP="00CC5E6F">
            <w:pPr>
              <w:jc w:val="center"/>
              <w:rPr>
                <w:rFonts w:ascii="Arial" w:eastAsia="Calibri" w:hAnsi="Arial" w:cs="Arial"/>
                <w:sz w:val="20"/>
                <w:szCs w:val="20"/>
                <w:lang w:val="en-GB"/>
              </w:rPr>
            </w:pPr>
          </w:p>
        </w:tc>
        <w:tc>
          <w:tcPr>
            <w:tcW w:w="1014" w:type="dxa"/>
            <w:shd w:val="clear" w:color="auto" w:fill="auto"/>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9</w:t>
            </w:r>
          </w:p>
        </w:tc>
        <w:tc>
          <w:tcPr>
            <w:tcW w:w="650" w:type="dxa"/>
            <w:shd w:val="clear" w:color="auto" w:fill="auto"/>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4</w:t>
            </w:r>
          </w:p>
        </w:tc>
        <w:tc>
          <w:tcPr>
            <w:tcW w:w="3450" w:type="dxa"/>
            <w:shd w:val="clear" w:color="auto" w:fill="auto"/>
          </w:tcPr>
          <w:p w:rsidR="006B136D" w:rsidRPr="00B6025C" w:rsidRDefault="006B136D" w:rsidP="00CC5E6F">
            <w:pPr>
              <w:rPr>
                <w:rFonts w:ascii="Arial" w:eastAsia="Calibri" w:hAnsi="Arial" w:cs="Arial"/>
                <w:sz w:val="20"/>
                <w:szCs w:val="20"/>
                <w:lang w:val="en-GB"/>
              </w:rPr>
            </w:pPr>
            <w:r w:rsidRPr="00B6025C">
              <w:rPr>
                <w:rFonts w:ascii="Arial" w:eastAsia="Calibri" w:hAnsi="Arial" w:cs="Arial"/>
                <w:color w:val="000000"/>
                <w:sz w:val="20"/>
                <w:szCs w:val="20"/>
                <w:lang w:val="en-GB" w:eastAsia="sv-SE"/>
              </w:rPr>
              <w:t>Timeframe for availability of equipment on a large scale and for application deployment - status of standardisation</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r w:rsidR="006B136D" w:rsidRPr="00032BB5" w:rsidTr="006B136D">
        <w:tc>
          <w:tcPr>
            <w:tcW w:w="1030" w:type="dxa"/>
            <w:vMerge/>
            <w:shd w:val="clear" w:color="auto" w:fill="auto"/>
            <w:vAlign w:val="center"/>
          </w:tcPr>
          <w:p w:rsidR="006B136D" w:rsidRPr="00B6025C" w:rsidRDefault="006B136D" w:rsidP="00CC5E6F">
            <w:pPr>
              <w:jc w:val="center"/>
              <w:rPr>
                <w:rFonts w:ascii="Arial" w:eastAsia="Calibri" w:hAnsi="Arial" w:cs="Arial"/>
                <w:sz w:val="20"/>
                <w:szCs w:val="20"/>
                <w:lang w:val="en-GB"/>
              </w:rPr>
            </w:pPr>
          </w:p>
        </w:tc>
        <w:tc>
          <w:tcPr>
            <w:tcW w:w="1014" w:type="dxa"/>
            <w:shd w:val="clear" w:color="auto" w:fill="D9D9D9" w:themeFill="background1" w:themeFillShade="D9"/>
            <w:vAlign w:val="center"/>
          </w:tcPr>
          <w:p w:rsidR="006B136D" w:rsidRPr="00B6025C" w:rsidRDefault="00F379CE" w:rsidP="00CC5E6F">
            <w:pPr>
              <w:jc w:val="center"/>
              <w:rPr>
                <w:rFonts w:ascii="Arial" w:eastAsia="Calibri" w:hAnsi="Arial" w:cs="Arial"/>
                <w:sz w:val="20"/>
                <w:szCs w:val="20"/>
                <w:lang w:val="en-GB"/>
              </w:rPr>
            </w:pPr>
            <w:r>
              <w:rPr>
                <w:rFonts w:ascii="Arial" w:eastAsia="Calibri" w:hAnsi="Arial" w:cs="Arial"/>
                <w:sz w:val="20"/>
                <w:szCs w:val="20"/>
                <w:lang w:val="en-GB"/>
              </w:rPr>
              <w:t>[</w:t>
            </w:r>
            <w:r w:rsidR="006B136D" w:rsidRPr="00B6025C">
              <w:rPr>
                <w:rFonts w:ascii="Arial" w:eastAsia="Calibri" w:hAnsi="Arial" w:cs="Arial"/>
                <w:sz w:val="20"/>
                <w:szCs w:val="20"/>
                <w:lang w:val="en-GB"/>
              </w:rPr>
              <w:t>5</w:t>
            </w:r>
            <w:r>
              <w:rPr>
                <w:rFonts w:ascii="Arial" w:eastAsia="Calibri" w:hAnsi="Arial" w:cs="Arial"/>
                <w:sz w:val="20"/>
                <w:szCs w:val="20"/>
                <w:lang w:val="en-GB"/>
              </w:rPr>
              <w:t>]</w:t>
            </w:r>
          </w:p>
        </w:tc>
        <w:tc>
          <w:tcPr>
            <w:tcW w:w="650" w:type="dxa"/>
            <w:shd w:val="clear" w:color="auto" w:fill="D9D9D9" w:themeFill="background1" w:themeFillShade="D9"/>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5a</w:t>
            </w:r>
          </w:p>
        </w:tc>
        <w:tc>
          <w:tcPr>
            <w:tcW w:w="3450" w:type="dxa"/>
            <w:shd w:val="clear" w:color="auto" w:fill="D9D9D9" w:themeFill="background1" w:themeFillShade="D9"/>
          </w:tcPr>
          <w:p w:rsidR="006B136D" w:rsidRPr="00B6025C" w:rsidRDefault="006B136D" w:rsidP="00CC5E6F">
            <w:pPr>
              <w:rPr>
                <w:rFonts w:ascii="Arial" w:eastAsia="Calibri" w:hAnsi="Arial" w:cs="Arial"/>
                <w:sz w:val="20"/>
                <w:szCs w:val="20"/>
                <w:lang w:val="en-GB"/>
              </w:rPr>
            </w:pPr>
            <w:r w:rsidRPr="00B6025C">
              <w:rPr>
                <w:rFonts w:ascii="Arial" w:eastAsia="Calibri" w:hAnsi="Arial" w:cs="Arial"/>
                <w:sz w:val="20"/>
                <w:szCs w:val="20"/>
                <w:lang w:val="en-GB"/>
              </w:rPr>
              <w:t>Potential for harmonisation within CEPT</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r w:rsidR="006B136D" w:rsidRPr="00032BB5" w:rsidTr="006B136D">
        <w:tc>
          <w:tcPr>
            <w:tcW w:w="1030" w:type="dxa"/>
            <w:vMerge/>
            <w:shd w:val="clear" w:color="auto" w:fill="auto"/>
            <w:vAlign w:val="center"/>
          </w:tcPr>
          <w:p w:rsidR="006B136D" w:rsidRPr="00B6025C" w:rsidRDefault="006B136D" w:rsidP="00CC5E6F">
            <w:pPr>
              <w:jc w:val="center"/>
              <w:rPr>
                <w:rFonts w:ascii="Arial" w:eastAsia="Calibri" w:hAnsi="Arial" w:cs="Arial"/>
                <w:sz w:val="20"/>
                <w:szCs w:val="20"/>
                <w:lang w:val="en-GB"/>
              </w:rPr>
            </w:pPr>
          </w:p>
        </w:tc>
        <w:tc>
          <w:tcPr>
            <w:tcW w:w="1014" w:type="dxa"/>
            <w:shd w:val="clear" w:color="auto" w:fill="D9D9D9" w:themeFill="background1" w:themeFillShade="D9"/>
            <w:vAlign w:val="center"/>
          </w:tcPr>
          <w:p w:rsidR="006B136D" w:rsidRPr="00B6025C" w:rsidRDefault="00F379CE" w:rsidP="00CC5E6F">
            <w:pPr>
              <w:jc w:val="center"/>
              <w:rPr>
                <w:rFonts w:ascii="Arial" w:eastAsia="Calibri" w:hAnsi="Arial" w:cs="Arial"/>
                <w:sz w:val="20"/>
                <w:szCs w:val="20"/>
                <w:lang w:val="en-GB"/>
              </w:rPr>
            </w:pPr>
            <w:r>
              <w:rPr>
                <w:rFonts w:ascii="Arial" w:eastAsia="Calibri" w:hAnsi="Arial" w:cs="Arial"/>
                <w:sz w:val="20"/>
                <w:szCs w:val="20"/>
                <w:lang w:val="en-GB"/>
              </w:rPr>
              <w:t>[</w:t>
            </w:r>
            <w:r w:rsidR="006B136D" w:rsidRPr="00B6025C">
              <w:rPr>
                <w:rFonts w:ascii="Arial" w:eastAsia="Calibri" w:hAnsi="Arial" w:cs="Arial"/>
                <w:sz w:val="20"/>
                <w:szCs w:val="20"/>
                <w:lang w:val="en-GB"/>
              </w:rPr>
              <w:t>4</w:t>
            </w:r>
            <w:r>
              <w:rPr>
                <w:rFonts w:ascii="Arial" w:eastAsia="Calibri" w:hAnsi="Arial" w:cs="Arial"/>
                <w:sz w:val="20"/>
                <w:szCs w:val="20"/>
                <w:lang w:val="en-GB"/>
              </w:rPr>
              <w:t>]</w:t>
            </w:r>
          </w:p>
        </w:tc>
        <w:tc>
          <w:tcPr>
            <w:tcW w:w="650" w:type="dxa"/>
            <w:shd w:val="clear" w:color="auto" w:fill="D9D9D9" w:themeFill="background1" w:themeFillShade="D9"/>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5b</w:t>
            </w:r>
          </w:p>
        </w:tc>
        <w:tc>
          <w:tcPr>
            <w:tcW w:w="3450" w:type="dxa"/>
            <w:shd w:val="clear" w:color="auto" w:fill="D9D9D9" w:themeFill="background1" w:themeFillShade="D9"/>
          </w:tcPr>
          <w:p w:rsidR="006B136D" w:rsidRPr="00B6025C" w:rsidRDefault="006B136D" w:rsidP="00CC5E6F">
            <w:pPr>
              <w:rPr>
                <w:rFonts w:ascii="Arial" w:eastAsia="Calibri" w:hAnsi="Arial" w:cs="Arial"/>
                <w:sz w:val="20"/>
                <w:szCs w:val="20"/>
                <w:lang w:val="en-GB"/>
              </w:rPr>
            </w:pPr>
            <w:r w:rsidRPr="00B6025C">
              <w:rPr>
                <w:rFonts w:ascii="Arial" w:eastAsia="Calibri" w:hAnsi="Arial" w:cs="Arial"/>
                <w:sz w:val="20"/>
                <w:szCs w:val="20"/>
                <w:lang w:val="en-GB"/>
              </w:rPr>
              <w:t>Potential for harmonisation outside CEPT</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r w:rsidR="006B136D" w:rsidRPr="00032BB5" w:rsidTr="00CC5E6F">
        <w:tc>
          <w:tcPr>
            <w:tcW w:w="1030" w:type="dxa"/>
            <w:vMerge w:val="restart"/>
            <w:shd w:val="clear" w:color="auto" w:fill="auto"/>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Medium</w:t>
            </w:r>
          </w:p>
        </w:tc>
        <w:tc>
          <w:tcPr>
            <w:tcW w:w="1014" w:type="dxa"/>
            <w:shd w:val="clear" w:color="auto" w:fill="auto"/>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6</w:t>
            </w:r>
          </w:p>
        </w:tc>
        <w:tc>
          <w:tcPr>
            <w:tcW w:w="650" w:type="dxa"/>
            <w:shd w:val="clear" w:color="auto" w:fill="auto"/>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2</w:t>
            </w:r>
          </w:p>
        </w:tc>
        <w:tc>
          <w:tcPr>
            <w:tcW w:w="3450" w:type="dxa"/>
            <w:shd w:val="clear" w:color="auto" w:fill="auto"/>
          </w:tcPr>
          <w:p w:rsidR="006B136D" w:rsidRPr="00B6025C" w:rsidRDefault="006B136D" w:rsidP="00CC5E6F">
            <w:pPr>
              <w:rPr>
                <w:rFonts w:ascii="Arial" w:eastAsia="Calibri" w:hAnsi="Arial" w:cs="Arial"/>
                <w:sz w:val="20"/>
                <w:szCs w:val="20"/>
                <w:lang w:val="en-GB"/>
              </w:rPr>
            </w:pPr>
            <w:r w:rsidRPr="00B6025C">
              <w:rPr>
                <w:rFonts w:ascii="Arial" w:eastAsia="Calibri" w:hAnsi="Arial" w:cs="Arial"/>
                <w:sz w:val="20"/>
                <w:szCs w:val="20"/>
                <w:lang w:val="en-GB"/>
              </w:rPr>
              <w:t>Possibility to share with other applications/uses (frequency, spatial, time and/or signal separation)</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r w:rsidR="006B136D" w:rsidRPr="00032BB5" w:rsidTr="006B136D">
        <w:tc>
          <w:tcPr>
            <w:tcW w:w="1030" w:type="dxa"/>
            <w:vMerge/>
            <w:shd w:val="clear" w:color="auto" w:fill="auto"/>
            <w:vAlign w:val="center"/>
          </w:tcPr>
          <w:p w:rsidR="006B136D" w:rsidRPr="00B6025C" w:rsidRDefault="006B136D" w:rsidP="00CC5E6F">
            <w:pPr>
              <w:jc w:val="center"/>
              <w:rPr>
                <w:rFonts w:ascii="Arial" w:eastAsia="Calibri" w:hAnsi="Arial" w:cs="Arial"/>
                <w:sz w:val="20"/>
                <w:szCs w:val="20"/>
                <w:lang w:val="en-GB"/>
              </w:rPr>
            </w:pPr>
          </w:p>
        </w:tc>
        <w:tc>
          <w:tcPr>
            <w:tcW w:w="1014" w:type="dxa"/>
            <w:shd w:val="clear" w:color="auto" w:fill="D9D9D9" w:themeFill="background1" w:themeFillShade="D9"/>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2</w:t>
            </w:r>
          </w:p>
        </w:tc>
        <w:tc>
          <w:tcPr>
            <w:tcW w:w="650" w:type="dxa"/>
            <w:shd w:val="clear" w:color="auto" w:fill="D9D9D9" w:themeFill="background1" w:themeFillShade="D9"/>
            <w:vAlign w:val="center"/>
          </w:tcPr>
          <w:p w:rsidR="006B136D" w:rsidRPr="00B6025C" w:rsidRDefault="006B136D" w:rsidP="00CC5E6F">
            <w:pPr>
              <w:jc w:val="center"/>
              <w:rPr>
                <w:rFonts w:ascii="Arial" w:eastAsia="Calibri" w:hAnsi="Arial" w:cs="Arial"/>
                <w:color w:val="000000"/>
                <w:sz w:val="20"/>
                <w:szCs w:val="20"/>
                <w:lang w:val="en-GB" w:eastAsia="sv-SE"/>
              </w:rPr>
            </w:pPr>
            <w:r w:rsidRPr="00B6025C">
              <w:rPr>
                <w:rFonts w:ascii="Arial" w:eastAsia="Calibri" w:hAnsi="Arial" w:cs="Arial"/>
                <w:color w:val="000000"/>
                <w:sz w:val="20"/>
                <w:szCs w:val="20"/>
                <w:lang w:val="en-GB" w:eastAsia="sv-SE"/>
              </w:rPr>
              <w:t>1a</w:t>
            </w:r>
          </w:p>
        </w:tc>
        <w:tc>
          <w:tcPr>
            <w:tcW w:w="3450" w:type="dxa"/>
            <w:shd w:val="clear" w:color="auto" w:fill="D9D9D9" w:themeFill="background1" w:themeFillShade="D9"/>
          </w:tcPr>
          <w:p w:rsidR="006B136D" w:rsidRPr="00B6025C" w:rsidRDefault="006B136D" w:rsidP="00CC5E6F">
            <w:pPr>
              <w:rPr>
                <w:rFonts w:ascii="Arial" w:eastAsia="Calibri" w:hAnsi="Arial" w:cs="Arial"/>
                <w:color w:val="000000"/>
                <w:sz w:val="20"/>
                <w:szCs w:val="20"/>
                <w:lang w:val="en-GB" w:eastAsia="sv-SE"/>
              </w:rPr>
            </w:pPr>
            <w:r w:rsidRPr="00B6025C">
              <w:rPr>
                <w:rFonts w:ascii="Arial" w:eastAsia="Calibri" w:hAnsi="Arial" w:cs="Arial"/>
                <w:color w:val="000000"/>
                <w:sz w:val="20"/>
                <w:szCs w:val="20"/>
                <w:lang w:val="en-GB" w:eastAsia="sv-SE"/>
              </w:rPr>
              <w:t>Compatibility with the Radio Regulations (Article 5)</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r w:rsidR="006B136D" w:rsidRPr="00B6025C" w:rsidTr="006B136D">
        <w:tc>
          <w:tcPr>
            <w:tcW w:w="1030" w:type="dxa"/>
            <w:vMerge/>
            <w:shd w:val="clear" w:color="auto" w:fill="auto"/>
            <w:vAlign w:val="center"/>
          </w:tcPr>
          <w:p w:rsidR="006B136D" w:rsidRPr="00B6025C" w:rsidRDefault="006B136D" w:rsidP="00CC5E6F">
            <w:pPr>
              <w:jc w:val="center"/>
              <w:rPr>
                <w:rFonts w:ascii="Arial" w:eastAsia="Calibri" w:hAnsi="Arial" w:cs="Arial"/>
                <w:sz w:val="20"/>
                <w:szCs w:val="20"/>
                <w:lang w:val="en-GB"/>
              </w:rPr>
            </w:pPr>
          </w:p>
        </w:tc>
        <w:tc>
          <w:tcPr>
            <w:tcW w:w="1014" w:type="dxa"/>
            <w:shd w:val="clear" w:color="auto" w:fill="D9D9D9" w:themeFill="background1" w:themeFillShade="D9"/>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2</w:t>
            </w:r>
          </w:p>
        </w:tc>
        <w:tc>
          <w:tcPr>
            <w:tcW w:w="650" w:type="dxa"/>
            <w:shd w:val="clear" w:color="auto" w:fill="D9D9D9" w:themeFill="background1" w:themeFillShade="D9"/>
            <w:vAlign w:val="center"/>
          </w:tcPr>
          <w:p w:rsidR="006B136D" w:rsidRPr="00B6025C" w:rsidRDefault="006B136D" w:rsidP="00CC5E6F">
            <w:pPr>
              <w:jc w:val="center"/>
              <w:rPr>
                <w:rFonts w:ascii="Arial" w:eastAsia="Calibri" w:hAnsi="Arial" w:cs="Arial"/>
                <w:color w:val="000000"/>
                <w:sz w:val="20"/>
                <w:szCs w:val="20"/>
                <w:lang w:val="en-GB" w:eastAsia="sv-SE"/>
              </w:rPr>
            </w:pPr>
            <w:r w:rsidRPr="00B6025C">
              <w:rPr>
                <w:rFonts w:ascii="Arial" w:eastAsia="Calibri" w:hAnsi="Arial" w:cs="Arial"/>
                <w:color w:val="000000"/>
                <w:sz w:val="20"/>
                <w:szCs w:val="20"/>
                <w:lang w:val="en-GB" w:eastAsia="sv-SE"/>
              </w:rPr>
              <w:t>1b</w:t>
            </w:r>
          </w:p>
        </w:tc>
        <w:tc>
          <w:tcPr>
            <w:tcW w:w="3450" w:type="dxa"/>
            <w:shd w:val="clear" w:color="auto" w:fill="D9D9D9" w:themeFill="background1" w:themeFillShade="D9"/>
          </w:tcPr>
          <w:p w:rsidR="006B136D" w:rsidRPr="00B6025C" w:rsidRDefault="006B136D" w:rsidP="00CC5E6F">
            <w:pPr>
              <w:rPr>
                <w:rFonts w:ascii="Arial" w:eastAsia="Calibri" w:hAnsi="Arial" w:cs="Arial"/>
                <w:color w:val="000000"/>
                <w:sz w:val="20"/>
                <w:szCs w:val="20"/>
                <w:lang w:val="en-GB" w:eastAsia="sv-SE"/>
              </w:rPr>
            </w:pPr>
            <w:r w:rsidRPr="00B6025C">
              <w:rPr>
                <w:rFonts w:ascii="Arial" w:eastAsia="Calibri" w:hAnsi="Arial" w:cs="Arial"/>
                <w:color w:val="000000"/>
                <w:sz w:val="20"/>
                <w:szCs w:val="20"/>
                <w:lang w:val="en-GB" w:eastAsia="sv-SE"/>
              </w:rPr>
              <w:t>Compatibility with MA02revCO07</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r w:rsidR="006B136D" w:rsidRPr="00B6025C" w:rsidTr="006B136D">
        <w:tc>
          <w:tcPr>
            <w:tcW w:w="1030" w:type="dxa"/>
            <w:shd w:val="clear" w:color="auto" w:fill="auto"/>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Low</w:t>
            </w:r>
          </w:p>
        </w:tc>
        <w:tc>
          <w:tcPr>
            <w:tcW w:w="1014" w:type="dxa"/>
            <w:shd w:val="clear" w:color="auto" w:fill="D9D9D9" w:themeFill="background1" w:themeFillShade="D9"/>
            <w:vAlign w:val="center"/>
          </w:tcPr>
          <w:p w:rsidR="006B136D" w:rsidRPr="00B6025C" w:rsidRDefault="006B136D" w:rsidP="00CC5E6F">
            <w:pPr>
              <w:jc w:val="center"/>
              <w:rPr>
                <w:rFonts w:ascii="Arial" w:eastAsia="Calibri" w:hAnsi="Arial" w:cs="Arial"/>
                <w:sz w:val="20"/>
                <w:szCs w:val="20"/>
                <w:lang w:val="en-GB"/>
              </w:rPr>
            </w:pPr>
            <w:r w:rsidRPr="00B6025C">
              <w:rPr>
                <w:rFonts w:ascii="Arial" w:eastAsia="Calibri" w:hAnsi="Arial" w:cs="Arial"/>
                <w:sz w:val="20"/>
                <w:szCs w:val="20"/>
                <w:lang w:val="en-GB"/>
              </w:rPr>
              <w:t>[1]</w:t>
            </w:r>
          </w:p>
        </w:tc>
        <w:tc>
          <w:tcPr>
            <w:tcW w:w="650" w:type="dxa"/>
            <w:shd w:val="clear" w:color="auto" w:fill="D9D9D9" w:themeFill="background1" w:themeFillShade="D9"/>
            <w:vAlign w:val="center"/>
          </w:tcPr>
          <w:p w:rsidR="006B136D" w:rsidRPr="00B6025C" w:rsidRDefault="006B136D" w:rsidP="00CC5E6F">
            <w:pPr>
              <w:jc w:val="center"/>
              <w:rPr>
                <w:rFonts w:ascii="Arial" w:eastAsia="Calibri" w:hAnsi="Arial" w:cs="Arial"/>
                <w:color w:val="000000"/>
                <w:sz w:val="20"/>
                <w:szCs w:val="20"/>
                <w:lang w:val="en-GB" w:eastAsia="sv-SE"/>
              </w:rPr>
            </w:pPr>
            <w:r w:rsidRPr="00B6025C">
              <w:rPr>
                <w:rFonts w:ascii="Arial" w:eastAsia="Calibri" w:hAnsi="Arial" w:cs="Arial"/>
                <w:color w:val="000000"/>
                <w:sz w:val="20"/>
                <w:szCs w:val="20"/>
                <w:lang w:val="en-GB" w:eastAsia="sv-SE"/>
              </w:rPr>
              <w:t>1c</w:t>
            </w:r>
          </w:p>
        </w:tc>
        <w:tc>
          <w:tcPr>
            <w:tcW w:w="3450" w:type="dxa"/>
            <w:shd w:val="clear" w:color="auto" w:fill="D9D9D9" w:themeFill="background1" w:themeFillShade="D9"/>
          </w:tcPr>
          <w:p w:rsidR="006B136D" w:rsidRPr="00B6025C" w:rsidRDefault="006B136D" w:rsidP="00CC5E6F">
            <w:pPr>
              <w:rPr>
                <w:rFonts w:ascii="Arial" w:eastAsia="Calibri" w:hAnsi="Arial" w:cs="Arial"/>
                <w:color w:val="000000"/>
                <w:sz w:val="20"/>
                <w:szCs w:val="20"/>
                <w:lang w:val="en-GB" w:eastAsia="sv-SE"/>
              </w:rPr>
            </w:pPr>
            <w:r w:rsidRPr="00B6025C">
              <w:rPr>
                <w:rFonts w:ascii="Arial" w:eastAsia="Calibri" w:hAnsi="Arial" w:cs="Arial"/>
                <w:color w:val="000000"/>
                <w:sz w:val="20"/>
                <w:szCs w:val="20"/>
                <w:lang w:val="en-GB" w:eastAsia="sv-SE"/>
              </w:rPr>
              <w:t>Compatibility with ECC/DEC/(03)/02</w:t>
            </w:r>
          </w:p>
        </w:tc>
        <w:tc>
          <w:tcPr>
            <w:tcW w:w="1676" w:type="dxa"/>
            <w:shd w:val="clear" w:color="auto" w:fill="auto"/>
          </w:tcPr>
          <w:p w:rsidR="006B136D" w:rsidRPr="00B6025C" w:rsidRDefault="006B136D" w:rsidP="00CC5E6F">
            <w:pPr>
              <w:rPr>
                <w:rFonts w:ascii="Arial" w:eastAsia="Calibri" w:hAnsi="Arial" w:cs="Arial"/>
                <w:sz w:val="20"/>
                <w:szCs w:val="20"/>
                <w:lang w:val="en-GB"/>
              </w:rPr>
            </w:pPr>
          </w:p>
        </w:tc>
        <w:tc>
          <w:tcPr>
            <w:tcW w:w="1468" w:type="dxa"/>
            <w:shd w:val="clear" w:color="auto" w:fill="auto"/>
          </w:tcPr>
          <w:p w:rsidR="006B136D" w:rsidRPr="00B6025C" w:rsidRDefault="006B136D" w:rsidP="00CC5E6F">
            <w:pPr>
              <w:rPr>
                <w:rFonts w:ascii="Arial" w:eastAsia="Calibri" w:hAnsi="Arial" w:cs="Arial"/>
                <w:sz w:val="20"/>
                <w:szCs w:val="20"/>
                <w:lang w:val="en-GB"/>
              </w:rPr>
            </w:pPr>
          </w:p>
        </w:tc>
      </w:tr>
    </w:tbl>
    <w:p w:rsidR="006B136D" w:rsidRPr="00B6025C" w:rsidRDefault="006B136D" w:rsidP="007E729B">
      <w:pPr>
        <w:spacing w:line="240" w:lineRule="auto"/>
        <w:rPr>
          <w:rFonts w:ascii="Arial" w:eastAsia="Times New Roman" w:hAnsi="Arial" w:cs="Arial"/>
          <w:color w:val="000000"/>
          <w:sz w:val="20"/>
          <w:szCs w:val="20"/>
          <w:lang w:val="en-US" w:eastAsia="sv-SE"/>
        </w:rPr>
      </w:pPr>
    </w:p>
    <w:sectPr w:rsidR="006B136D" w:rsidRPr="00B6025C" w:rsidSect="000A6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ormal Times New Roma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3B5B"/>
    <w:multiLevelType w:val="hybridMultilevel"/>
    <w:tmpl w:val="BAA83E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0CCA40AA"/>
    <w:multiLevelType w:val="hybridMultilevel"/>
    <w:tmpl w:val="02501DB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239300E4"/>
    <w:multiLevelType w:val="hybridMultilevel"/>
    <w:tmpl w:val="D60074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32970E5C"/>
    <w:multiLevelType w:val="hybridMultilevel"/>
    <w:tmpl w:val="00564EF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34A27062"/>
    <w:multiLevelType w:val="hybridMultilevel"/>
    <w:tmpl w:val="7BF286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45D8296A"/>
    <w:multiLevelType w:val="hybridMultilevel"/>
    <w:tmpl w:val="0C7402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FCA5597"/>
    <w:multiLevelType w:val="hybridMultilevel"/>
    <w:tmpl w:val="B01CC95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740D6D1F"/>
    <w:multiLevelType w:val="hybridMultilevel"/>
    <w:tmpl w:val="346A49F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747203F0"/>
    <w:multiLevelType w:val="hybridMultilevel"/>
    <w:tmpl w:val="6068FA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2"/>
  </w:num>
  <w:num w:numId="6">
    <w:abstractNumId w:val="4"/>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1304"/>
  <w:hyphenationZone w:val="425"/>
  <w:characterSpacingControl w:val="doNotCompress"/>
  <w:compat>
    <w:compatSetting w:name="compatibilityMode" w:uri="http://schemas.microsoft.com/office/word" w:val="12"/>
  </w:compat>
  <w:rsids>
    <w:rsidRoot w:val="00B97716"/>
    <w:rsid w:val="00032BB5"/>
    <w:rsid w:val="000A62E3"/>
    <w:rsid w:val="00150614"/>
    <w:rsid w:val="001741A2"/>
    <w:rsid w:val="00193583"/>
    <w:rsid w:val="00221D0F"/>
    <w:rsid w:val="002427C9"/>
    <w:rsid w:val="002A1868"/>
    <w:rsid w:val="002C3FF1"/>
    <w:rsid w:val="003555AF"/>
    <w:rsid w:val="00371B44"/>
    <w:rsid w:val="0037677C"/>
    <w:rsid w:val="0044127B"/>
    <w:rsid w:val="005967D7"/>
    <w:rsid w:val="005A29AA"/>
    <w:rsid w:val="005D0EAE"/>
    <w:rsid w:val="005E2E2F"/>
    <w:rsid w:val="00682D8F"/>
    <w:rsid w:val="006B136D"/>
    <w:rsid w:val="00752086"/>
    <w:rsid w:val="00781265"/>
    <w:rsid w:val="007A7D0E"/>
    <w:rsid w:val="007B26D4"/>
    <w:rsid w:val="007E729B"/>
    <w:rsid w:val="00886B35"/>
    <w:rsid w:val="008B6C8E"/>
    <w:rsid w:val="00926B5B"/>
    <w:rsid w:val="00931ED0"/>
    <w:rsid w:val="00963EBD"/>
    <w:rsid w:val="009C53F0"/>
    <w:rsid w:val="00A175E4"/>
    <w:rsid w:val="00A43E52"/>
    <w:rsid w:val="00A674B4"/>
    <w:rsid w:val="00AC1D92"/>
    <w:rsid w:val="00B6025C"/>
    <w:rsid w:val="00B97716"/>
    <w:rsid w:val="00BB261B"/>
    <w:rsid w:val="00C601FB"/>
    <w:rsid w:val="00CC7F80"/>
    <w:rsid w:val="00CE0B11"/>
    <w:rsid w:val="00CF307F"/>
    <w:rsid w:val="00D5763F"/>
    <w:rsid w:val="00D6522A"/>
    <w:rsid w:val="00D83047"/>
    <w:rsid w:val="00E316ED"/>
    <w:rsid w:val="00EB61B7"/>
    <w:rsid w:val="00ED0D20"/>
    <w:rsid w:val="00F3791A"/>
    <w:rsid w:val="00F379CE"/>
    <w:rsid w:val="00F57CC7"/>
    <w:rsid w:val="00F96F24"/>
    <w:rsid w:val="00FC0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2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9771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Textebrut">
    <w:name w:val="Plain Text"/>
    <w:basedOn w:val="Normal"/>
    <w:link w:val="TextebrutCar"/>
    <w:uiPriority w:val="99"/>
    <w:unhideWhenUsed/>
    <w:rsid w:val="00B97716"/>
    <w:pPr>
      <w:spacing w:after="0" w:line="240" w:lineRule="auto"/>
    </w:pPr>
    <w:rPr>
      <w:rFonts w:ascii="Arial" w:eastAsia="Times New Roman" w:hAnsi="Arial" w:cs="Times New Roman"/>
      <w:sz w:val="20"/>
      <w:szCs w:val="21"/>
      <w:lang w:val="fr-FR"/>
    </w:rPr>
  </w:style>
  <w:style w:type="character" w:customStyle="1" w:styleId="TextebrutCar">
    <w:name w:val="Texte brut Car"/>
    <w:basedOn w:val="Policepardfaut"/>
    <w:link w:val="Textebrut"/>
    <w:uiPriority w:val="99"/>
    <w:rsid w:val="00B97716"/>
    <w:rPr>
      <w:rFonts w:ascii="Arial" w:eastAsia="Times New Roman" w:hAnsi="Arial" w:cs="Times New Roman"/>
      <w:sz w:val="20"/>
      <w:szCs w:val="21"/>
      <w:lang w:val="fr-FR"/>
    </w:rPr>
  </w:style>
  <w:style w:type="paragraph" w:styleId="Textedebulles">
    <w:name w:val="Balloon Text"/>
    <w:basedOn w:val="Normal"/>
    <w:link w:val="TextedebullesCar"/>
    <w:uiPriority w:val="99"/>
    <w:semiHidden/>
    <w:unhideWhenUsed/>
    <w:rsid w:val="00D576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763F"/>
    <w:rPr>
      <w:rFonts w:ascii="Tahoma" w:hAnsi="Tahoma" w:cs="Tahoma"/>
      <w:sz w:val="16"/>
      <w:szCs w:val="16"/>
    </w:rPr>
  </w:style>
  <w:style w:type="paragraph" w:styleId="Paragraphedeliste">
    <w:name w:val="List Paragraph"/>
    <w:basedOn w:val="Normal"/>
    <w:uiPriority w:val="34"/>
    <w:qFormat/>
    <w:rsid w:val="00CF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28202">
      <w:bodyDiv w:val="1"/>
      <w:marLeft w:val="0"/>
      <w:marRight w:val="0"/>
      <w:marTop w:val="78"/>
      <w:marBottom w:val="78"/>
      <w:divBdr>
        <w:top w:val="none" w:sz="0" w:space="0" w:color="auto"/>
        <w:left w:val="none" w:sz="0" w:space="0" w:color="auto"/>
        <w:bottom w:val="none" w:sz="0" w:space="0" w:color="auto"/>
        <w:right w:val="none" w:sz="0" w:space="0" w:color="auto"/>
      </w:divBdr>
      <w:divsChild>
        <w:div w:id="1031883878">
          <w:marLeft w:val="31"/>
          <w:marRight w:val="31"/>
          <w:marTop w:val="31"/>
          <w:marBottom w:val="31"/>
          <w:divBdr>
            <w:top w:val="none" w:sz="0" w:space="0" w:color="auto"/>
            <w:left w:val="none" w:sz="0" w:space="0" w:color="auto"/>
            <w:bottom w:val="none" w:sz="0" w:space="0" w:color="auto"/>
            <w:right w:val="none" w:sz="0" w:space="0" w:color="auto"/>
          </w:divBdr>
          <w:divsChild>
            <w:div w:id="508175568">
              <w:marLeft w:val="0"/>
              <w:marRight w:val="0"/>
              <w:marTop w:val="0"/>
              <w:marBottom w:val="0"/>
              <w:divBdr>
                <w:top w:val="none" w:sz="0" w:space="0" w:color="auto"/>
                <w:left w:val="none" w:sz="0" w:space="0" w:color="auto"/>
                <w:bottom w:val="none" w:sz="0" w:space="0" w:color="auto"/>
                <w:right w:val="none" w:sz="0" w:space="0" w:color="auto"/>
              </w:divBdr>
            </w:div>
            <w:div w:id="1196583257">
              <w:marLeft w:val="0"/>
              <w:marRight w:val="0"/>
              <w:marTop w:val="0"/>
              <w:marBottom w:val="0"/>
              <w:divBdr>
                <w:top w:val="none" w:sz="0" w:space="0" w:color="auto"/>
                <w:left w:val="none" w:sz="0" w:space="0" w:color="auto"/>
                <w:bottom w:val="none" w:sz="0" w:space="0" w:color="auto"/>
                <w:right w:val="none" w:sz="0" w:space="0" w:color="auto"/>
              </w:divBdr>
            </w:div>
            <w:div w:id="675619724">
              <w:marLeft w:val="0"/>
              <w:marRight w:val="0"/>
              <w:marTop w:val="0"/>
              <w:marBottom w:val="0"/>
              <w:divBdr>
                <w:top w:val="none" w:sz="0" w:space="0" w:color="auto"/>
                <w:left w:val="none" w:sz="0" w:space="0" w:color="auto"/>
                <w:bottom w:val="none" w:sz="0" w:space="0" w:color="auto"/>
                <w:right w:val="none" w:sz="0" w:space="0" w:color="auto"/>
              </w:divBdr>
            </w:div>
            <w:div w:id="1236473988">
              <w:marLeft w:val="0"/>
              <w:marRight w:val="0"/>
              <w:marTop w:val="0"/>
              <w:marBottom w:val="0"/>
              <w:divBdr>
                <w:top w:val="none" w:sz="0" w:space="0" w:color="auto"/>
                <w:left w:val="none" w:sz="0" w:space="0" w:color="auto"/>
                <w:bottom w:val="none" w:sz="0" w:space="0" w:color="auto"/>
                <w:right w:val="none" w:sz="0" w:space="0" w:color="auto"/>
              </w:divBdr>
            </w:div>
            <w:div w:id="418718371">
              <w:marLeft w:val="0"/>
              <w:marRight w:val="0"/>
              <w:marTop w:val="0"/>
              <w:marBottom w:val="0"/>
              <w:divBdr>
                <w:top w:val="none" w:sz="0" w:space="0" w:color="auto"/>
                <w:left w:val="none" w:sz="0" w:space="0" w:color="auto"/>
                <w:bottom w:val="none" w:sz="0" w:space="0" w:color="auto"/>
                <w:right w:val="none" w:sz="0" w:space="0" w:color="auto"/>
              </w:divBdr>
            </w:div>
            <w:div w:id="16024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1706">
      <w:bodyDiv w:val="1"/>
      <w:marLeft w:val="0"/>
      <w:marRight w:val="0"/>
      <w:marTop w:val="63"/>
      <w:marBottom w:val="63"/>
      <w:divBdr>
        <w:top w:val="none" w:sz="0" w:space="0" w:color="auto"/>
        <w:left w:val="none" w:sz="0" w:space="0" w:color="auto"/>
        <w:bottom w:val="none" w:sz="0" w:space="0" w:color="auto"/>
        <w:right w:val="none" w:sz="0" w:space="0" w:color="auto"/>
      </w:divBdr>
      <w:divsChild>
        <w:div w:id="1879392601">
          <w:marLeft w:val="25"/>
          <w:marRight w:val="25"/>
          <w:marTop w:val="25"/>
          <w:marBottom w:val="25"/>
          <w:divBdr>
            <w:top w:val="none" w:sz="0" w:space="0" w:color="auto"/>
            <w:left w:val="none" w:sz="0" w:space="0" w:color="auto"/>
            <w:bottom w:val="none" w:sz="0" w:space="0" w:color="auto"/>
            <w:right w:val="none" w:sz="0" w:space="0" w:color="auto"/>
          </w:divBdr>
        </w:div>
      </w:divsChild>
    </w:div>
    <w:div w:id="808862684">
      <w:bodyDiv w:val="1"/>
      <w:marLeft w:val="0"/>
      <w:marRight w:val="0"/>
      <w:marTop w:val="63"/>
      <w:marBottom w:val="63"/>
      <w:divBdr>
        <w:top w:val="none" w:sz="0" w:space="0" w:color="auto"/>
        <w:left w:val="none" w:sz="0" w:space="0" w:color="auto"/>
        <w:bottom w:val="none" w:sz="0" w:space="0" w:color="auto"/>
        <w:right w:val="none" w:sz="0" w:space="0" w:color="auto"/>
      </w:divBdr>
      <w:divsChild>
        <w:div w:id="333412952">
          <w:marLeft w:val="25"/>
          <w:marRight w:val="25"/>
          <w:marTop w:val="25"/>
          <w:marBottom w:val="25"/>
          <w:divBdr>
            <w:top w:val="none" w:sz="0" w:space="0" w:color="auto"/>
            <w:left w:val="none" w:sz="0" w:space="0" w:color="auto"/>
            <w:bottom w:val="none" w:sz="0" w:space="0" w:color="auto"/>
            <w:right w:val="none" w:sz="0" w:space="0" w:color="auto"/>
          </w:divBdr>
        </w:div>
      </w:divsChild>
    </w:div>
    <w:div w:id="981152602">
      <w:bodyDiv w:val="1"/>
      <w:marLeft w:val="0"/>
      <w:marRight w:val="0"/>
      <w:marTop w:val="63"/>
      <w:marBottom w:val="63"/>
      <w:divBdr>
        <w:top w:val="none" w:sz="0" w:space="0" w:color="auto"/>
        <w:left w:val="none" w:sz="0" w:space="0" w:color="auto"/>
        <w:bottom w:val="none" w:sz="0" w:space="0" w:color="auto"/>
        <w:right w:val="none" w:sz="0" w:space="0" w:color="auto"/>
      </w:divBdr>
      <w:divsChild>
        <w:div w:id="1482845560">
          <w:marLeft w:val="25"/>
          <w:marRight w:val="25"/>
          <w:marTop w:val="25"/>
          <w:marBottom w:val="25"/>
          <w:divBdr>
            <w:top w:val="none" w:sz="0" w:space="0" w:color="auto"/>
            <w:left w:val="none" w:sz="0" w:space="0" w:color="auto"/>
            <w:bottom w:val="none" w:sz="0" w:space="0" w:color="auto"/>
            <w:right w:val="none" w:sz="0" w:space="0" w:color="auto"/>
          </w:divBdr>
          <w:divsChild>
            <w:div w:id="264194726">
              <w:marLeft w:val="0"/>
              <w:marRight w:val="0"/>
              <w:marTop w:val="0"/>
              <w:marBottom w:val="0"/>
              <w:divBdr>
                <w:top w:val="none" w:sz="0" w:space="0" w:color="auto"/>
                <w:left w:val="none" w:sz="0" w:space="0" w:color="auto"/>
                <w:bottom w:val="none" w:sz="0" w:space="0" w:color="auto"/>
                <w:right w:val="none" w:sz="0" w:space="0" w:color="auto"/>
              </w:divBdr>
            </w:div>
            <w:div w:id="1994605178">
              <w:marLeft w:val="0"/>
              <w:marRight w:val="0"/>
              <w:marTop w:val="0"/>
              <w:marBottom w:val="0"/>
              <w:divBdr>
                <w:top w:val="none" w:sz="0" w:space="0" w:color="auto"/>
                <w:left w:val="none" w:sz="0" w:space="0" w:color="auto"/>
                <w:bottom w:val="none" w:sz="0" w:space="0" w:color="auto"/>
                <w:right w:val="none" w:sz="0" w:space="0" w:color="auto"/>
              </w:divBdr>
              <w:divsChild>
                <w:div w:id="1909264014">
                  <w:marLeft w:val="0"/>
                  <w:marRight w:val="0"/>
                  <w:marTop w:val="0"/>
                  <w:marBottom w:val="0"/>
                  <w:divBdr>
                    <w:top w:val="none" w:sz="0" w:space="0" w:color="auto"/>
                    <w:left w:val="none" w:sz="0" w:space="0" w:color="auto"/>
                    <w:bottom w:val="none" w:sz="0" w:space="0" w:color="auto"/>
                    <w:right w:val="none" w:sz="0" w:space="0" w:color="auto"/>
                  </w:divBdr>
                </w:div>
                <w:div w:id="1899971036">
                  <w:marLeft w:val="0"/>
                  <w:marRight w:val="0"/>
                  <w:marTop w:val="0"/>
                  <w:marBottom w:val="0"/>
                  <w:divBdr>
                    <w:top w:val="none" w:sz="0" w:space="0" w:color="auto"/>
                    <w:left w:val="none" w:sz="0" w:space="0" w:color="auto"/>
                    <w:bottom w:val="none" w:sz="0" w:space="0" w:color="auto"/>
                    <w:right w:val="none" w:sz="0" w:space="0" w:color="auto"/>
                  </w:divBdr>
                </w:div>
                <w:div w:id="872309613">
                  <w:marLeft w:val="0"/>
                  <w:marRight w:val="0"/>
                  <w:marTop w:val="0"/>
                  <w:marBottom w:val="0"/>
                  <w:divBdr>
                    <w:top w:val="none" w:sz="0" w:space="0" w:color="auto"/>
                    <w:left w:val="none" w:sz="0" w:space="0" w:color="auto"/>
                    <w:bottom w:val="none" w:sz="0" w:space="0" w:color="auto"/>
                    <w:right w:val="none" w:sz="0" w:space="0" w:color="auto"/>
                  </w:divBdr>
                </w:div>
                <w:div w:id="1062677952">
                  <w:marLeft w:val="0"/>
                  <w:marRight w:val="0"/>
                  <w:marTop w:val="0"/>
                  <w:marBottom w:val="0"/>
                  <w:divBdr>
                    <w:top w:val="none" w:sz="0" w:space="0" w:color="auto"/>
                    <w:left w:val="none" w:sz="0" w:space="0" w:color="auto"/>
                    <w:bottom w:val="none" w:sz="0" w:space="0" w:color="auto"/>
                    <w:right w:val="none" w:sz="0" w:space="0" w:color="auto"/>
                  </w:divBdr>
                  <w:divsChild>
                    <w:div w:id="1645310035">
                      <w:marLeft w:val="0"/>
                      <w:marRight w:val="0"/>
                      <w:marTop w:val="0"/>
                      <w:marBottom w:val="0"/>
                      <w:divBdr>
                        <w:top w:val="none" w:sz="0" w:space="0" w:color="auto"/>
                        <w:left w:val="none" w:sz="0" w:space="0" w:color="auto"/>
                        <w:bottom w:val="none" w:sz="0" w:space="0" w:color="auto"/>
                        <w:right w:val="none" w:sz="0" w:space="0" w:color="auto"/>
                      </w:divBdr>
                    </w:div>
                    <w:div w:id="1116290241">
                      <w:marLeft w:val="0"/>
                      <w:marRight w:val="0"/>
                      <w:marTop w:val="0"/>
                      <w:marBottom w:val="0"/>
                      <w:divBdr>
                        <w:top w:val="none" w:sz="0" w:space="0" w:color="auto"/>
                        <w:left w:val="none" w:sz="0" w:space="0" w:color="auto"/>
                        <w:bottom w:val="none" w:sz="0" w:space="0" w:color="auto"/>
                        <w:right w:val="none" w:sz="0" w:space="0" w:color="auto"/>
                      </w:divBdr>
                    </w:div>
                  </w:divsChild>
                </w:div>
                <w:div w:id="615913446">
                  <w:marLeft w:val="0"/>
                  <w:marRight w:val="0"/>
                  <w:marTop w:val="0"/>
                  <w:marBottom w:val="0"/>
                  <w:divBdr>
                    <w:top w:val="none" w:sz="0" w:space="0" w:color="auto"/>
                    <w:left w:val="none" w:sz="0" w:space="0" w:color="auto"/>
                    <w:bottom w:val="none" w:sz="0" w:space="0" w:color="auto"/>
                    <w:right w:val="none" w:sz="0" w:space="0" w:color="auto"/>
                  </w:divBdr>
                </w:div>
                <w:div w:id="1564682455">
                  <w:marLeft w:val="0"/>
                  <w:marRight w:val="0"/>
                  <w:marTop w:val="0"/>
                  <w:marBottom w:val="0"/>
                  <w:divBdr>
                    <w:top w:val="none" w:sz="0" w:space="0" w:color="auto"/>
                    <w:left w:val="none" w:sz="0" w:space="0" w:color="auto"/>
                    <w:bottom w:val="none" w:sz="0" w:space="0" w:color="auto"/>
                    <w:right w:val="none" w:sz="0" w:space="0" w:color="auto"/>
                  </w:divBdr>
                </w:div>
                <w:div w:id="1640376892">
                  <w:marLeft w:val="0"/>
                  <w:marRight w:val="0"/>
                  <w:marTop w:val="0"/>
                  <w:marBottom w:val="0"/>
                  <w:divBdr>
                    <w:top w:val="none" w:sz="0" w:space="0" w:color="auto"/>
                    <w:left w:val="none" w:sz="0" w:space="0" w:color="auto"/>
                    <w:bottom w:val="none" w:sz="0" w:space="0" w:color="auto"/>
                    <w:right w:val="none" w:sz="0" w:space="0" w:color="auto"/>
                  </w:divBdr>
                </w:div>
                <w:div w:id="11577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30154">
      <w:bodyDiv w:val="1"/>
      <w:marLeft w:val="0"/>
      <w:marRight w:val="0"/>
      <w:marTop w:val="63"/>
      <w:marBottom w:val="63"/>
      <w:divBdr>
        <w:top w:val="none" w:sz="0" w:space="0" w:color="auto"/>
        <w:left w:val="none" w:sz="0" w:space="0" w:color="auto"/>
        <w:bottom w:val="none" w:sz="0" w:space="0" w:color="auto"/>
        <w:right w:val="none" w:sz="0" w:space="0" w:color="auto"/>
      </w:divBdr>
      <w:divsChild>
        <w:div w:id="1919824718">
          <w:marLeft w:val="25"/>
          <w:marRight w:val="25"/>
          <w:marTop w:val="25"/>
          <w:marBottom w:val="25"/>
          <w:divBdr>
            <w:top w:val="none" w:sz="0" w:space="0" w:color="auto"/>
            <w:left w:val="none" w:sz="0" w:space="0" w:color="auto"/>
            <w:bottom w:val="none" w:sz="0" w:space="0" w:color="auto"/>
            <w:right w:val="none" w:sz="0" w:space="0" w:color="auto"/>
          </w:divBdr>
        </w:div>
      </w:divsChild>
    </w:div>
    <w:div w:id="1078206229">
      <w:bodyDiv w:val="1"/>
      <w:marLeft w:val="0"/>
      <w:marRight w:val="0"/>
      <w:marTop w:val="78"/>
      <w:marBottom w:val="78"/>
      <w:divBdr>
        <w:top w:val="none" w:sz="0" w:space="0" w:color="auto"/>
        <w:left w:val="none" w:sz="0" w:space="0" w:color="auto"/>
        <w:bottom w:val="none" w:sz="0" w:space="0" w:color="auto"/>
        <w:right w:val="none" w:sz="0" w:space="0" w:color="auto"/>
      </w:divBdr>
      <w:divsChild>
        <w:div w:id="156845369">
          <w:marLeft w:val="31"/>
          <w:marRight w:val="31"/>
          <w:marTop w:val="31"/>
          <w:marBottom w:val="31"/>
          <w:divBdr>
            <w:top w:val="none" w:sz="0" w:space="0" w:color="auto"/>
            <w:left w:val="none" w:sz="0" w:space="0" w:color="auto"/>
            <w:bottom w:val="none" w:sz="0" w:space="0" w:color="auto"/>
            <w:right w:val="none" w:sz="0" w:space="0" w:color="auto"/>
          </w:divBdr>
          <w:divsChild>
            <w:div w:id="351954695">
              <w:marLeft w:val="0"/>
              <w:marRight w:val="0"/>
              <w:marTop w:val="0"/>
              <w:marBottom w:val="0"/>
              <w:divBdr>
                <w:top w:val="none" w:sz="0" w:space="0" w:color="auto"/>
                <w:left w:val="none" w:sz="0" w:space="0" w:color="auto"/>
                <w:bottom w:val="none" w:sz="0" w:space="0" w:color="auto"/>
                <w:right w:val="none" w:sz="0" w:space="0" w:color="auto"/>
              </w:divBdr>
            </w:div>
            <w:div w:id="282730403">
              <w:marLeft w:val="0"/>
              <w:marRight w:val="0"/>
              <w:marTop w:val="0"/>
              <w:marBottom w:val="0"/>
              <w:divBdr>
                <w:top w:val="none" w:sz="0" w:space="0" w:color="auto"/>
                <w:left w:val="none" w:sz="0" w:space="0" w:color="auto"/>
                <w:bottom w:val="none" w:sz="0" w:space="0" w:color="auto"/>
                <w:right w:val="none" w:sz="0" w:space="0" w:color="auto"/>
              </w:divBdr>
            </w:div>
            <w:div w:id="1413502115">
              <w:marLeft w:val="0"/>
              <w:marRight w:val="0"/>
              <w:marTop w:val="0"/>
              <w:marBottom w:val="0"/>
              <w:divBdr>
                <w:top w:val="none" w:sz="0" w:space="0" w:color="auto"/>
                <w:left w:val="none" w:sz="0" w:space="0" w:color="auto"/>
                <w:bottom w:val="none" w:sz="0" w:space="0" w:color="auto"/>
                <w:right w:val="none" w:sz="0" w:space="0" w:color="auto"/>
              </w:divBdr>
            </w:div>
            <w:div w:id="501043301">
              <w:marLeft w:val="0"/>
              <w:marRight w:val="0"/>
              <w:marTop w:val="0"/>
              <w:marBottom w:val="0"/>
              <w:divBdr>
                <w:top w:val="none" w:sz="0" w:space="0" w:color="auto"/>
                <w:left w:val="none" w:sz="0" w:space="0" w:color="auto"/>
                <w:bottom w:val="none" w:sz="0" w:space="0" w:color="auto"/>
                <w:right w:val="none" w:sz="0" w:space="0" w:color="auto"/>
              </w:divBdr>
            </w:div>
            <w:div w:id="1382437233">
              <w:marLeft w:val="0"/>
              <w:marRight w:val="0"/>
              <w:marTop w:val="0"/>
              <w:marBottom w:val="0"/>
              <w:divBdr>
                <w:top w:val="none" w:sz="0" w:space="0" w:color="auto"/>
                <w:left w:val="none" w:sz="0" w:space="0" w:color="auto"/>
                <w:bottom w:val="none" w:sz="0" w:space="0" w:color="auto"/>
                <w:right w:val="none" w:sz="0" w:space="0" w:color="auto"/>
              </w:divBdr>
            </w:div>
            <w:div w:id="2086100150">
              <w:marLeft w:val="0"/>
              <w:marRight w:val="0"/>
              <w:marTop w:val="0"/>
              <w:marBottom w:val="0"/>
              <w:divBdr>
                <w:top w:val="none" w:sz="0" w:space="0" w:color="auto"/>
                <w:left w:val="none" w:sz="0" w:space="0" w:color="auto"/>
                <w:bottom w:val="none" w:sz="0" w:space="0" w:color="auto"/>
                <w:right w:val="none" w:sz="0" w:space="0" w:color="auto"/>
              </w:divBdr>
            </w:div>
            <w:div w:id="15012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491">
      <w:bodyDiv w:val="1"/>
      <w:marLeft w:val="0"/>
      <w:marRight w:val="0"/>
      <w:marTop w:val="63"/>
      <w:marBottom w:val="63"/>
      <w:divBdr>
        <w:top w:val="none" w:sz="0" w:space="0" w:color="auto"/>
        <w:left w:val="none" w:sz="0" w:space="0" w:color="auto"/>
        <w:bottom w:val="none" w:sz="0" w:space="0" w:color="auto"/>
        <w:right w:val="none" w:sz="0" w:space="0" w:color="auto"/>
      </w:divBdr>
      <w:divsChild>
        <w:div w:id="1450513782">
          <w:marLeft w:val="25"/>
          <w:marRight w:val="25"/>
          <w:marTop w:val="25"/>
          <w:marBottom w:val="25"/>
          <w:divBdr>
            <w:top w:val="none" w:sz="0" w:space="0" w:color="auto"/>
            <w:left w:val="none" w:sz="0" w:space="0" w:color="auto"/>
            <w:bottom w:val="none" w:sz="0" w:space="0" w:color="auto"/>
            <w:right w:val="none" w:sz="0" w:space="0" w:color="auto"/>
          </w:divBdr>
        </w:div>
      </w:divsChild>
    </w:div>
    <w:div w:id="1551651008">
      <w:bodyDiv w:val="1"/>
      <w:marLeft w:val="0"/>
      <w:marRight w:val="0"/>
      <w:marTop w:val="78"/>
      <w:marBottom w:val="78"/>
      <w:divBdr>
        <w:top w:val="none" w:sz="0" w:space="0" w:color="auto"/>
        <w:left w:val="none" w:sz="0" w:space="0" w:color="auto"/>
        <w:bottom w:val="none" w:sz="0" w:space="0" w:color="auto"/>
        <w:right w:val="none" w:sz="0" w:space="0" w:color="auto"/>
      </w:divBdr>
      <w:divsChild>
        <w:div w:id="889607046">
          <w:marLeft w:val="31"/>
          <w:marRight w:val="31"/>
          <w:marTop w:val="31"/>
          <w:marBottom w:val="31"/>
          <w:divBdr>
            <w:top w:val="none" w:sz="0" w:space="0" w:color="auto"/>
            <w:left w:val="none" w:sz="0" w:space="0" w:color="auto"/>
            <w:bottom w:val="none" w:sz="0" w:space="0" w:color="auto"/>
            <w:right w:val="none" w:sz="0" w:space="0" w:color="auto"/>
          </w:divBdr>
          <w:divsChild>
            <w:div w:id="1297224672">
              <w:marLeft w:val="0"/>
              <w:marRight w:val="0"/>
              <w:marTop w:val="0"/>
              <w:marBottom w:val="0"/>
              <w:divBdr>
                <w:top w:val="none" w:sz="0" w:space="0" w:color="auto"/>
                <w:left w:val="none" w:sz="0" w:space="0" w:color="auto"/>
                <w:bottom w:val="none" w:sz="0" w:space="0" w:color="auto"/>
                <w:right w:val="none" w:sz="0" w:space="0" w:color="auto"/>
              </w:divBdr>
            </w:div>
            <w:div w:id="17127768">
              <w:marLeft w:val="0"/>
              <w:marRight w:val="0"/>
              <w:marTop w:val="0"/>
              <w:marBottom w:val="0"/>
              <w:divBdr>
                <w:top w:val="none" w:sz="0" w:space="0" w:color="auto"/>
                <w:left w:val="none" w:sz="0" w:space="0" w:color="auto"/>
                <w:bottom w:val="none" w:sz="0" w:space="0" w:color="auto"/>
                <w:right w:val="none" w:sz="0" w:space="0" w:color="auto"/>
              </w:divBdr>
            </w:div>
            <w:div w:id="695892368">
              <w:marLeft w:val="0"/>
              <w:marRight w:val="0"/>
              <w:marTop w:val="0"/>
              <w:marBottom w:val="0"/>
              <w:divBdr>
                <w:top w:val="none" w:sz="0" w:space="0" w:color="auto"/>
                <w:left w:val="none" w:sz="0" w:space="0" w:color="auto"/>
                <w:bottom w:val="none" w:sz="0" w:space="0" w:color="auto"/>
                <w:right w:val="none" w:sz="0" w:space="0" w:color="auto"/>
              </w:divBdr>
            </w:div>
            <w:div w:id="1131172219">
              <w:marLeft w:val="0"/>
              <w:marRight w:val="0"/>
              <w:marTop w:val="0"/>
              <w:marBottom w:val="0"/>
              <w:divBdr>
                <w:top w:val="none" w:sz="0" w:space="0" w:color="auto"/>
                <w:left w:val="none" w:sz="0" w:space="0" w:color="auto"/>
                <w:bottom w:val="none" w:sz="0" w:space="0" w:color="auto"/>
                <w:right w:val="none" w:sz="0" w:space="0" w:color="auto"/>
              </w:divBdr>
            </w:div>
            <w:div w:id="2108623153">
              <w:marLeft w:val="0"/>
              <w:marRight w:val="0"/>
              <w:marTop w:val="0"/>
              <w:marBottom w:val="0"/>
              <w:divBdr>
                <w:top w:val="none" w:sz="0" w:space="0" w:color="auto"/>
                <w:left w:val="none" w:sz="0" w:space="0" w:color="auto"/>
                <w:bottom w:val="none" w:sz="0" w:space="0" w:color="auto"/>
                <w:right w:val="none" w:sz="0" w:space="0" w:color="auto"/>
              </w:divBdr>
            </w:div>
            <w:div w:id="1845127450">
              <w:marLeft w:val="0"/>
              <w:marRight w:val="0"/>
              <w:marTop w:val="0"/>
              <w:marBottom w:val="0"/>
              <w:divBdr>
                <w:top w:val="none" w:sz="0" w:space="0" w:color="auto"/>
                <w:left w:val="none" w:sz="0" w:space="0" w:color="auto"/>
                <w:bottom w:val="none" w:sz="0" w:space="0" w:color="auto"/>
                <w:right w:val="none" w:sz="0" w:space="0" w:color="auto"/>
              </w:divBdr>
              <w:divsChild>
                <w:div w:id="481629447">
                  <w:marLeft w:val="0"/>
                  <w:marRight w:val="0"/>
                  <w:marTop w:val="0"/>
                  <w:marBottom w:val="0"/>
                  <w:divBdr>
                    <w:top w:val="none" w:sz="0" w:space="0" w:color="auto"/>
                    <w:left w:val="none" w:sz="0" w:space="0" w:color="auto"/>
                    <w:bottom w:val="none" w:sz="0" w:space="0" w:color="auto"/>
                    <w:right w:val="none" w:sz="0" w:space="0" w:color="auto"/>
                  </w:divBdr>
                </w:div>
                <w:div w:id="1040712783">
                  <w:marLeft w:val="0"/>
                  <w:marRight w:val="0"/>
                  <w:marTop w:val="0"/>
                  <w:marBottom w:val="0"/>
                  <w:divBdr>
                    <w:top w:val="none" w:sz="0" w:space="0" w:color="auto"/>
                    <w:left w:val="none" w:sz="0" w:space="0" w:color="auto"/>
                    <w:bottom w:val="none" w:sz="0" w:space="0" w:color="auto"/>
                    <w:right w:val="none" w:sz="0" w:space="0" w:color="auto"/>
                  </w:divBdr>
                </w:div>
                <w:div w:id="1403865349">
                  <w:marLeft w:val="0"/>
                  <w:marRight w:val="0"/>
                  <w:marTop w:val="0"/>
                  <w:marBottom w:val="0"/>
                  <w:divBdr>
                    <w:top w:val="none" w:sz="0" w:space="0" w:color="auto"/>
                    <w:left w:val="none" w:sz="0" w:space="0" w:color="auto"/>
                    <w:bottom w:val="none" w:sz="0" w:space="0" w:color="auto"/>
                    <w:right w:val="none" w:sz="0" w:space="0" w:color="auto"/>
                  </w:divBdr>
                </w:div>
              </w:divsChild>
            </w:div>
            <w:div w:id="640619964">
              <w:marLeft w:val="0"/>
              <w:marRight w:val="0"/>
              <w:marTop w:val="0"/>
              <w:marBottom w:val="0"/>
              <w:divBdr>
                <w:top w:val="none" w:sz="0" w:space="0" w:color="auto"/>
                <w:left w:val="none" w:sz="0" w:space="0" w:color="auto"/>
                <w:bottom w:val="none" w:sz="0" w:space="0" w:color="auto"/>
                <w:right w:val="none" w:sz="0" w:space="0" w:color="auto"/>
              </w:divBdr>
            </w:div>
            <w:div w:id="1316642139">
              <w:marLeft w:val="0"/>
              <w:marRight w:val="0"/>
              <w:marTop w:val="0"/>
              <w:marBottom w:val="0"/>
              <w:divBdr>
                <w:top w:val="none" w:sz="0" w:space="0" w:color="auto"/>
                <w:left w:val="none" w:sz="0" w:space="0" w:color="auto"/>
                <w:bottom w:val="none" w:sz="0" w:space="0" w:color="auto"/>
                <w:right w:val="none" w:sz="0" w:space="0" w:color="auto"/>
              </w:divBdr>
            </w:div>
            <w:div w:id="126313712">
              <w:marLeft w:val="0"/>
              <w:marRight w:val="0"/>
              <w:marTop w:val="0"/>
              <w:marBottom w:val="0"/>
              <w:divBdr>
                <w:top w:val="none" w:sz="0" w:space="0" w:color="auto"/>
                <w:left w:val="none" w:sz="0" w:space="0" w:color="auto"/>
                <w:bottom w:val="none" w:sz="0" w:space="0" w:color="auto"/>
                <w:right w:val="none" w:sz="0" w:space="0" w:color="auto"/>
              </w:divBdr>
            </w:div>
            <w:div w:id="1881546717">
              <w:marLeft w:val="0"/>
              <w:marRight w:val="0"/>
              <w:marTop w:val="0"/>
              <w:marBottom w:val="0"/>
              <w:divBdr>
                <w:top w:val="none" w:sz="0" w:space="0" w:color="auto"/>
                <w:left w:val="none" w:sz="0" w:space="0" w:color="auto"/>
                <w:bottom w:val="none" w:sz="0" w:space="0" w:color="auto"/>
                <w:right w:val="none" w:sz="0" w:space="0" w:color="auto"/>
              </w:divBdr>
            </w:div>
            <w:div w:id="1724133888">
              <w:marLeft w:val="0"/>
              <w:marRight w:val="0"/>
              <w:marTop w:val="0"/>
              <w:marBottom w:val="0"/>
              <w:divBdr>
                <w:top w:val="none" w:sz="0" w:space="0" w:color="auto"/>
                <w:left w:val="none" w:sz="0" w:space="0" w:color="auto"/>
                <w:bottom w:val="none" w:sz="0" w:space="0" w:color="auto"/>
                <w:right w:val="none" w:sz="0" w:space="0" w:color="auto"/>
              </w:divBdr>
            </w:div>
            <w:div w:id="9530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18403">
      <w:bodyDiv w:val="1"/>
      <w:marLeft w:val="0"/>
      <w:marRight w:val="0"/>
      <w:marTop w:val="63"/>
      <w:marBottom w:val="63"/>
      <w:divBdr>
        <w:top w:val="none" w:sz="0" w:space="0" w:color="auto"/>
        <w:left w:val="none" w:sz="0" w:space="0" w:color="auto"/>
        <w:bottom w:val="none" w:sz="0" w:space="0" w:color="auto"/>
        <w:right w:val="none" w:sz="0" w:space="0" w:color="auto"/>
      </w:divBdr>
      <w:divsChild>
        <w:div w:id="1448696023">
          <w:marLeft w:val="25"/>
          <w:marRight w:val="25"/>
          <w:marTop w:val="25"/>
          <w:marBottom w:val="25"/>
          <w:divBdr>
            <w:top w:val="none" w:sz="0" w:space="0" w:color="auto"/>
            <w:left w:val="none" w:sz="0" w:space="0" w:color="auto"/>
            <w:bottom w:val="none" w:sz="0" w:space="0" w:color="auto"/>
            <w:right w:val="none" w:sz="0" w:space="0" w:color="auto"/>
          </w:divBdr>
          <w:divsChild>
            <w:div w:id="1675298574">
              <w:marLeft w:val="0"/>
              <w:marRight w:val="0"/>
              <w:marTop w:val="0"/>
              <w:marBottom w:val="0"/>
              <w:divBdr>
                <w:top w:val="none" w:sz="0" w:space="0" w:color="auto"/>
                <w:left w:val="none" w:sz="0" w:space="0" w:color="auto"/>
                <w:bottom w:val="none" w:sz="0" w:space="0" w:color="auto"/>
                <w:right w:val="none" w:sz="0" w:space="0" w:color="auto"/>
              </w:divBdr>
            </w:div>
            <w:div w:id="549463098">
              <w:marLeft w:val="0"/>
              <w:marRight w:val="0"/>
              <w:marTop w:val="0"/>
              <w:marBottom w:val="0"/>
              <w:divBdr>
                <w:top w:val="none" w:sz="0" w:space="0" w:color="auto"/>
                <w:left w:val="none" w:sz="0" w:space="0" w:color="auto"/>
                <w:bottom w:val="none" w:sz="0" w:space="0" w:color="auto"/>
                <w:right w:val="none" w:sz="0" w:space="0" w:color="auto"/>
              </w:divBdr>
            </w:div>
            <w:div w:id="1153525747">
              <w:marLeft w:val="0"/>
              <w:marRight w:val="0"/>
              <w:marTop w:val="0"/>
              <w:marBottom w:val="0"/>
              <w:divBdr>
                <w:top w:val="none" w:sz="0" w:space="0" w:color="auto"/>
                <w:left w:val="none" w:sz="0" w:space="0" w:color="auto"/>
                <w:bottom w:val="none" w:sz="0" w:space="0" w:color="auto"/>
                <w:right w:val="none" w:sz="0" w:space="0" w:color="auto"/>
              </w:divBdr>
            </w:div>
            <w:div w:id="80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1250">
      <w:bodyDiv w:val="1"/>
      <w:marLeft w:val="0"/>
      <w:marRight w:val="0"/>
      <w:marTop w:val="78"/>
      <w:marBottom w:val="78"/>
      <w:divBdr>
        <w:top w:val="none" w:sz="0" w:space="0" w:color="auto"/>
        <w:left w:val="none" w:sz="0" w:space="0" w:color="auto"/>
        <w:bottom w:val="none" w:sz="0" w:space="0" w:color="auto"/>
        <w:right w:val="none" w:sz="0" w:space="0" w:color="auto"/>
      </w:divBdr>
      <w:divsChild>
        <w:div w:id="165749555">
          <w:marLeft w:val="31"/>
          <w:marRight w:val="31"/>
          <w:marTop w:val="31"/>
          <w:marBottom w:val="31"/>
          <w:divBdr>
            <w:top w:val="none" w:sz="0" w:space="0" w:color="auto"/>
            <w:left w:val="none" w:sz="0" w:space="0" w:color="auto"/>
            <w:bottom w:val="none" w:sz="0" w:space="0" w:color="auto"/>
            <w:right w:val="none" w:sz="0" w:space="0" w:color="auto"/>
          </w:divBdr>
        </w:div>
      </w:divsChild>
    </w:div>
    <w:div w:id="2115443077">
      <w:bodyDiv w:val="1"/>
      <w:marLeft w:val="0"/>
      <w:marRight w:val="0"/>
      <w:marTop w:val="63"/>
      <w:marBottom w:val="63"/>
      <w:divBdr>
        <w:top w:val="none" w:sz="0" w:space="0" w:color="auto"/>
        <w:left w:val="none" w:sz="0" w:space="0" w:color="auto"/>
        <w:bottom w:val="none" w:sz="0" w:space="0" w:color="auto"/>
        <w:right w:val="none" w:sz="0" w:space="0" w:color="auto"/>
      </w:divBdr>
      <w:divsChild>
        <w:div w:id="134641919">
          <w:marLeft w:val="25"/>
          <w:marRight w:val="25"/>
          <w:marTop w:val="25"/>
          <w:marBottom w:val="25"/>
          <w:divBdr>
            <w:top w:val="none" w:sz="0" w:space="0" w:color="auto"/>
            <w:left w:val="none" w:sz="0" w:space="0" w:color="auto"/>
            <w:bottom w:val="none" w:sz="0" w:space="0" w:color="auto"/>
            <w:right w:val="none" w:sz="0" w:space="0" w:color="auto"/>
          </w:divBdr>
          <w:divsChild>
            <w:div w:id="998925471">
              <w:marLeft w:val="0"/>
              <w:marRight w:val="0"/>
              <w:marTop w:val="0"/>
              <w:marBottom w:val="0"/>
              <w:divBdr>
                <w:top w:val="none" w:sz="0" w:space="0" w:color="auto"/>
                <w:left w:val="none" w:sz="0" w:space="0" w:color="auto"/>
                <w:bottom w:val="none" w:sz="0" w:space="0" w:color="auto"/>
                <w:right w:val="none" w:sz="0" w:space="0" w:color="auto"/>
              </w:divBdr>
            </w:div>
            <w:div w:id="1356925785">
              <w:marLeft w:val="0"/>
              <w:marRight w:val="0"/>
              <w:marTop w:val="0"/>
              <w:marBottom w:val="0"/>
              <w:divBdr>
                <w:top w:val="none" w:sz="0" w:space="0" w:color="auto"/>
                <w:left w:val="none" w:sz="0" w:space="0" w:color="auto"/>
                <w:bottom w:val="none" w:sz="0" w:space="0" w:color="auto"/>
                <w:right w:val="none" w:sz="0" w:space="0" w:color="auto"/>
              </w:divBdr>
            </w:div>
            <w:div w:id="13088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2462</Words>
  <Characters>13543</Characters>
  <Application>Microsoft Office Word</Application>
  <DocSecurity>0</DocSecurity>
  <Lines>112</Lines>
  <Paragraphs>31</Paragraphs>
  <ScaleCrop>false</ScaleCrop>
  <HeadingPairs>
    <vt:vector size="2" baseType="variant">
      <vt:variant>
        <vt:lpstr>Rubrik</vt:lpstr>
      </vt:variant>
      <vt:variant>
        <vt:i4>1</vt:i4>
      </vt:variant>
    </vt:vector>
  </HeadingPairs>
  <TitlesOfParts>
    <vt:vector size="1" baseType="lpstr">
      <vt:lpstr/>
    </vt:vector>
  </TitlesOfParts>
  <Company>PTS</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DESCHAMPS Benoist</cp:lastModifiedBy>
  <cp:revision>8</cp:revision>
  <dcterms:created xsi:type="dcterms:W3CDTF">2012-05-18T18:00:00Z</dcterms:created>
  <dcterms:modified xsi:type="dcterms:W3CDTF">2012-05-18T19:54:00Z</dcterms:modified>
</cp:coreProperties>
</file>