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8" w:type="dxa"/>
        <w:tblLayout w:type="fixed"/>
        <w:tblLook w:val="0000"/>
      </w:tblPr>
      <w:tblGrid>
        <w:gridCol w:w="8"/>
        <w:gridCol w:w="3500"/>
        <w:gridCol w:w="144"/>
        <w:gridCol w:w="156"/>
        <w:gridCol w:w="1700"/>
        <w:gridCol w:w="270"/>
        <w:gridCol w:w="1930"/>
        <w:gridCol w:w="1900"/>
      </w:tblGrid>
      <w:tr w:rsidR="008077C2" w:rsidRPr="007F6913" w:rsidTr="006B0481">
        <w:tc>
          <w:tcPr>
            <w:tcW w:w="3652" w:type="dxa"/>
            <w:gridSpan w:val="3"/>
          </w:tcPr>
          <w:p w:rsidR="008077C2" w:rsidRDefault="008077C2" w:rsidP="0063092C">
            <w:pPr>
              <w:rPr>
                <w:rFonts w:ascii="Arial" w:hAnsi="Arial" w:cs="Arial"/>
                <w:b/>
              </w:rPr>
            </w:pPr>
            <w:r w:rsidRPr="00465A9A">
              <w:rPr>
                <w:b/>
                <w:caps/>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8.25pt;height:73.5pt;visibility:visible">
                  <v:imagedata r:id="rId7" o:title=""/>
                </v:shape>
              </w:pict>
            </w:r>
          </w:p>
        </w:tc>
        <w:tc>
          <w:tcPr>
            <w:tcW w:w="4056" w:type="dxa"/>
            <w:gridSpan w:val="4"/>
          </w:tcPr>
          <w:p w:rsidR="008077C2" w:rsidRDefault="008077C2" w:rsidP="006B0481">
            <w:pPr>
              <w:rPr>
                <w:rFonts w:ascii="Arial" w:hAnsi="Arial" w:cs="Arial"/>
                <w:b/>
              </w:rPr>
            </w:pPr>
          </w:p>
          <w:p w:rsidR="008077C2" w:rsidRDefault="008077C2" w:rsidP="006B0481">
            <w:pPr>
              <w:rPr>
                <w:rFonts w:ascii="Arial" w:hAnsi="Arial" w:cs="Arial"/>
                <w:b/>
              </w:rPr>
            </w:pPr>
          </w:p>
          <w:p w:rsidR="008077C2" w:rsidRDefault="008077C2" w:rsidP="006B0481">
            <w:pPr>
              <w:rPr>
                <w:rFonts w:ascii="Arial" w:hAnsi="Arial" w:cs="Arial"/>
                <w:b/>
              </w:rPr>
            </w:pPr>
          </w:p>
          <w:p w:rsidR="008077C2" w:rsidRDefault="008077C2" w:rsidP="006B0481">
            <w:pPr>
              <w:rPr>
                <w:rFonts w:ascii="Arial" w:hAnsi="Arial" w:cs="Arial"/>
                <w:b/>
              </w:rPr>
            </w:pPr>
            <w:r>
              <w:rPr>
                <w:rFonts w:ascii="Arial" w:hAnsi="Arial" w:cs="Arial"/>
                <w:b/>
              </w:rPr>
              <w:t>FM PT50, 1</w:t>
            </w:r>
            <w:r w:rsidRPr="003720B7">
              <w:rPr>
                <w:rFonts w:ascii="Arial" w:hAnsi="Arial" w:cs="Arial"/>
                <w:b/>
                <w:vertAlign w:val="superscript"/>
              </w:rPr>
              <w:t>st</w:t>
            </w:r>
            <w:r>
              <w:rPr>
                <w:rFonts w:ascii="Arial" w:hAnsi="Arial" w:cs="Arial"/>
                <w:b/>
              </w:rPr>
              <w:t xml:space="preserve"> meeting</w:t>
            </w:r>
          </w:p>
        </w:tc>
        <w:tc>
          <w:tcPr>
            <w:tcW w:w="1900" w:type="dxa"/>
          </w:tcPr>
          <w:p w:rsidR="008077C2" w:rsidRDefault="008077C2" w:rsidP="00FB51A4">
            <w:pPr>
              <w:jc w:val="right"/>
              <w:rPr>
                <w:rFonts w:ascii="Arial" w:hAnsi="Arial" w:cs="Arial"/>
                <w:b/>
              </w:rPr>
            </w:pPr>
            <w:r>
              <w:rPr>
                <w:rFonts w:ascii="Arial" w:hAnsi="Arial" w:cs="Arial"/>
                <w:b/>
              </w:rPr>
              <w:t>FM50(11)007</w:t>
            </w:r>
          </w:p>
        </w:tc>
      </w:tr>
      <w:tr w:rsidR="008077C2" w:rsidRPr="007F6913" w:rsidTr="0083063C">
        <w:tc>
          <w:tcPr>
            <w:tcW w:w="9608" w:type="dxa"/>
            <w:gridSpan w:val="8"/>
          </w:tcPr>
          <w:p w:rsidR="008077C2" w:rsidRPr="007F6913" w:rsidRDefault="008077C2" w:rsidP="006B0481">
            <w:pPr>
              <w:jc w:val="left"/>
              <w:rPr>
                <w:rFonts w:ascii="Arial" w:hAnsi="Arial" w:cs="Arial"/>
                <w:b/>
              </w:rPr>
            </w:pPr>
            <w:r>
              <w:rPr>
                <w:rFonts w:ascii="Arial" w:hAnsi="Arial" w:cs="Arial"/>
                <w:b/>
              </w:rPr>
              <w:t>27 – 29</w:t>
            </w:r>
            <w:r w:rsidRPr="007F6913">
              <w:rPr>
                <w:rFonts w:ascii="Arial" w:hAnsi="Arial" w:cs="Arial"/>
                <w:b/>
              </w:rPr>
              <w:t xml:space="preserve"> </w:t>
            </w:r>
            <w:r>
              <w:rPr>
                <w:rFonts w:ascii="Arial" w:hAnsi="Arial" w:cs="Arial"/>
                <w:b/>
              </w:rPr>
              <w:t>July</w:t>
            </w:r>
            <w:r w:rsidRPr="007F6913">
              <w:rPr>
                <w:rFonts w:ascii="Arial" w:hAnsi="Arial" w:cs="Arial"/>
                <w:b/>
              </w:rPr>
              <w:t xml:space="preserve"> 20</w:t>
            </w:r>
            <w:r>
              <w:rPr>
                <w:rFonts w:ascii="Arial" w:hAnsi="Arial" w:cs="Arial"/>
                <w:b/>
              </w:rPr>
              <w:t xml:space="preserve">11, </w:t>
            </w:r>
            <w:smartTag w:uri="urn:schemas-microsoft-com:office:smarttags" w:element="City">
              <w:smartTag w:uri="urn:schemas-microsoft-com:office:smarttags" w:element="place">
                <w:smartTag w:uri="urn:schemas-microsoft-com:office:smarttags" w:element="City">
                  <w:r>
                    <w:rPr>
                      <w:rFonts w:ascii="Arial" w:hAnsi="Arial" w:cs="Arial"/>
                      <w:b/>
                    </w:rPr>
                    <w:t>Copenhagen</w:t>
                  </w:r>
                </w:smartTag>
                <w:r>
                  <w:rPr>
                    <w:rFonts w:ascii="Arial" w:hAnsi="Arial" w:cs="Arial"/>
                    <w:b/>
                  </w:rPr>
                  <w:t xml:space="preserve">, </w:t>
                </w:r>
                <w:smartTag w:uri="urn:schemas-microsoft-com:office:smarttags" w:element="country-region">
                  <w:r>
                    <w:rPr>
                      <w:rFonts w:ascii="Arial" w:hAnsi="Arial" w:cs="Arial"/>
                      <w:b/>
                    </w:rPr>
                    <w:t>Denmark</w:t>
                  </w:r>
                </w:smartTag>
              </w:smartTag>
            </w:smartTag>
          </w:p>
        </w:tc>
      </w:tr>
      <w:tr w:rsidR="008077C2" w:rsidRPr="007F6913" w:rsidTr="006B0481">
        <w:tc>
          <w:tcPr>
            <w:tcW w:w="3652" w:type="dxa"/>
            <w:gridSpan w:val="3"/>
          </w:tcPr>
          <w:p w:rsidR="008077C2" w:rsidRPr="007F6913" w:rsidRDefault="008077C2" w:rsidP="00FB51A4">
            <w:pPr>
              <w:rPr>
                <w:rFonts w:ascii="Arial" w:hAnsi="Arial" w:cs="Arial"/>
                <w:b/>
              </w:rPr>
            </w:pPr>
          </w:p>
        </w:tc>
        <w:tc>
          <w:tcPr>
            <w:tcW w:w="5956" w:type="dxa"/>
            <w:gridSpan w:val="5"/>
          </w:tcPr>
          <w:p w:rsidR="008077C2" w:rsidRPr="007F6913" w:rsidRDefault="008077C2" w:rsidP="00FB51A4">
            <w:pPr>
              <w:rPr>
                <w:rFonts w:ascii="Arial" w:hAnsi="Arial" w:cs="Arial"/>
                <w:b/>
              </w:rPr>
            </w:pPr>
          </w:p>
        </w:tc>
      </w:tr>
      <w:tr w:rsidR="008077C2" w:rsidRPr="007F6913">
        <w:trPr>
          <w:cantSplit/>
        </w:trPr>
        <w:tc>
          <w:tcPr>
            <w:tcW w:w="9608" w:type="dxa"/>
            <w:gridSpan w:val="8"/>
          </w:tcPr>
          <w:p w:rsidR="008077C2" w:rsidRPr="007F6913" w:rsidRDefault="008077C2" w:rsidP="00FB51A4">
            <w:pPr>
              <w:tabs>
                <w:tab w:val="left" w:pos="1582"/>
              </w:tabs>
              <w:outlineLvl w:val="0"/>
              <w:rPr>
                <w:rFonts w:ascii="Arial" w:hAnsi="Arial" w:cs="Arial"/>
                <w:b/>
              </w:rPr>
            </w:pPr>
            <w:r w:rsidRPr="007F6913">
              <w:rPr>
                <w:rFonts w:ascii="Arial" w:hAnsi="Arial" w:cs="Arial"/>
                <w:b/>
              </w:rPr>
              <w:t>Date issued:</w:t>
            </w:r>
            <w:r w:rsidRPr="007F6913">
              <w:rPr>
                <w:rFonts w:ascii="Arial" w:hAnsi="Arial" w:cs="Arial"/>
                <w:b/>
              </w:rPr>
              <w:tab/>
            </w:r>
            <w:r>
              <w:rPr>
                <w:rFonts w:ascii="Arial" w:hAnsi="Arial" w:cs="Arial"/>
                <w:b/>
              </w:rPr>
              <w:t>12 July</w:t>
            </w:r>
            <w:r w:rsidRPr="007F6913">
              <w:rPr>
                <w:rFonts w:ascii="Arial" w:hAnsi="Arial" w:cs="Arial"/>
                <w:b/>
              </w:rPr>
              <w:t xml:space="preserve"> </w:t>
            </w:r>
            <w:r>
              <w:rPr>
                <w:rFonts w:ascii="Arial" w:hAnsi="Arial" w:cs="Arial"/>
                <w:b/>
              </w:rPr>
              <w:t>2011</w:t>
            </w:r>
          </w:p>
          <w:p w:rsidR="008077C2" w:rsidRPr="007F6913" w:rsidRDefault="008077C2" w:rsidP="00FB51A4">
            <w:pPr>
              <w:tabs>
                <w:tab w:val="left" w:pos="1582"/>
              </w:tabs>
              <w:spacing w:before="120"/>
              <w:outlineLvl w:val="0"/>
              <w:rPr>
                <w:rFonts w:ascii="Arial" w:hAnsi="Arial" w:cs="Arial"/>
                <w:b/>
              </w:rPr>
            </w:pPr>
            <w:r w:rsidRPr="007F6913">
              <w:rPr>
                <w:rFonts w:ascii="Arial" w:hAnsi="Arial" w:cs="Arial"/>
                <w:b/>
              </w:rPr>
              <w:t>Source:</w:t>
            </w:r>
            <w:r w:rsidRPr="007F6913">
              <w:rPr>
                <w:rFonts w:ascii="Arial" w:hAnsi="Arial" w:cs="Arial"/>
                <w:b/>
              </w:rPr>
              <w:tab/>
            </w:r>
            <w:r>
              <w:rPr>
                <w:rFonts w:ascii="Arial" w:hAnsi="Arial" w:cs="Arial"/>
                <w:b/>
              </w:rPr>
              <w:t>DIGITALEUROPE</w:t>
            </w:r>
          </w:p>
          <w:p w:rsidR="008077C2" w:rsidRPr="007F6913" w:rsidRDefault="008077C2" w:rsidP="00EA4DA5">
            <w:pPr>
              <w:tabs>
                <w:tab w:val="left" w:pos="1571"/>
              </w:tabs>
              <w:spacing w:before="120" w:after="120"/>
              <w:outlineLvl w:val="0"/>
              <w:rPr>
                <w:rFonts w:ascii="Arial" w:hAnsi="Arial" w:cs="Arial"/>
                <w:b/>
              </w:rPr>
            </w:pPr>
            <w:r w:rsidRPr="007F6913">
              <w:rPr>
                <w:rFonts w:ascii="Arial" w:hAnsi="Arial" w:cs="Arial"/>
                <w:b/>
              </w:rPr>
              <w:t>Subject:</w:t>
            </w:r>
            <w:r w:rsidRPr="007F6913">
              <w:rPr>
                <w:rFonts w:ascii="Arial" w:hAnsi="Arial" w:cs="Arial"/>
                <w:b/>
              </w:rPr>
              <w:tab/>
            </w:r>
            <w:r>
              <w:rPr>
                <w:rFonts w:ascii="Arial" w:hAnsi="Arial" w:cs="Arial"/>
                <w:b/>
              </w:rPr>
              <w:t>Use of the L-band (1452-1492 MHz) for Downlink Multimedia services</w:t>
            </w:r>
          </w:p>
        </w:tc>
      </w:tr>
      <w:tr w:rsidR="008077C2" w:rsidRPr="007F6913" w:rsidTr="004C6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2"/>
          <w:wBefore w:w="8" w:type="dxa"/>
          <w:wAfter w:w="3830" w:type="dxa"/>
        </w:trPr>
        <w:tc>
          <w:tcPr>
            <w:tcW w:w="3500" w:type="dxa"/>
            <w:tcBorders>
              <w:top w:val="nil"/>
              <w:left w:val="nil"/>
              <w:bottom w:val="nil"/>
            </w:tcBorders>
          </w:tcPr>
          <w:p w:rsidR="008077C2" w:rsidRPr="007F6913" w:rsidRDefault="008077C2" w:rsidP="00FB51A4">
            <w:pPr>
              <w:tabs>
                <w:tab w:val="left" w:pos="2930"/>
              </w:tabs>
              <w:rPr>
                <w:rFonts w:ascii="Arial" w:hAnsi="Arial" w:cs="Arial"/>
                <w:b/>
                <w:sz w:val="20"/>
              </w:rPr>
            </w:pPr>
            <w:r w:rsidRPr="007F6913">
              <w:rPr>
                <w:rFonts w:ascii="Arial" w:hAnsi="Arial" w:cs="Arial"/>
                <w:b/>
              </w:rPr>
              <w:t>Password protected:</w:t>
            </w:r>
            <w:r w:rsidRPr="007F6913">
              <w:rPr>
                <w:rFonts w:ascii="Arial" w:hAnsi="Arial" w:cs="Arial"/>
                <w:b/>
              </w:rPr>
              <w:tab/>
              <w:t>yes</w:t>
            </w:r>
          </w:p>
        </w:tc>
        <w:tc>
          <w:tcPr>
            <w:tcW w:w="300" w:type="dxa"/>
            <w:gridSpan w:val="2"/>
          </w:tcPr>
          <w:p w:rsidR="008077C2" w:rsidRPr="007F6913" w:rsidRDefault="008077C2" w:rsidP="00FB51A4">
            <w:pPr>
              <w:rPr>
                <w:rFonts w:ascii="Arial" w:hAnsi="Arial" w:cs="Arial"/>
                <w:b/>
              </w:rPr>
            </w:pPr>
          </w:p>
        </w:tc>
        <w:tc>
          <w:tcPr>
            <w:tcW w:w="1700" w:type="dxa"/>
            <w:tcBorders>
              <w:top w:val="nil"/>
              <w:bottom w:val="nil"/>
            </w:tcBorders>
          </w:tcPr>
          <w:p w:rsidR="008077C2" w:rsidRPr="007F6913" w:rsidRDefault="008077C2" w:rsidP="00FB51A4">
            <w:pPr>
              <w:tabs>
                <w:tab w:val="left" w:pos="1130"/>
              </w:tabs>
              <w:rPr>
                <w:rFonts w:ascii="Arial" w:hAnsi="Arial" w:cs="Arial"/>
                <w:b/>
              </w:rPr>
            </w:pPr>
            <w:r w:rsidRPr="007F6913">
              <w:rPr>
                <w:rFonts w:ascii="Arial" w:hAnsi="Arial" w:cs="Arial"/>
                <w:b/>
              </w:rPr>
              <w:tab/>
              <w:t>No</w:t>
            </w:r>
          </w:p>
        </w:tc>
        <w:tc>
          <w:tcPr>
            <w:tcW w:w="270" w:type="dxa"/>
          </w:tcPr>
          <w:p w:rsidR="008077C2" w:rsidRPr="007F6913" w:rsidRDefault="008077C2" w:rsidP="00FB51A4">
            <w:pPr>
              <w:rPr>
                <w:rFonts w:ascii="Arial" w:hAnsi="Arial" w:cs="Arial"/>
                <w:b/>
              </w:rPr>
            </w:pPr>
            <w:r w:rsidRPr="007F6913">
              <w:rPr>
                <w:rFonts w:ascii="Arial" w:hAnsi="Arial" w:cs="Arial"/>
                <w:b/>
              </w:rPr>
              <w:t>x</w:t>
            </w:r>
          </w:p>
        </w:tc>
      </w:tr>
    </w:tbl>
    <w:p w:rsidR="008077C2" w:rsidRPr="007F6913" w:rsidRDefault="008077C2" w:rsidP="00C2062E"/>
    <w:tbl>
      <w:tblPr>
        <w:tblW w:w="96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0"/>
      </w:tblGrid>
      <w:tr w:rsidR="008077C2" w:rsidRPr="003720B7" w:rsidTr="003720B7">
        <w:tc>
          <w:tcPr>
            <w:tcW w:w="9600" w:type="dxa"/>
          </w:tcPr>
          <w:p w:rsidR="008077C2" w:rsidRPr="003720B7" w:rsidRDefault="008077C2" w:rsidP="003720B7">
            <w:pPr>
              <w:jc w:val="left"/>
              <w:rPr>
                <w:rFonts w:ascii="Arial" w:hAnsi="Arial" w:cs="Arial"/>
                <w:b/>
                <w:sz w:val="20"/>
                <w:szCs w:val="20"/>
              </w:rPr>
            </w:pPr>
          </w:p>
          <w:p w:rsidR="008077C2" w:rsidRDefault="008077C2" w:rsidP="003720B7">
            <w:pPr>
              <w:keepNext/>
              <w:jc w:val="left"/>
              <w:outlineLvl w:val="2"/>
              <w:rPr>
                <w:rFonts w:ascii="Arial" w:hAnsi="Arial" w:cs="Arial"/>
                <w:b/>
                <w:sz w:val="24"/>
                <w:szCs w:val="20"/>
              </w:rPr>
            </w:pPr>
            <w:r w:rsidRPr="003720B7">
              <w:rPr>
                <w:rFonts w:ascii="Arial" w:hAnsi="Arial" w:cs="Arial"/>
                <w:b/>
                <w:sz w:val="24"/>
                <w:szCs w:val="20"/>
              </w:rPr>
              <w:t>Summary</w:t>
            </w:r>
          </w:p>
          <w:p w:rsidR="008077C2" w:rsidRDefault="008077C2" w:rsidP="003720B7">
            <w:pPr>
              <w:keepNext/>
              <w:jc w:val="left"/>
              <w:outlineLvl w:val="2"/>
              <w:rPr>
                <w:rFonts w:ascii="Arial" w:hAnsi="Arial" w:cs="Arial"/>
                <w:b/>
                <w:szCs w:val="22"/>
              </w:rPr>
            </w:pPr>
          </w:p>
          <w:p w:rsidR="008077C2" w:rsidRDefault="008077C2" w:rsidP="009C3F36">
            <w:pPr>
              <w:pStyle w:val="Default"/>
              <w:spacing w:line="276" w:lineRule="auto"/>
              <w:rPr>
                <w:sz w:val="22"/>
                <w:szCs w:val="22"/>
              </w:rPr>
            </w:pPr>
            <w:r w:rsidRPr="00EA4DA5">
              <w:rPr>
                <w:sz w:val="22"/>
                <w:szCs w:val="22"/>
              </w:rPr>
              <w:t xml:space="preserve">DIGITALEUROPE supports </w:t>
            </w:r>
            <w:r>
              <w:rPr>
                <w:sz w:val="22"/>
                <w:szCs w:val="22"/>
              </w:rPr>
              <w:t>the future use of the L-band 1452-1492 MHz in CEPT for Downlink Multimedia services</w:t>
            </w:r>
            <w:r w:rsidRPr="00EA4DA5">
              <w:rPr>
                <w:sz w:val="22"/>
                <w:szCs w:val="22"/>
              </w:rPr>
              <w:t xml:space="preserve"> </w:t>
            </w:r>
          </w:p>
          <w:p w:rsidR="008077C2" w:rsidRPr="003720B7" w:rsidRDefault="008077C2" w:rsidP="009C3F36">
            <w:pPr>
              <w:pStyle w:val="Default"/>
              <w:spacing w:line="276" w:lineRule="auto"/>
              <w:rPr>
                <w:sz w:val="20"/>
                <w:szCs w:val="20"/>
              </w:rPr>
            </w:pPr>
          </w:p>
        </w:tc>
      </w:tr>
      <w:tr w:rsidR="008077C2" w:rsidRPr="003720B7" w:rsidTr="003720B7">
        <w:tc>
          <w:tcPr>
            <w:tcW w:w="9600" w:type="dxa"/>
          </w:tcPr>
          <w:p w:rsidR="008077C2" w:rsidRPr="003720B7" w:rsidRDefault="008077C2" w:rsidP="003720B7">
            <w:pPr>
              <w:keepNext/>
              <w:jc w:val="left"/>
              <w:outlineLvl w:val="2"/>
              <w:rPr>
                <w:rFonts w:ascii="Arial" w:hAnsi="Arial" w:cs="Arial"/>
                <w:b/>
                <w:sz w:val="24"/>
                <w:szCs w:val="20"/>
              </w:rPr>
            </w:pPr>
          </w:p>
          <w:p w:rsidR="008077C2" w:rsidRDefault="008077C2" w:rsidP="003720B7">
            <w:pPr>
              <w:keepNext/>
              <w:jc w:val="left"/>
              <w:outlineLvl w:val="2"/>
              <w:rPr>
                <w:rFonts w:ascii="Arial" w:hAnsi="Arial" w:cs="Arial"/>
                <w:b/>
                <w:sz w:val="24"/>
                <w:szCs w:val="20"/>
              </w:rPr>
            </w:pPr>
            <w:r w:rsidRPr="003720B7">
              <w:rPr>
                <w:rFonts w:ascii="Arial" w:hAnsi="Arial" w:cs="Arial"/>
                <w:b/>
                <w:sz w:val="24"/>
                <w:szCs w:val="20"/>
              </w:rPr>
              <w:t>Proposal</w:t>
            </w:r>
          </w:p>
          <w:p w:rsidR="008077C2" w:rsidRPr="003720B7" w:rsidRDefault="008077C2" w:rsidP="003720B7">
            <w:pPr>
              <w:keepNext/>
              <w:jc w:val="left"/>
              <w:outlineLvl w:val="2"/>
              <w:rPr>
                <w:rFonts w:ascii="Arial" w:hAnsi="Arial" w:cs="Arial"/>
                <w:b/>
                <w:sz w:val="24"/>
                <w:szCs w:val="20"/>
              </w:rPr>
            </w:pPr>
          </w:p>
          <w:p w:rsidR="008077C2" w:rsidRDefault="008077C2" w:rsidP="00EA4DA5">
            <w:pPr>
              <w:pStyle w:val="Default"/>
              <w:spacing w:line="276" w:lineRule="auto"/>
              <w:rPr>
                <w:sz w:val="22"/>
                <w:szCs w:val="22"/>
              </w:rPr>
            </w:pPr>
            <w:r w:rsidRPr="00EA4DA5">
              <w:rPr>
                <w:sz w:val="22"/>
                <w:szCs w:val="22"/>
              </w:rPr>
              <w:t xml:space="preserve">Downlink multimedia services are developing with the growth of consumption of interactive multimedia service combined with the trend towards mobility using a variety of portable devices such as wireless enabled laptops, smart phones, wireless game stations, eReaders, imaging devices (e.g. camcorders). </w:t>
            </w:r>
          </w:p>
          <w:p w:rsidR="008077C2" w:rsidRPr="00EA4DA5" w:rsidRDefault="008077C2" w:rsidP="00EA4DA5">
            <w:pPr>
              <w:pStyle w:val="Default"/>
              <w:spacing w:line="276" w:lineRule="auto"/>
              <w:rPr>
                <w:sz w:val="22"/>
                <w:szCs w:val="22"/>
              </w:rPr>
            </w:pPr>
          </w:p>
          <w:p w:rsidR="008077C2" w:rsidRDefault="008077C2" w:rsidP="00EA4DA5">
            <w:pPr>
              <w:pStyle w:val="Default"/>
              <w:spacing w:line="276" w:lineRule="auto"/>
              <w:rPr>
                <w:sz w:val="22"/>
                <w:szCs w:val="22"/>
              </w:rPr>
            </w:pPr>
            <w:r w:rsidRPr="00EA4DA5">
              <w:rPr>
                <w:sz w:val="22"/>
                <w:szCs w:val="22"/>
              </w:rPr>
              <w:t xml:space="preserve">The L-band offers the combination of significant capacity (40MHz) and adequate propagation properties in order to support value added services related to the delivery of downlink multimedia services. </w:t>
            </w:r>
          </w:p>
          <w:p w:rsidR="008077C2" w:rsidRPr="00EA4DA5" w:rsidRDefault="008077C2" w:rsidP="00EA4DA5">
            <w:pPr>
              <w:pStyle w:val="Default"/>
              <w:spacing w:line="276" w:lineRule="auto"/>
              <w:rPr>
                <w:sz w:val="22"/>
                <w:szCs w:val="22"/>
              </w:rPr>
            </w:pPr>
          </w:p>
          <w:p w:rsidR="008077C2" w:rsidRDefault="008077C2" w:rsidP="00EA4DA5">
            <w:pPr>
              <w:pStyle w:val="Default"/>
              <w:spacing w:line="276" w:lineRule="auto"/>
              <w:rPr>
                <w:sz w:val="22"/>
                <w:szCs w:val="22"/>
              </w:rPr>
            </w:pPr>
            <w:r w:rsidRPr="00EA4DA5">
              <w:rPr>
                <w:sz w:val="22"/>
                <w:szCs w:val="22"/>
              </w:rPr>
              <w:t xml:space="preserve">The success of such multimedia services relies on adequate technology and economies of scale in order to reduce the cost of the terminals and make the service available to the widest audience possible. This could be achieved through the development of a harmonised technology neutral band plan for downlink multimedia which could accommodate both broadcasting and broadband downlink technologies and respond to consumers’ demand for convergent services. </w:t>
            </w:r>
          </w:p>
          <w:p w:rsidR="008077C2" w:rsidRPr="00EA4DA5" w:rsidRDefault="008077C2" w:rsidP="00EA4DA5">
            <w:pPr>
              <w:pStyle w:val="Default"/>
              <w:spacing w:line="276" w:lineRule="auto"/>
              <w:rPr>
                <w:sz w:val="22"/>
                <w:szCs w:val="22"/>
              </w:rPr>
            </w:pPr>
          </w:p>
          <w:p w:rsidR="008077C2" w:rsidRDefault="008077C2" w:rsidP="00EA4DA5">
            <w:pPr>
              <w:pStyle w:val="Default"/>
              <w:spacing w:line="276" w:lineRule="auto"/>
              <w:rPr>
                <w:sz w:val="22"/>
                <w:szCs w:val="22"/>
              </w:rPr>
            </w:pPr>
            <w:r w:rsidRPr="00EA4DA5">
              <w:rPr>
                <w:sz w:val="22"/>
                <w:szCs w:val="22"/>
              </w:rPr>
              <w:t xml:space="preserve">The adoption of a harmonised downlink spectrum band plan for the introduction of technologies supporting the delivery of multimedia services in 1452-1492MHz can: </w:t>
            </w:r>
          </w:p>
          <w:p w:rsidR="008077C2" w:rsidRPr="00EA4DA5" w:rsidRDefault="008077C2" w:rsidP="00EA4DA5">
            <w:pPr>
              <w:pStyle w:val="Default"/>
              <w:spacing w:line="276" w:lineRule="auto"/>
              <w:rPr>
                <w:sz w:val="22"/>
                <w:szCs w:val="22"/>
              </w:rPr>
            </w:pPr>
          </w:p>
          <w:p w:rsidR="008077C2" w:rsidRPr="00EA4DA5" w:rsidRDefault="008077C2" w:rsidP="00EA4DA5">
            <w:pPr>
              <w:pStyle w:val="Default"/>
              <w:numPr>
                <w:ilvl w:val="0"/>
                <w:numId w:val="12"/>
              </w:numPr>
              <w:spacing w:line="276" w:lineRule="auto"/>
              <w:rPr>
                <w:sz w:val="22"/>
                <w:szCs w:val="22"/>
              </w:rPr>
            </w:pPr>
            <w:r w:rsidRPr="00EA4DA5">
              <w:rPr>
                <w:sz w:val="22"/>
                <w:szCs w:val="22"/>
              </w:rPr>
              <w:t xml:space="preserve">Remain compatible with the existing </w:t>
            </w:r>
            <w:smartTag w:uri="urn:schemas-microsoft-com:office:smarttags" w:element="place">
              <w:smartTag w:uri="urn:schemas-microsoft-com:office:smarttags" w:element="City">
                <w:r w:rsidRPr="00EA4DA5">
                  <w:rPr>
                    <w:sz w:val="22"/>
                    <w:szCs w:val="22"/>
                  </w:rPr>
                  <w:t>Maastricht</w:t>
                </w:r>
              </w:smartTag>
            </w:smartTag>
            <w:r w:rsidRPr="00EA4DA5">
              <w:rPr>
                <w:sz w:val="22"/>
                <w:szCs w:val="22"/>
              </w:rPr>
              <w:t xml:space="preserve"> special arrangement (MA02revCO07), maintaining the choice on a national level to deploy Terrestrial Digital Broadcasting solutions, portable multimedia, solutions, or even a combination of both. </w:t>
            </w:r>
          </w:p>
          <w:p w:rsidR="008077C2" w:rsidRPr="00F71EB2" w:rsidRDefault="008077C2" w:rsidP="009C3F36">
            <w:pPr>
              <w:pStyle w:val="Default"/>
              <w:numPr>
                <w:ilvl w:val="0"/>
                <w:numId w:val="12"/>
              </w:numPr>
              <w:spacing w:line="276" w:lineRule="auto"/>
              <w:rPr>
                <w:sz w:val="22"/>
                <w:szCs w:val="22"/>
              </w:rPr>
            </w:pPr>
            <w:r>
              <w:rPr>
                <w:sz w:val="22"/>
                <w:szCs w:val="22"/>
              </w:rPr>
              <w:t>E</w:t>
            </w:r>
            <w:r w:rsidRPr="00EA4DA5">
              <w:rPr>
                <w:sz w:val="22"/>
                <w:szCs w:val="22"/>
              </w:rPr>
              <w:t xml:space="preserve">nable the introduction of a variety of technologies for the above outlined services (e.g. T-DAB/DMB, DVB-H, DVB-SH, DVB-NGH, DVB-T2, LTE downlink, HSPA downlink) in the band. </w:t>
            </w:r>
          </w:p>
          <w:p w:rsidR="008077C2" w:rsidRPr="00EA4DA5" w:rsidRDefault="008077C2" w:rsidP="00EA4DA5">
            <w:pPr>
              <w:pStyle w:val="Default"/>
              <w:numPr>
                <w:ilvl w:val="0"/>
                <w:numId w:val="12"/>
              </w:numPr>
              <w:spacing w:line="276" w:lineRule="auto"/>
              <w:rPr>
                <w:sz w:val="22"/>
                <w:szCs w:val="22"/>
              </w:rPr>
            </w:pPr>
            <w:r w:rsidRPr="00EA4DA5">
              <w:rPr>
                <w:sz w:val="22"/>
                <w:szCs w:val="22"/>
              </w:rPr>
              <w:t>Convey a clear signal on the availability of sufficient capacity for a</w:t>
            </w:r>
            <w:r>
              <w:rPr>
                <w:sz w:val="22"/>
                <w:szCs w:val="22"/>
              </w:rPr>
              <w:t>n</w:t>
            </w:r>
            <w:r w:rsidRPr="00EA4DA5">
              <w:rPr>
                <w:sz w:val="22"/>
                <w:szCs w:val="22"/>
              </w:rPr>
              <w:t xml:space="preserve"> economically sustainable multimedia delivery business case in the band. </w:t>
            </w:r>
          </w:p>
          <w:p w:rsidR="008077C2" w:rsidRPr="00EA4DA5" w:rsidRDefault="008077C2" w:rsidP="00EA4DA5">
            <w:pPr>
              <w:pStyle w:val="Default"/>
              <w:numPr>
                <w:ilvl w:val="0"/>
                <w:numId w:val="12"/>
              </w:numPr>
              <w:spacing w:line="276" w:lineRule="auto"/>
              <w:rPr>
                <w:sz w:val="22"/>
                <w:szCs w:val="22"/>
              </w:rPr>
            </w:pPr>
            <w:r w:rsidRPr="00EA4DA5">
              <w:rPr>
                <w:sz w:val="22"/>
                <w:szCs w:val="22"/>
              </w:rPr>
              <w:t xml:space="preserve">Give a clear signal to the industry which is critical for the availability of terminals, at a reasonable price. </w:t>
            </w:r>
          </w:p>
          <w:p w:rsidR="008077C2" w:rsidRPr="00EA4DA5" w:rsidRDefault="008077C2" w:rsidP="00EA4DA5">
            <w:pPr>
              <w:pStyle w:val="Default"/>
              <w:spacing w:line="276" w:lineRule="auto"/>
              <w:rPr>
                <w:sz w:val="22"/>
                <w:szCs w:val="22"/>
              </w:rPr>
            </w:pPr>
          </w:p>
          <w:p w:rsidR="008077C2" w:rsidRPr="00EA4DA5" w:rsidRDefault="008077C2" w:rsidP="00EA4DA5">
            <w:pPr>
              <w:pStyle w:val="Default"/>
              <w:spacing w:line="276" w:lineRule="auto"/>
              <w:rPr>
                <w:sz w:val="22"/>
                <w:szCs w:val="22"/>
              </w:rPr>
            </w:pPr>
            <w:r w:rsidRPr="00EA4DA5">
              <w:rPr>
                <w:sz w:val="22"/>
                <w:szCs w:val="22"/>
              </w:rPr>
              <w:t xml:space="preserve">DIGITALEUROPE supports the adoption by the ECC of a harmonised technology neutral band plan for the band 1452-1492 MHz for the delivery of broadcast &amp; downlink multimedia services with the required quality of service in line with the </w:t>
            </w:r>
            <w:smartTag w:uri="urn:schemas-microsoft-com:office:smarttags" w:element="place">
              <w:smartTag w:uri="urn:schemas-microsoft-com:office:smarttags" w:element="City">
                <w:r w:rsidRPr="00EA4DA5">
                  <w:rPr>
                    <w:sz w:val="22"/>
                    <w:szCs w:val="22"/>
                  </w:rPr>
                  <w:t>Maastricht</w:t>
                </w:r>
              </w:smartTag>
            </w:smartTag>
            <w:r w:rsidRPr="00EA4DA5">
              <w:rPr>
                <w:sz w:val="22"/>
                <w:szCs w:val="22"/>
              </w:rPr>
              <w:t xml:space="preserve"> agreement (MA02revCO07). </w:t>
            </w:r>
          </w:p>
          <w:p w:rsidR="008077C2" w:rsidRPr="004C616B" w:rsidRDefault="008077C2" w:rsidP="000C54D3">
            <w:pPr>
              <w:keepNext/>
              <w:jc w:val="left"/>
              <w:outlineLvl w:val="2"/>
              <w:rPr>
                <w:rFonts w:ascii="Arial" w:hAnsi="Arial" w:cs="Arial"/>
                <w:szCs w:val="22"/>
              </w:rPr>
            </w:pPr>
          </w:p>
          <w:p w:rsidR="008077C2" w:rsidRPr="003720B7" w:rsidRDefault="008077C2" w:rsidP="00DE3331">
            <w:pPr>
              <w:jc w:val="left"/>
              <w:rPr>
                <w:rFonts w:ascii="Arial" w:hAnsi="Arial" w:cs="Arial"/>
                <w:sz w:val="20"/>
                <w:szCs w:val="20"/>
              </w:rPr>
            </w:pPr>
          </w:p>
        </w:tc>
      </w:tr>
      <w:tr w:rsidR="008077C2" w:rsidRPr="003720B7" w:rsidTr="001E6757">
        <w:trPr>
          <w:trHeight w:val="557"/>
        </w:trPr>
        <w:tc>
          <w:tcPr>
            <w:tcW w:w="9600" w:type="dxa"/>
          </w:tcPr>
          <w:p w:rsidR="008077C2" w:rsidRPr="003720B7" w:rsidRDefault="008077C2" w:rsidP="003720B7">
            <w:pPr>
              <w:jc w:val="left"/>
              <w:rPr>
                <w:rFonts w:ascii="Arial" w:hAnsi="Arial" w:cs="Arial"/>
                <w:sz w:val="20"/>
                <w:szCs w:val="20"/>
              </w:rPr>
            </w:pPr>
          </w:p>
          <w:p w:rsidR="008077C2" w:rsidRPr="003720B7" w:rsidRDefault="008077C2" w:rsidP="003720B7">
            <w:pPr>
              <w:keepNext/>
              <w:jc w:val="left"/>
              <w:outlineLvl w:val="2"/>
              <w:rPr>
                <w:rFonts w:ascii="Arial" w:hAnsi="Arial"/>
                <w:b/>
                <w:sz w:val="24"/>
                <w:szCs w:val="20"/>
              </w:rPr>
            </w:pPr>
            <w:r w:rsidRPr="003720B7">
              <w:rPr>
                <w:rFonts w:ascii="Arial" w:hAnsi="Arial"/>
                <w:b/>
                <w:sz w:val="24"/>
                <w:szCs w:val="20"/>
              </w:rPr>
              <w:t>Background</w:t>
            </w:r>
          </w:p>
          <w:p w:rsidR="008077C2" w:rsidRDefault="008077C2" w:rsidP="003720B7">
            <w:pPr>
              <w:jc w:val="left"/>
              <w:rPr>
                <w:rFonts w:ascii="Arial" w:hAnsi="Arial" w:cs="Arial"/>
                <w:szCs w:val="22"/>
              </w:rPr>
            </w:pPr>
          </w:p>
          <w:p w:rsidR="008077C2" w:rsidRDefault="008077C2" w:rsidP="00EA4DA5">
            <w:pPr>
              <w:spacing w:line="276" w:lineRule="auto"/>
              <w:jc w:val="left"/>
              <w:rPr>
                <w:rFonts w:ascii="Arial" w:hAnsi="Arial" w:cs="Arial"/>
                <w:szCs w:val="22"/>
              </w:rPr>
            </w:pPr>
            <w:r>
              <w:rPr>
                <w:rFonts w:ascii="Arial" w:hAnsi="Arial" w:cs="Arial"/>
                <w:szCs w:val="22"/>
              </w:rPr>
              <w:t xml:space="preserve">The ECC set up Project Team FM PT50 to determine the most appropriate future use of the L-band, 1452-1492 MHz, in CEPT and to develop if necessary the associated regulatory framework. </w:t>
            </w:r>
            <w:r>
              <w:rPr>
                <w:rFonts w:ascii="Arial" w:hAnsi="Arial" w:cs="Arial"/>
              </w:rPr>
              <w:t>In line with its response to the “ECC</w:t>
            </w:r>
            <w:r w:rsidRPr="00EA4DA5">
              <w:rPr>
                <w:rFonts w:ascii="Arial" w:hAnsi="Arial" w:cs="Arial"/>
              </w:rPr>
              <w:t xml:space="preserve"> </w:t>
            </w:r>
            <w:r w:rsidRPr="00EA4DA5">
              <w:rPr>
                <w:rFonts w:ascii="Arial" w:hAnsi="Arial" w:cs="Arial"/>
                <w:szCs w:val="22"/>
              </w:rPr>
              <w:t>Survey on the generic inventory of candidate applications for the 1452 – 1492 MHz band</w:t>
            </w:r>
            <w:r>
              <w:rPr>
                <w:rFonts w:ascii="Arial" w:hAnsi="Arial" w:cs="Arial"/>
                <w:szCs w:val="22"/>
              </w:rPr>
              <w:t>”</w:t>
            </w:r>
            <w:r w:rsidRPr="00EA4DA5">
              <w:rPr>
                <w:rFonts w:ascii="Arial" w:hAnsi="Arial" w:cs="Arial"/>
                <w:szCs w:val="22"/>
              </w:rPr>
              <w:t>,</w:t>
            </w:r>
            <w:r>
              <w:rPr>
                <w:rFonts w:ascii="Arial" w:hAnsi="Arial" w:cs="Arial"/>
                <w:szCs w:val="22"/>
              </w:rPr>
              <w:t xml:space="preserve"> DIGITALEUROPE supports the use of the L-band for Downlink Multimedia services.</w:t>
            </w:r>
          </w:p>
          <w:p w:rsidR="008077C2" w:rsidRPr="003C519C" w:rsidRDefault="008077C2" w:rsidP="00EA4DA5">
            <w:pPr>
              <w:jc w:val="left"/>
              <w:rPr>
                <w:rFonts w:ascii="Arial" w:hAnsi="Arial" w:cs="Arial"/>
                <w:szCs w:val="22"/>
              </w:rPr>
            </w:pPr>
          </w:p>
        </w:tc>
      </w:tr>
    </w:tbl>
    <w:p w:rsidR="008077C2" w:rsidRDefault="008077C2" w:rsidP="009C3F36">
      <w:pPr>
        <w:jc w:val="left"/>
        <w:rPr>
          <w:rFonts w:ascii="Arial" w:hAnsi="Arial"/>
          <w:sz w:val="20"/>
          <w:lang w:eastAsia="en-GB"/>
        </w:rPr>
      </w:pPr>
    </w:p>
    <w:p w:rsidR="008077C2" w:rsidRDefault="008077C2" w:rsidP="004A542E">
      <w:pPr>
        <w:pStyle w:val="Default"/>
        <w:jc w:val="both"/>
        <w:rPr>
          <w:sz w:val="28"/>
          <w:szCs w:val="28"/>
        </w:rPr>
      </w:pPr>
      <w:bookmarkStart w:id="0" w:name="_GoBack"/>
      <w:r>
        <w:rPr>
          <w:b/>
          <w:bCs/>
          <w:sz w:val="28"/>
          <w:szCs w:val="28"/>
        </w:rPr>
        <w:t xml:space="preserve">ABOUT </w:t>
      </w:r>
      <w:r>
        <w:rPr>
          <w:sz w:val="28"/>
          <w:szCs w:val="28"/>
        </w:rPr>
        <w:t xml:space="preserve">DIGITALEUROPE </w:t>
      </w:r>
    </w:p>
    <w:p w:rsidR="008077C2" w:rsidRDefault="008077C2" w:rsidP="004A542E">
      <w:pPr>
        <w:pStyle w:val="Default"/>
        <w:jc w:val="both"/>
        <w:rPr>
          <w:sz w:val="28"/>
          <w:szCs w:val="28"/>
        </w:rPr>
      </w:pPr>
    </w:p>
    <w:p w:rsidR="008077C2" w:rsidRDefault="008077C2" w:rsidP="004A542E">
      <w:pPr>
        <w:pStyle w:val="Default"/>
        <w:jc w:val="both"/>
        <w:rPr>
          <w:sz w:val="22"/>
          <w:szCs w:val="22"/>
        </w:rPr>
      </w:pPr>
      <w:r>
        <w:rPr>
          <w:b/>
          <w:bCs/>
          <w:sz w:val="22"/>
          <w:szCs w:val="22"/>
        </w:rPr>
        <w:t xml:space="preserve">DIGITALEUROPE </w:t>
      </w:r>
      <w:r>
        <w:rPr>
          <w:sz w:val="22"/>
          <w:szCs w:val="22"/>
        </w:rPr>
        <w:t xml:space="preserve">is the voice of the European digital economy including information and communication technologies and consumer electronics. DIGITALEUROPE is dedicated to improving the business environment for the European digital technology industry and to promoting our sector’s contribution to economic growth and social progress in the European Union. </w:t>
      </w:r>
    </w:p>
    <w:p w:rsidR="008077C2" w:rsidRDefault="008077C2" w:rsidP="004A542E">
      <w:pPr>
        <w:pStyle w:val="Default"/>
        <w:jc w:val="both"/>
        <w:rPr>
          <w:sz w:val="22"/>
          <w:szCs w:val="22"/>
        </w:rPr>
      </w:pPr>
    </w:p>
    <w:p w:rsidR="008077C2" w:rsidRDefault="008077C2" w:rsidP="004A542E">
      <w:pPr>
        <w:pStyle w:val="Default"/>
        <w:jc w:val="both"/>
        <w:rPr>
          <w:sz w:val="22"/>
          <w:szCs w:val="22"/>
        </w:rPr>
      </w:pPr>
      <w:r>
        <w:rPr>
          <w:b/>
          <w:bCs/>
          <w:sz w:val="22"/>
          <w:szCs w:val="22"/>
        </w:rPr>
        <w:t xml:space="preserve">DIGITALEUROPE </w:t>
      </w:r>
      <w:r>
        <w:rPr>
          <w:sz w:val="22"/>
          <w:szCs w:val="22"/>
        </w:rPr>
        <w:t xml:space="preserve">ensures industry participation in the development and implementation of EU policies. DIGITALEUROPE’s members include 60 global corporations and 37 national trade associations from across </w:t>
      </w:r>
      <w:smartTag w:uri="urn:schemas-microsoft-com:office:smarttags" w:element="place">
        <w:r>
          <w:rPr>
            <w:sz w:val="22"/>
            <w:szCs w:val="22"/>
          </w:rPr>
          <w:t>Europe</w:t>
        </w:r>
      </w:smartTag>
      <w:r>
        <w:rPr>
          <w:sz w:val="22"/>
          <w:szCs w:val="22"/>
        </w:rPr>
        <w:t xml:space="preserve">. In total, 10,000 companies employing two million citizens and generating €1 trillion in revenues. Our website provides further information on our recent news and activities: http://www.digitaleurope.org </w:t>
      </w:r>
    </w:p>
    <w:p w:rsidR="008077C2" w:rsidRDefault="008077C2" w:rsidP="004A542E">
      <w:pPr>
        <w:pStyle w:val="Default"/>
        <w:jc w:val="both"/>
        <w:rPr>
          <w:b/>
          <w:bCs/>
          <w:sz w:val="28"/>
          <w:szCs w:val="28"/>
        </w:rPr>
      </w:pPr>
    </w:p>
    <w:p w:rsidR="008077C2" w:rsidRDefault="008077C2" w:rsidP="004A542E">
      <w:pPr>
        <w:pStyle w:val="Default"/>
        <w:jc w:val="both"/>
        <w:rPr>
          <w:sz w:val="28"/>
          <w:szCs w:val="28"/>
        </w:rPr>
      </w:pPr>
      <w:r>
        <w:rPr>
          <w:b/>
          <w:bCs/>
          <w:sz w:val="28"/>
          <w:szCs w:val="28"/>
        </w:rPr>
        <w:t xml:space="preserve">THE MEMBERSHIP OF </w:t>
      </w:r>
      <w:r>
        <w:rPr>
          <w:sz w:val="28"/>
          <w:szCs w:val="28"/>
        </w:rPr>
        <w:t xml:space="preserve">DIGITALEUROPE </w:t>
      </w:r>
    </w:p>
    <w:p w:rsidR="008077C2" w:rsidRDefault="008077C2" w:rsidP="004A542E">
      <w:pPr>
        <w:pStyle w:val="Default"/>
        <w:jc w:val="both"/>
        <w:rPr>
          <w:sz w:val="28"/>
          <w:szCs w:val="28"/>
        </w:rPr>
      </w:pPr>
    </w:p>
    <w:p w:rsidR="008077C2" w:rsidRDefault="008077C2" w:rsidP="004A542E">
      <w:pPr>
        <w:pStyle w:val="Default"/>
        <w:jc w:val="both"/>
        <w:rPr>
          <w:b/>
          <w:bCs/>
          <w:sz w:val="22"/>
          <w:szCs w:val="22"/>
        </w:rPr>
      </w:pPr>
      <w:r>
        <w:rPr>
          <w:b/>
          <w:bCs/>
          <w:sz w:val="22"/>
          <w:szCs w:val="22"/>
        </w:rPr>
        <w:t xml:space="preserve">COMPANY MEMBERS: </w:t>
      </w:r>
    </w:p>
    <w:p w:rsidR="008077C2" w:rsidRDefault="008077C2" w:rsidP="004A542E">
      <w:pPr>
        <w:pStyle w:val="Default"/>
        <w:jc w:val="both"/>
        <w:rPr>
          <w:sz w:val="22"/>
          <w:szCs w:val="22"/>
        </w:rPr>
      </w:pPr>
    </w:p>
    <w:p w:rsidR="008077C2" w:rsidRPr="00F71EB2" w:rsidRDefault="008077C2" w:rsidP="004A542E">
      <w:pPr>
        <w:pStyle w:val="Default"/>
        <w:jc w:val="both"/>
        <w:rPr>
          <w:sz w:val="22"/>
          <w:szCs w:val="22"/>
        </w:rPr>
      </w:pPr>
      <w:r w:rsidRPr="00F71EB2">
        <w:rPr>
          <w:sz w:val="22"/>
          <w:szCs w:val="22"/>
        </w:rPr>
        <w:t xml:space="preserve">Acer, Alcatel-Lucent, AMD, APC by Schneider Electric, Apple, Bang &amp; Olufsen, BenQ, Bose, Brother, Buffalo, Canon, Cassidian, Cisco, Corning, Dassault Systems, Dell, Epson, Ericsson, Fujitsu, Hitachi, HP, Huawei, IBM, Ingram Micro, Intel, JVC, Kenwood, Kodak, Konica Minolta, Lexmark, LG, Loewe, Microsoft, Mitsubishi, Motorola Mobility, Motorola Solutions, NEC, Nokia, Nokia Siemens Networks, Océ, Oki, Oracle, Panasonic, Philips, Pioneer, Qualcomm, Research In Motion, Ricoh International, Samsung, Sanyo, SAP, Sharp, Siemens, Sony, Sony Ericsson, Swatch Group, Technicolor, Texas Instruments, Toshiba, Xerox. </w:t>
      </w:r>
    </w:p>
    <w:p w:rsidR="008077C2" w:rsidRPr="00F71EB2" w:rsidRDefault="008077C2" w:rsidP="004A542E">
      <w:pPr>
        <w:pStyle w:val="Default"/>
        <w:jc w:val="both"/>
        <w:rPr>
          <w:sz w:val="22"/>
          <w:szCs w:val="22"/>
        </w:rPr>
      </w:pPr>
    </w:p>
    <w:p w:rsidR="008077C2" w:rsidRPr="00F71EB2" w:rsidRDefault="008077C2" w:rsidP="004A542E">
      <w:pPr>
        <w:pStyle w:val="Default"/>
        <w:jc w:val="both"/>
        <w:rPr>
          <w:b/>
          <w:bCs/>
          <w:sz w:val="22"/>
          <w:szCs w:val="22"/>
        </w:rPr>
      </w:pPr>
      <w:r w:rsidRPr="00F71EB2">
        <w:rPr>
          <w:b/>
          <w:bCs/>
          <w:sz w:val="22"/>
          <w:szCs w:val="22"/>
        </w:rPr>
        <w:t xml:space="preserve">NATIONAL TRADE ASSOCIATIONS: </w:t>
      </w:r>
    </w:p>
    <w:p w:rsidR="008077C2" w:rsidRPr="00F71EB2" w:rsidRDefault="008077C2" w:rsidP="004A542E">
      <w:pPr>
        <w:pStyle w:val="Default"/>
        <w:jc w:val="both"/>
        <w:rPr>
          <w:sz w:val="22"/>
          <w:szCs w:val="22"/>
        </w:rPr>
      </w:pPr>
    </w:p>
    <w:p w:rsidR="008077C2" w:rsidRPr="00F71EB2" w:rsidRDefault="008077C2" w:rsidP="004A542E">
      <w:pPr>
        <w:rPr>
          <w:rFonts w:ascii="Arial" w:hAnsi="Arial" w:cs="Arial"/>
          <w:sz w:val="20"/>
          <w:lang w:eastAsia="en-GB"/>
        </w:rPr>
      </w:pPr>
      <w:r w:rsidRPr="00F71EB2">
        <w:rPr>
          <w:rFonts w:ascii="Arial" w:hAnsi="Arial" w:cs="Arial"/>
          <w:b/>
          <w:bCs/>
          <w:szCs w:val="22"/>
        </w:rPr>
        <w:t xml:space="preserve">Austria: </w:t>
      </w:r>
      <w:r w:rsidRPr="00F71EB2">
        <w:rPr>
          <w:rFonts w:ascii="Arial" w:hAnsi="Arial" w:cs="Arial"/>
          <w:szCs w:val="22"/>
        </w:rPr>
        <w:t xml:space="preserve">FEEI; </w:t>
      </w:r>
      <w:r w:rsidRPr="00F71EB2">
        <w:rPr>
          <w:rFonts w:ascii="Arial" w:hAnsi="Arial" w:cs="Arial"/>
          <w:b/>
          <w:bCs/>
          <w:szCs w:val="22"/>
        </w:rPr>
        <w:t xml:space="preserve">Belgium: </w:t>
      </w:r>
      <w:r w:rsidRPr="00F71EB2">
        <w:rPr>
          <w:rFonts w:ascii="Arial" w:hAnsi="Arial" w:cs="Arial"/>
          <w:szCs w:val="22"/>
        </w:rPr>
        <w:t xml:space="preserve">AGORIA; </w:t>
      </w:r>
      <w:r w:rsidRPr="00F71EB2">
        <w:rPr>
          <w:rFonts w:ascii="Arial" w:hAnsi="Arial" w:cs="Arial"/>
          <w:b/>
          <w:bCs/>
          <w:szCs w:val="22"/>
        </w:rPr>
        <w:t xml:space="preserve">Bulgaria: </w:t>
      </w:r>
      <w:r w:rsidRPr="00F71EB2">
        <w:rPr>
          <w:rFonts w:ascii="Arial" w:hAnsi="Arial" w:cs="Arial"/>
          <w:sz w:val="20"/>
          <w:szCs w:val="20"/>
        </w:rPr>
        <w:t>BAIT</w:t>
      </w:r>
      <w:r w:rsidRPr="00F71EB2">
        <w:rPr>
          <w:rFonts w:ascii="Arial" w:hAnsi="Arial" w:cs="Arial"/>
          <w:szCs w:val="22"/>
        </w:rPr>
        <w:t xml:space="preserve">; </w:t>
      </w:r>
      <w:r w:rsidRPr="00F71EB2">
        <w:rPr>
          <w:rFonts w:ascii="Arial" w:hAnsi="Arial" w:cs="Arial"/>
          <w:b/>
          <w:bCs/>
          <w:szCs w:val="22"/>
        </w:rPr>
        <w:t xml:space="preserve">Cyprus: </w:t>
      </w:r>
      <w:r w:rsidRPr="00F71EB2">
        <w:rPr>
          <w:rFonts w:ascii="Arial" w:hAnsi="Arial" w:cs="Arial"/>
          <w:sz w:val="20"/>
          <w:szCs w:val="20"/>
        </w:rPr>
        <w:t>CITEA</w:t>
      </w:r>
      <w:r w:rsidRPr="00F71EB2">
        <w:rPr>
          <w:rFonts w:ascii="Arial" w:hAnsi="Arial" w:cs="Arial"/>
          <w:szCs w:val="22"/>
        </w:rPr>
        <w:t xml:space="preserve">; </w:t>
      </w:r>
      <w:r w:rsidRPr="00F71EB2">
        <w:rPr>
          <w:rFonts w:ascii="Arial" w:hAnsi="Arial" w:cs="Arial"/>
          <w:b/>
          <w:bCs/>
          <w:szCs w:val="22"/>
        </w:rPr>
        <w:t xml:space="preserve">Czech Republic: </w:t>
      </w:r>
      <w:r w:rsidRPr="00F71EB2">
        <w:rPr>
          <w:rFonts w:ascii="Arial" w:hAnsi="Arial" w:cs="Arial"/>
          <w:sz w:val="20"/>
          <w:szCs w:val="20"/>
        </w:rPr>
        <w:t>ASE</w:t>
      </w:r>
      <w:r w:rsidRPr="00F71EB2">
        <w:rPr>
          <w:rFonts w:ascii="Arial" w:hAnsi="Arial" w:cs="Arial"/>
          <w:szCs w:val="22"/>
        </w:rPr>
        <w:t xml:space="preserve">; </w:t>
      </w:r>
      <w:r w:rsidRPr="00F71EB2">
        <w:rPr>
          <w:rFonts w:ascii="Arial" w:hAnsi="Arial" w:cs="Arial"/>
          <w:b/>
          <w:bCs/>
          <w:szCs w:val="22"/>
        </w:rPr>
        <w:t xml:space="preserve">Denmark: </w:t>
      </w:r>
      <w:r w:rsidRPr="00F71EB2">
        <w:rPr>
          <w:rFonts w:ascii="Arial" w:hAnsi="Arial" w:cs="Arial"/>
          <w:sz w:val="20"/>
          <w:szCs w:val="20"/>
        </w:rPr>
        <w:t>DI ITEK</w:t>
      </w:r>
      <w:r w:rsidRPr="00F71EB2">
        <w:rPr>
          <w:rFonts w:ascii="Arial" w:hAnsi="Arial" w:cs="Arial"/>
          <w:szCs w:val="22"/>
        </w:rPr>
        <w:t xml:space="preserve">, </w:t>
      </w:r>
      <w:r w:rsidRPr="00F71EB2">
        <w:rPr>
          <w:rFonts w:ascii="Arial" w:hAnsi="Arial" w:cs="Arial"/>
          <w:sz w:val="20"/>
          <w:szCs w:val="20"/>
        </w:rPr>
        <w:t>IT-BRANCHEN</w:t>
      </w:r>
      <w:r w:rsidRPr="00F71EB2">
        <w:rPr>
          <w:rFonts w:ascii="Arial" w:hAnsi="Arial" w:cs="Arial"/>
          <w:szCs w:val="22"/>
        </w:rPr>
        <w:t xml:space="preserve">; </w:t>
      </w:r>
      <w:r w:rsidRPr="00F71EB2">
        <w:rPr>
          <w:rFonts w:ascii="Arial" w:hAnsi="Arial" w:cs="Arial"/>
          <w:b/>
          <w:bCs/>
          <w:szCs w:val="22"/>
        </w:rPr>
        <w:t xml:space="preserve">Estonia: </w:t>
      </w:r>
      <w:r w:rsidRPr="00F71EB2">
        <w:rPr>
          <w:rFonts w:ascii="Arial" w:hAnsi="Arial" w:cs="Arial"/>
          <w:sz w:val="20"/>
          <w:szCs w:val="20"/>
        </w:rPr>
        <w:t>ITL</w:t>
      </w:r>
      <w:r w:rsidRPr="00F71EB2">
        <w:rPr>
          <w:rFonts w:ascii="Arial" w:hAnsi="Arial" w:cs="Arial"/>
          <w:szCs w:val="22"/>
        </w:rPr>
        <w:t xml:space="preserve">; </w:t>
      </w:r>
      <w:r w:rsidRPr="00F71EB2">
        <w:rPr>
          <w:rFonts w:ascii="Arial" w:hAnsi="Arial" w:cs="Arial"/>
          <w:b/>
          <w:bCs/>
          <w:szCs w:val="22"/>
        </w:rPr>
        <w:t xml:space="preserve">Finland: </w:t>
      </w:r>
      <w:r w:rsidRPr="00F71EB2">
        <w:rPr>
          <w:rFonts w:ascii="Arial" w:hAnsi="Arial" w:cs="Arial"/>
          <w:sz w:val="20"/>
          <w:szCs w:val="20"/>
        </w:rPr>
        <w:t>FFTI</w:t>
      </w:r>
      <w:r w:rsidRPr="00F71EB2">
        <w:rPr>
          <w:rFonts w:ascii="Arial" w:hAnsi="Arial" w:cs="Arial"/>
          <w:szCs w:val="22"/>
        </w:rPr>
        <w:t xml:space="preserve">; </w:t>
      </w:r>
      <w:r w:rsidRPr="00F71EB2">
        <w:rPr>
          <w:rFonts w:ascii="Arial" w:hAnsi="Arial" w:cs="Arial"/>
          <w:b/>
          <w:bCs/>
          <w:szCs w:val="22"/>
        </w:rPr>
        <w:t xml:space="preserve">France: </w:t>
      </w:r>
      <w:r w:rsidRPr="00F71EB2">
        <w:rPr>
          <w:rFonts w:ascii="Arial" w:hAnsi="Arial" w:cs="Arial"/>
          <w:sz w:val="20"/>
          <w:szCs w:val="20"/>
        </w:rPr>
        <w:t>SIMAVELEC</w:t>
      </w:r>
      <w:r w:rsidRPr="00F71EB2">
        <w:rPr>
          <w:rFonts w:ascii="Arial" w:hAnsi="Arial" w:cs="Arial"/>
          <w:szCs w:val="22"/>
        </w:rPr>
        <w:t xml:space="preserve">; </w:t>
      </w:r>
      <w:r w:rsidRPr="00F71EB2">
        <w:rPr>
          <w:rFonts w:ascii="Arial" w:hAnsi="Arial" w:cs="Arial"/>
          <w:b/>
          <w:bCs/>
          <w:szCs w:val="22"/>
        </w:rPr>
        <w:t xml:space="preserve">Germany: </w:t>
      </w:r>
      <w:r w:rsidRPr="00F71EB2">
        <w:rPr>
          <w:rFonts w:ascii="Arial" w:hAnsi="Arial" w:cs="Arial"/>
          <w:sz w:val="20"/>
          <w:szCs w:val="20"/>
        </w:rPr>
        <w:t>BITKOM</w:t>
      </w:r>
      <w:r w:rsidRPr="00F71EB2">
        <w:rPr>
          <w:rFonts w:ascii="Arial" w:hAnsi="Arial" w:cs="Arial"/>
          <w:szCs w:val="22"/>
        </w:rPr>
        <w:t xml:space="preserve">, </w:t>
      </w:r>
      <w:r w:rsidRPr="00F71EB2">
        <w:rPr>
          <w:rFonts w:ascii="Arial" w:hAnsi="Arial" w:cs="Arial"/>
          <w:sz w:val="20"/>
          <w:szCs w:val="20"/>
        </w:rPr>
        <w:t>ZVEI</w:t>
      </w:r>
      <w:r w:rsidRPr="00F71EB2">
        <w:rPr>
          <w:rFonts w:ascii="Arial" w:hAnsi="Arial" w:cs="Arial"/>
          <w:szCs w:val="22"/>
        </w:rPr>
        <w:t xml:space="preserve">; </w:t>
      </w:r>
      <w:r w:rsidRPr="00F71EB2">
        <w:rPr>
          <w:rFonts w:ascii="Arial" w:hAnsi="Arial" w:cs="Arial"/>
          <w:b/>
          <w:bCs/>
          <w:szCs w:val="22"/>
        </w:rPr>
        <w:t xml:space="preserve">Greece: </w:t>
      </w:r>
      <w:r w:rsidRPr="00F71EB2">
        <w:rPr>
          <w:rFonts w:ascii="Arial" w:hAnsi="Arial" w:cs="Arial"/>
          <w:sz w:val="20"/>
          <w:szCs w:val="20"/>
        </w:rPr>
        <w:t>SEPE</w:t>
      </w:r>
      <w:r w:rsidRPr="00F71EB2">
        <w:rPr>
          <w:rFonts w:ascii="Arial" w:hAnsi="Arial" w:cs="Arial"/>
          <w:szCs w:val="22"/>
        </w:rPr>
        <w:t xml:space="preserve">; </w:t>
      </w:r>
      <w:r w:rsidRPr="00F71EB2">
        <w:rPr>
          <w:rFonts w:ascii="Arial" w:hAnsi="Arial" w:cs="Arial"/>
          <w:b/>
          <w:bCs/>
          <w:szCs w:val="22"/>
        </w:rPr>
        <w:t xml:space="preserve">Hungary: </w:t>
      </w:r>
      <w:r w:rsidRPr="00F71EB2">
        <w:rPr>
          <w:rFonts w:ascii="Arial" w:hAnsi="Arial" w:cs="Arial"/>
          <w:sz w:val="20"/>
          <w:szCs w:val="20"/>
        </w:rPr>
        <w:t>IVSZ</w:t>
      </w:r>
      <w:r w:rsidRPr="00F71EB2">
        <w:rPr>
          <w:rFonts w:ascii="Arial" w:hAnsi="Arial" w:cs="Arial"/>
          <w:szCs w:val="22"/>
        </w:rPr>
        <w:t xml:space="preserve">; </w:t>
      </w:r>
      <w:r w:rsidRPr="00F71EB2">
        <w:rPr>
          <w:rFonts w:ascii="Arial" w:hAnsi="Arial" w:cs="Arial"/>
          <w:b/>
          <w:bCs/>
          <w:szCs w:val="22"/>
        </w:rPr>
        <w:t xml:space="preserve">Ireland: </w:t>
      </w:r>
      <w:r w:rsidRPr="00F71EB2">
        <w:rPr>
          <w:rFonts w:ascii="Arial" w:hAnsi="Arial" w:cs="Arial"/>
          <w:sz w:val="20"/>
          <w:szCs w:val="20"/>
        </w:rPr>
        <w:t>ICT IRELAND</w:t>
      </w:r>
      <w:r w:rsidRPr="00F71EB2">
        <w:rPr>
          <w:rFonts w:ascii="Arial" w:hAnsi="Arial" w:cs="Arial"/>
          <w:szCs w:val="22"/>
        </w:rPr>
        <w:t xml:space="preserve">; </w:t>
      </w:r>
      <w:r w:rsidRPr="00F71EB2">
        <w:rPr>
          <w:rFonts w:ascii="Arial" w:hAnsi="Arial" w:cs="Arial"/>
          <w:b/>
          <w:bCs/>
          <w:szCs w:val="22"/>
        </w:rPr>
        <w:t xml:space="preserve">Italy: </w:t>
      </w:r>
      <w:r w:rsidRPr="00F71EB2">
        <w:rPr>
          <w:rFonts w:ascii="Arial" w:hAnsi="Arial" w:cs="Arial"/>
          <w:szCs w:val="22"/>
        </w:rPr>
        <w:t xml:space="preserve">ANITEC, </w:t>
      </w:r>
      <w:r w:rsidRPr="00F71EB2">
        <w:rPr>
          <w:rFonts w:ascii="Arial" w:hAnsi="Arial" w:cs="Arial"/>
          <w:b/>
          <w:bCs/>
          <w:szCs w:val="22"/>
        </w:rPr>
        <w:t>Lithuania</w:t>
      </w:r>
      <w:r w:rsidRPr="00F71EB2">
        <w:rPr>
          <w:rFonts w:ascii="Arial" w:hAnsi="Arial" w:cs="Arial"/>
          <w:szCs w:val="22"/>
        </w:rPr>
        <w:t xml:space="preserve">: INFOBALT; </w:t>
      </w:r>
      <w:r w:rsidRPr="00F71EB2">
        <w:rPr>
          <w:rFonts w:ascii="Arial" w:hAnsi="Arial" w:cs="Arial"/>
          <w:b/>
          <w:bCs/>
          <w:szCs w:val="22"/>
        </w:rPr>
        <w:t xml:space="preserve">Netherlands: </w:t>
      </w:r>
      <w:r w:rsidRPr="00F71EB2">
        <w:rPr>
          <w:rFonts w:ascii="Arial" w:hAnsi="Arial" w:cs="Arial"/>
          <w:sz w:val="20"/>
          <w:szCs w:val="20"/>
        </w:rPr>
        <w:t>ICT OFFICE</w:t>
      </w:r>
      <w:r w:rsidRPr="00F71EB2">
        <w:rPr>
          <w:rFonts w:ascii="Arial" w:hAnsi="Arial" w:cs="Arial"/>
          <w:szCs w:val="22"/>
        </w:rPr>
        <w:t xml:space="preserve">, </w:t>
      </w:r>
      <w:r w:rsidRPr="00F71EB2">
        <w:rPr>
          <w:rFonts w:ascii="Arial" w:hAnsi="Arial" w:cs="Arial"/>
          <w:sz w:val="20"/>
          <w:szCs w:val="20"/>
        </w:rPr>
        <w:t>FIAR</w:t>
      </w:r>
      <w:r w:rsidRPr="00F71EB2">
        <w:rPr>
          <w:rFonts w:ascii="Arial" w:hAnsi="Arial" w:cs="Arial"/>
          <w:szCs w:val="22"/>
        </w:rPr>
        <w:t xml:space="preserve">; </w:t>
      </w:r>
      <w:r w:rsidRPr="00F71EB2">
        <w:rPr>
          <w:rFonts w:ascii="Arial" w:hAnsi="Arial" w:cs="Arial"/>
          <w:b/>
          <w:bCs/>
          <w:szCs w:val="22"/>
        </w:rPr>
        <w:t xml:space="preserve">Poland: </w:t>
      </w:r>
      <w:r w:rsidRPr="00F71EB2">
        <w:rPr>
          <w:rFonts w:ascii="Arial" w:hAnsi="Arial" w:cs="Arial"/>
          <w:sz w:val="20"/>
          <w:szCs w:val="20"/>
        </w:rPr>
        <w:t>KIGEIT</w:t>
      </w:r>
      <w:r w:rsidRPr="00F71EB2">
        <w:rPr>
          <w:rFonts w:ascii="Arial" w:hAnsi="Arial" w:cs="Arial"/>
          <w:szCs w:val="22"/>
        </w:rPr>
        <w:t xml:space="preserve">, </w:t>
      </w:r>
      <w:r w:rsidRPr="00F71EB2">
        <w:rPr>
          <w:rFonts w:ascii="Arial" w:hAnsi="Arial" w:cs="Arial"/>
          <w:sz w:val="20"/>
          <w:szCs w:val="20"/>
        </w:rPr>
        <w:t>PIIT</w:t>
      </w:r>
      <w:r w:rsidRPr="00F71EB2">
        <w:rPr>
          <w:rFonts w:ascii="Arial" w:hAnsi="Arial" w:cs="Arial"/>
          <w:szCs w:val="22"/>
        </w:rPr>
        <w:t xml:space="preserve">; </w:t>
      </w:r>
      <w:r w:rsidRPr="00F71EB2">
        <w:rPr>
          <w:rFonts w:ascii="Arial" w:hAnsi="Arial" w:cs="Arial"/>
          <w:b/>
          <w:bCs/>
          <w:szCs w:val="22"/>
        </w:rPr>
        <w:t xml:space="preserve">Portugal: </w:t>
      </w:r>
      <w:r w:rsidRPr="00F71EB2">
        <w:rPr>
          <w:rFonts w:ascii="Arial" w:hAnsi="Arial" w:cs="Arial"/>
          <w:sz w:val="20"/>
          <w:szCs w:val="20"/>
        </w:rPr>
        <w:t>AGEFE, APDC</w:t>
      </w:r>
      <w:r w:rsidRPr="00F71EB2">
        <w:rPr>
          <w:rFonts w:ascii="Arial" w:hAnsi="Arial" w:cs="Arial"/>
          <w:szCs w:val="22"/>
        </w:rPr>
        <w:t xml:space="preserve">; </w:t>
      </w:r>
      <w:r w:rsidRPr="00F71EB2">
        <w:rPr>
          <w:rFonts w:ascii="Arial" w:hAnsi="Arial" w:cs="Arial"/>
          <w:b/>
          <w:bCs/>
          <w:szCs w:val="22"/>
        </w:rPr>
        <w:t xml:space="preserve">Romania: </w:t>
      </w:r>
      <w:r w:rsidRPr="00F71EB2">
        <w:rPr>
          <w:rFonts w:ascii="Arial" w:hAnsi="Arial" w:cs="Arial"/>
          <w:sz w:val="20"/>
          <w:szCs w:val="20"/>
        </w:rPr>
        <w:t>APDETIC</w:t>
      </w:r>
      <w:r w:rsidRPr="00F71EB2">
        <w:rPr>
          <w:rFonts w:ascii="Arial" w:hAnsi="Arial" w:cs="Arial"/>
          <w:szCs w:val="22"/>
        </w:rPr>
        <w:t xml:space="preserve">; </w:t>
      </w:r>
      <w:r w:rsidRPr="00F71EB2">
        <w:rPr>
          <w:rFonts w:ascii="Arial" w:hAnsi="Arial" w:cs="Arial"/>
          <w:b/>
          <w:bCs/>
          <w:szCs w:val="22"/>
        </w:rPr>
        <w:t xml:space="preserve">Slovakia: </w:t>
      </w:r>
      <w:r w:rsidRPr="00F71EB2">
        <w:rPr>
          <w:rFonts w:ascii="Arial" w:hAnsi="Arial" w:cs="Arial"/>
          <w:sz w:val="20"/>
          <w:szCs w:val="20"/>
        </w:rPr>
        <w:t>ITAS</w:t>
      </w:r>
      <w:r w:rsidRPr="00F71EB2">
        <w:rPr>
          <w:rFonts w:ascii="Arial" w:hAnsi="Arial" w:cs="Arial"/>
          <w:szCs w:val="22"/>
        </w:rPr>
        <w:t xml:space="preserve">; </w:t>
      </w:r>
      <w:r w:rsidRPr="00F71EB2">
        <w:rPr>
          <w:rFonts w:ascii="Arial" w:hAnsi="Arial" w:cs="Arial"/>
          <w:b/>
          <w:bCs/>
          <w:szCs w:val="22"/>
        </w:rPr>
        <w:t xml:space="preserve">Slovenia: </w:t>
      </w:r>
      <w:r w:rsidRPr="00F71EB2">
        <w:rPr>
          <w:rFonts w:ascii="Arial" w:hAnsi="Arial" w:cs="Arial"/>
          <w:sz w:val="20"/>
          <w:szCs w:val="20"/>
        </w:rPr>
        <w:t>GZS</w:t>
      </w:r>
      <w:r w:rsidRPr="00F71EB2">
        <w:rPr>
          <w:rFonts w:ascii="Arial" w:hAnsi="Arial" w:cs="Arial"/>
          <w:szCs w:val="22"/>
        </w:rPr>
        <w:t xml:space="preserve">; </w:t>
      </w:r>
      <w:r w:rsidRPr="00F71EB2">
        <w:rPr>
          <w:rFonts w:ascii="Arial" w:hAnsi="Arial" w:cs="Arial"/>
          <w:b/>
          <w:bCs/>
          <w:szCs w:val="22"/>
        </w:rPr>
        <w:t xml:space="preserve">Spain: </w:t>
      </w:r>
      <w:r w:rsidRPr="00F71EB2">
        <w:rPr>
          <w:rFonts w:ascii="Arial" w:hAnsi="Arial" w:cs="Arial"/>
          <w:sz w:val="20"/>
          <w:szCs w:val="20"/>
        </w:rPr>
        <w:t>AETIC</w:t>
      </w:r>
      <w:r w:rsidRPr="00F71EB2">
        <w:rPr>
          <w:rFonts w:ascii="Arial" w:hAnsi="Arial" w:cs="Arial"/>
          <w:szCs w:val="22"/>
        </w:rPr>
        <w:t xml:space="preserve">, </w:t>
      </w:r>
      <w:r w:rsidRPr="00F71EB2">
        <w:rPr>
          <w:rFonts w:ascii="Arial" w:hAnsi="Arial" w:cs="Arial"/>
          <w:sz w:val="20"/>
          <w:szCs w:val="20"/>
        </w:rPr>
        <w:t>ASIMELEC</w:t>
      </w:r>
      <w:r w:rsidRPr="00F71EB2">
        <w:rPr>
          <w:rFonts w:ascii="Arial" w:hAnsi="Arial" w:cs="Arial"/>
          <w:szCs w:val="22"/>
        </w:rPr>
        <w:t xml:space="preserve">; </w:t>
      </w:r>
      <w:r w:rsidRPr="00F71EB2">
        <w:rPr>
          <w:rFonts w:ascii="Arial" w:hAnsi="Arial" w:cs="Arial"/>
          <w:b/>
          <w:bCs/>
          <w:szCs w:val="22"/>
        </w:rPr>
        <w:t xml:space="preserve">Sweden: </w:t>
      </w:r>
      <w:r w:rsidRPr="00F71EB2">
        <w:rPr>
          <w:rFonts w:ascii="Arial" w:hAnsi="Arial" w:cs="Arial"/>
          <w:sz w:val="20"/>
          <w:szCs w:val="20"/>
        </w:rPr>
        <w:t xml:space="preserve">IT&amp;TELEKOMFÖRETAGEN; </w:t>
      </w:r>
      <w:r w:rsidRPr="00F71EB2">
        <w:rPr>
          <w:rFonts w:ascii="Arial" w:hAnsi="Arial" w:cs="Arial"/>
          <w:b/>
          <w:bCs/>
          <w:szCs w:val="22"/>
        </w:rPr>
        <w:t xml:space="preserve">United Kingdom: </w:t>
      </w:r>
      <w:r w:rsidRPr="00F71EB2">
        <w:rPr>
          <w:rFonts w:ascii="Arial" w:hAnsi="Arial" w:cs="Arial"/>
          <w:sz w:val="20"/>
          <w:szCs w:val="20"/>
        </w:rPr>
        <w:t xml:space="preserve">INTELLECT; </w:t>
      </w:r>
      <w:r w:rsidRPr="00F71EB2">
        <w:rPr>
          <w:rFonts w:ascii="Arial" w:hAnsi="Arial" w:cs="Arial"/>
          <w:b/>
          <w:bCs/>
          <w:szCs w:val="22"/>
        </w:rPr>
        <w:t xml:space="preserve">Belarus: </w:t>
      </w:r>
      <w:r w:rsidRPr="00F71EB2">
        <w:rPr>
          <w:rFonts w:ascii="Arial" w:hAnsi="Arial" w:cs="Arial"/>
          <w:szCs w:val="22"/>
        </w:rPr>
        <w:t xml:space="preserve">INFOPARK; </w:t>
      </w:r>
      <w:r w:rsidRPr="00F71EB2">
        <w:rPr>
          <w:rFonts w:ascii="Arial" w:hAnsi="Arial" w:cs="Arial"/>
          <w:b/>
          <w:bCs/>
          <w:szCs w:val="22"/>
        </w:rPr>
        <w:t xml:space="preserve">Norway: </w:t>
      </w:r>
      <w:r w:rsidRPr="00F71EB2">
        <w:rPr>
          <w:rFonts w:ascii="Arial" w:hAnsi="Arial" w:cs="Arial"/>
          <w:sz w:val="20"/>
          <w:szCs w:val="20"/>
        </w:rPr>
        <w:t>ABELIA</w:t>
      </w:r>
      <w:r w:rsidRPr="00F71EB2">
        <w:rPr>
          <w:rFonts w:ascii="Arial" w:hAnsi="Arial" w:cs="Arial"/>
          <w:szCs w:val="22"/>
        </w:rPr>
        <w:t xml:space="preserve">, </w:t>
      </w:r>
      <w:r w:rsidRPr="00F71EB2">
        <w:rPr>
          <w:rFonts w:ascii="Arial" w:hAnsi="Arial" w:cs="Arial"/>
          <w:sz w:val="20"/>
          <w:szCs w:val="20"/>
        </w:rPr>
        <w:t xml:space="preserve">IKT NORGE; </w:t>
      </w:r>
      <w:r w:rsidRPr="00F71EB2">
        <w:rPr>
          <w:rFonts w:ascii="Arial" w:hAnsi="Arial" w:cs="Arial"/>
          <w:b/>
          <w:bCs/>
          <w:szCs w:val="22"/>
        </w:rPr>
        <w:t xml:space="preserve">Switzerland: </w:t>
      </w:r>
      <w:r w:rsidRPr="00F71EB2">
        <w:rPr>
          <w:rFonts w:ascii="Arial" w:hAnsi="Arial" w:cs="Arial"/>
          <w:sz w:val="20"/>
          <w:szCs w:val="20"/>
        </w:rPr>
        <w:t>SWICO</w:t>
      </w:r>
      <w:r w:rsidRPr="00F71EB2">
        <w:rPr>
          <w:rFonts w:ascii="Arial" w:hAnsi="Arial" w:cs="Arial"/>
          <w:szCs w:val="22"/>
        </w:rPr>
        <w:t xml:space="preserve">; </w:t>
      </w:r>
      <w:r w:rsidRPr="00F71EB2">
        <w:rPr>
          <w:rFonts w:ascii="Arial" w:hAnsi="Arial" w:cs="Arial"/>
          <w:b/>
          <w:bCs/>
          <w:szCs w:val="22"/>
        </w:rPr>
        <w:t xml:space="preserve">Turkey: </w:t>
      </w:r>
      <w:r w:rsidRPr="00F71EB2">
        <w:rPr>
          <w:rFonts w:ascii="Arial" w:hAnsi="Arial" w:cs="Arial"/>
          <w:sz w:val="20"/>
          <w:szCs w:val="20"/>
        </w:rPr>
        <w:t>ECID</w:t>
      </w:r>
      <w:r w:rsidRPr="00F71EB2">
        <w:rPr>
          <w:rFonts w:ascii="Arial" w:hAnsi="Arial" w:cs="Arial"/>
          <w:szCs w:val="22"/>
        </w:rPr>
        <w:t xml:space="preserve">, TESID, </w:t>
      </w:r>
      <w:r w:rsidRPr="00F71EB2">
        <w:rPr>
          <w:rFonts w:ascii="Arial" w:hAnsi="Arial" w:cs="Arial"/>
          <w:sz w:val="20"/>
          <w:szCs w:val="20"/>
        </w:rPr>
        <w:t>TÜBISAD</w:t>
      </w:r>
      <w:r w:rsidRPr="00F71EB2">
        <w:rPr>
          <w:rFonts w:ascii="Arial" w:hAnsi="Arial" w:cs="Arial"/>
          <w:szCs w:val="22"/>
        </w:rPr>
        <w:t xml:space="preserve">; </w:t>
      </w:r>
      <w:r w:rsidRPr="00F71EB2">
        <w:rPr>
          <w:rFonts w:ascii="Arial" w:hAnsi="Arial" w:cs="Arial"/>
          <w:b/>
          <w:bCs/>
          <w:szCs w:val="22"/>
        </w:rPr>
        <w:t xml:space="preserve">Ukraine: </w:t>
      </w:r>
      <w:r w:rsidRPr="00F71EB2">
        <w:rPr>
          <w:rFonts w:ascii="Arial" w:hAnsi="Arial" w:cs="Arial"/>
          <w:sz w:val="20"/>
          <w:szCs w:val="20"/>
        </w:rPr>
        <w:t>IT UKRAINE</w:t>
      </w:r>
      <w:bookmarkEnd w:id="0"/>
    </w:p>
    <w:sectPr w:rsidR="008077C2" w:rsidRPr="00F71EB2" w:rsidSect="00DF2A8C">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7C2" w:rsidRDefault="008077C2">
      <w:r>
        <w:separator/>
      </w:r>
    </w:p>
  </w:endnote>
  <w:endnote w:type="continuationSeparator" w:id="0">
    <w:p w:rsidR="008077C2" w:rsidRDefault="008077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7C2" w:rsidRDefault="008077C2">
    <w:pPr>
      <w:pStyle w:val="Footer"/>
      <w:rPr>
        <w:sz w:val="20"/>
        <w:szCs w:val="20"/>
        <w:lang w:val="fr-FR"/>
      </w:rPr>
    </w:pPr>
    <w:r>
      <w:rPr>
        <w:sz w:val="20"/>
        <w:szCs w:val="20"/>
        <w:lang w:val="fr-FR"/>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r>
      <w:rPr>
        <w:rStyle w:val="PageNumber"/>
        <w:sz w:val="20"/>
        <w:szCs w:val="20"/>
      </w:rPr>
      <w:t>/</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3</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7C2" w:rsidRDefault="008077C2">
      <w:r>
        <w:separator/>
      </w:r>
    </w:p>
  </w:footnote>
  <w:footnote w:type="continuationSeparator" w:id="0">
    <w:p w:rsidR="008077C2" w:rsidRDefault="008077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76066"/>
    <w:multiLevelType w:val="hybridMultilevel"/>
    <w:tmpl w:val="DE5CFD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45E6CBF"/>
    <w:multiLevelType w:val="hybridMultilevel"/>
    <w:tmpl w:val="4A6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D41BC3"/>
    <w:multiLevelType w:val="multilevel"/>
    <w:tmpl w:val="4F8AEF6A"/>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
    <w:nsid w:val="3FB967F4"/>
    <w:multiLevelType w:val="hybridMultilevel"/>
    <w:tmpl w:val="B78CF874"/>
    <w:lvl w:ilvl="0" w:tplc="04CC5256">
      <w:start w:val="1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452F57ED"/>
    <w:multiLevelType w:val="hybridMultilevel"/>
    <w:tmpl w:val="D47C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3F0425"/>
    <w:multiLevelType w:val="hybridMultilevel"/>
    <w:tmpl w:val="4572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7D3B22"/>
    <w:multiLevelType w:val="hybridMultilevel"/>
    <w:tmpl w:val="813E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71085B"/>
    <w:multiLevelType w:val="hybridMultilevel"/>
    <w:tmpl w:val="835036E6"/>
    <w:lvl w:ilvl="0" w:tplc="04CC5256">
      <w:start w:val="1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705B11ED"/>
    <w:multiLevelType w:val="hybridMultilevel"/>
    <w:tmpl w:val="A7060ADA"/>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DD7632"/>
    <w:multiLevelType w:val="multilevel"/>
    <w:tmpl w:val="C5F4B03E"/>
    <w:lvl w:ilvl="0">
      <w:start w:val="1"/>
      <w:numFmt w:val="decimal"/>
      <w:lvlText w:val="●"/>
      <w:lvlJc w:val="left"/>
      <w:pPr>
        <w:tabs>
          <w:tab w:val="num" w:pos="400"/>
        </w:tabs>
        <w:ind w:left="400" w:hanging="400"/>
      </w:pPr>
      <w:rPr>
        <w:rFonts w:ascii="Arial" w:hAnsi="Arial" w:cs="Arial"/>
        <w:color w:val="4F2683"/>
      </w:rPr>
    </w:lvl>
    <w:lvl w:ilvl="1">
      <w:start w:val="1"/>
      <w:numFmt w:val="lowerLetter"/>
      <w:lvlText w:val="–"/>
      <w:lvlJc w:val="left"/>
      <w:pPr>
        <w:tabs>
          <w:tab w:val="num" w:pos="800"/>
        </w:tabs>
        <w:ind w:left="800" w:hanging="400"/>
      </w:pPr>
      <w:rPr>
        <w:rFonts w:ascii="Arial" w:hAnsi="Arial" w:cs="Arial"/>
        <w:color w:val="4F2683"/>
      </w:rPr>
    </w:lvl>
    <w:lvl w:ilvl="2">
      <w:start w:val="1"/>
      <w:numFmt w:val="lowerRoman"/>
      <w:lvlText w:val="–"/>
      <w:lvlJc w:val="left"/>
      <w:pPr>
        <w:tabs>
          <w:tab w:val="num" w:pos="1200"/>
        </w:tabs>
        <w:ind w:left="1200" w:hanging="400"/>
      </w:pPr>
      <w:rPr>
        <w:rFonts w:ascii="Arial" w:hAnsi="Arial" w:cs="Arial"/>
        <w:color w:val="4F2683"/>
      </w:rPr>
    </w:lvl>
    <w:lvl w:ilvl="3">
      <w:start w:val="1"/>
      <w:numFmt w:val="decimal"/>
      <w:lvlText w:null="1"/>
      <w:lvlJc w:val="left"/>
      <w:pPr>
        <w:tabs>
          <w:tab w:val="num" w:pos="0"/>
        </w:tabs>
      </w:pPr>
      <w:rPr>
        <w:rFonts w:cs="Times New Roman"/>
        <w:color w:val="000000"/>
      </w:rPr>
    </w:lvl>
    <w:lvl w:ilvl="4">
      <w:start w:val="1"/>
      <w:numFmt w:val="lowerLetter"/>
      <w:lvlText w:null="1"/>
      <w:lvlJc w:val="left"/>
      <w:pPr>
        <w:tabs>
          <w:tab w:val="num" w:pos="0"/>
        </w:tabs>
      </w:pPr>
      <w:rPr>
        <w:rFonts w:cs="Times New Roman"/>
        <w:color w:val="000000"/>
      </w:rPr>
    </w:lvl>
    <w:lvl w:ilvl="5">
      <w:start w:val="1"/>
      <w:numFmt w:val="lowerRoman"/>
      <w:lvlText w:null="1"/>
      <w:lvlJc w:val="left"/>
      <w:pPr>
        <w:tabs>
          <w:tab w:val="num" w:pos="0"/>
        </w:tabs>
      </w:pPr>
      <w:rPr>
        <w:rFonts w:cs="Times New Roman"/>
        <w:color w:val="000000"/>
      </w:rPr>
    </w:lvl>
    <w:lvl w:ilvl="6">
      <w:start w:val="1"/>
      <w:numFmt w:val="decimal"/>
      <w:lvlText w:null="1"/>
      <w:lvlJc w:val="left"/>
      <w:pPr>
        <w:tabs>
          <w:tab w:val="num" w:pos="0"/>
        </w:tabs>
      </w:pPr>
      <w:rPr>
        <w:rFonts w:cs="Times New Roman"/>
        <w:color w:val="000000"/>
      </w:rPr>
    </w:lvl>
    <w:lvl w:ilvl="7">
      <w:start w:val="1"/>
      <w:numFmt w:val="lowerLetter"/>
      <w:lvlText w:null="1"/>
      <w:lvlJc w:val="left"/>
      <w:pPr>
        <w:tabs>
          <w:tab w:val="num" w:pos="0"/>
        </w:tabs>
      </w:pPr>
      <w:rPr>
        <w:rFonts w:cs="Times New Roman"/>
        <w:color w:val="000000"/>
      </w:rPr>
    </w:lvl>
    <w:lvl w:ilvl="8">
      <w:start w:val="1"/>
      <w:numFmt w:val="lowerRoman"/>
      <w:lvlText w:null="1"/>
      <w:lvlJc w:val="left"/>
      <w:pPr>
        <w:tabs>
          <w:tab w:val="num" w:pos="0"/>
        </w:tabs>
      </w:pPr>
      <w:rPr>
        <w:rFonts w:cs="Times New Roman"/>
        <w:color w:val="000000"/>
      </w:rPr>
    </w:lvl>
  </w:abstractNum>
  <w:abstractNum w:abstractNumId="11">
    <w:nsid w:val="7E8172D4"/>
    <w:multiLevelType w:val="multilevel"/>
    <w:tmpl w:val="121866B2"/>
    <w:name w:val="BulletListTemplate"/>
    <w:lvl w:ilvl="0">
      <w:start w:val="1"/>
      <w:numFmt w:val="decimal"/>
      <w:pStyle w:val="BulletList1"/>
      <w:lvlText w:val=""/>
      <w:lvlJc w:val="left"/>
      <w:pPr>
        <w:tabs>
          <w:tab w:val="num" w:pos="400"/>
        </w:tabs>
        <w:ind w:left="400" w:hanging="400"/>
      </w:pPr>
      <w:rPr>
        <w:rFonts w:ascii="Symbol" w:hAnsi="Symbol" w:cs="Times New Roman" w:hint="default"/>
        <w:color w:val="4F2683"/>
      </w:rPr>
    </w:lvl>
    <w:lvl w:ilvl="1">
      <w:start w:val="1"/>
      <w:numFmt w:val="lowerLetter"/>
      <w:pStyle w:val="BulletList2"/>
      <w:lvlText w:val="–"/>
      <w:lvlJc w:val="left"/>
      <w:pPr>
        <w:tabs>
          <w:tab w:val="num" w:pos="800"/>
        </w:tabs>
        <w:ind w:left="800" w:hanging="400"/>
      </w:pPr>
      <w:rPr>
        <w:rFonts w:ascii="Arial" w:hAnsi="Arial" w:cs="Arial"/>
        <w:color w:val="4F2683"/>
      </w:rPr>
    </w:lvl>
    <w:lvl w:ilvl="2">
      <w:start w:val="1"/>
      <w:numFmt w:val="lowerRoman"/>
      <w:pStyle w:val="BulletList3"/>
      <w:lvlText w:val="–"/>
      <w:lvlJc w:val="left"/>
      <w:pPr>
        <w:tabs>
          <w:tab w:val="num" w:pos="1200"/>
        </w:tabs>
        <w:ind w:left="1200" w:hanging="400"/>
      </w:pPr>
      <w:rPr>
        <w:rFonts w:ascii="Arial" w:hAnsi="Arial" w:cs="Arial"/>
        <w:color w:val="4F2683"/>
      </w:rPr>
    </w:lvl>
    <w:lvl w:ilvl="3">
      <w:start w:val="1"/>
      <w:numFmt w:val="decimal"/>
      <w:pStyle w:val="BulletList4"/>
      <w:lvlText w:val="·"/>
      <w:lvlJc w:val="left"/>
      <w:pPr>
        <w:tabs>
          <w:tab w:val="num" w:pos="1360"/>
        </w:tabs>
        <w:ind w:left="1360" w:hanging="340"/>
      </w:pPr>
      <w:rPr>
        <w:rFonts w:ascii="Symbol" w:hAnsi="Symbol" w:cs="Times New Roman" w:hint="default"/>
      </w:rPr>
    </w:lvl>
    <w:lvl w:ilvl="4">
      <w:start w:val="1"/>
      <w:numFmt w:val="lowerLetter"/>
      <w:pStyle w:val="BulletList5"/>
      <w:lvlText w:val="·"/>
      <w:lvlJc w:val="left"/>
      <w:pPr>
        <w:tabs>
          <w:tab w:val="num" w:pos="1700"/>
        </w:tabs>
        <w:ind w:left="1700" w:hanging="340"/>
      </w:pPr>
      <w:rPr>
        <w:rFonts w:ascii="Symbol" w:hAnsi="Symbol" w:cs="Times New Roman" w:hint="default"/>
      </w:rPr>
    </w:lvl>
    <w:lvl w:ilvl="5">
      <w:start w:val="1"/>
      <w:numFmt w:val="lowerRoman"/>
      <w:pStyle w:val="BulletList6"/>
      <w:lvlText w:val="·"/>
      <w:lvlJc w:val="left"/>
      <w:pPr>
        <w:tabs>
          <w:tab w:val="num" w:pos="2040"/>
        </w:tabs>
        <w:ind w:left="2040" w:hanging="340"/>
      </w:pPr>
      <w:rPr>
        <w:rFonts w:ascii="Symbol" w:hAnsi="Symbol" w:cs="Times New Roman" w:hint="default"/>
      </w:rPr>
    </w:lvl>
    <w:lvl w:ilvl="6">
      <w:start w:val="1"/>
      <w:numFmt w:val="decimal"/>
      <w:pStyle w:val="BulletList7"/>
      <w:lvlText w:val="·"/>
      <w:lvlJc w:val="left"/>
      <w:pPr>
        <w:tabs>
          <w:tab w:val="num" w:pos="2380"/>
        </w:tabs>
        <w:ind w:left="2380" w:hanging="340"/>
      </w:pPr>
      <w:rPr>
        <w:rFonts w:ascii="Symbol" w:hAnsi="Symbol" w:cs="Times New Roman" w:hint="default"/>
      </w:rPr>
    </w:lvl>
    <w:lvl w:ilvl="7">
      <w:start w:val="1"/>
      <w:numFmt w:val="lowerLetter"/>
      <w:pStyle w:val="BulletList8"/>
      <w:lvlText w:val="·"/>
      <w:lvlJc w:val="left"/>
      <w:pPr>
        <w:tabs>
          <w:tab w:val="num" w:pos="2720"/>
        </w:tabs>
        <w:ind w:left="2720" w:hanging="340"/>
      </w:pPr>
      <w:rPr>
        <w:rFonts w:ascii="Symbol" w:hAnsi="Symbol" w:cs="Times New Roman" w:hint="default"/>
      </w:rPr>
    </w:lvl>
    <w:lvl w:ilvl="8">
      <w:start w:val="1"/>
      <w:numFmt w:val="lowerRoman"/>
      <w:pStyle w:val="BulletList9"/>
      <w:lvlText w:val="·"/>
      <w:lvlJc w:val="left"/>
      <w:pPr>
        <w:tabs>
          <w:tab w:val="num" w:pos="3060"/>
        </w:tabs>
        <w:ind w:left="3060" w:hanging="340"/>
      </w:pPr>
      <w:rPr>
        <w:rFonts w:ascii="Symbol" w:hAnsi="Symbol" w:cs="Times New Roman" w:hint="default"/>
      </w:rPr>
    </w:lvl>
  </w:abstractNum>
  <w:num w:numId="1">
    <w:abstractNumId w:val="3"/>
  </w:num>
  <w:num w:numId="2">
    <w:abstractNumId w:val="2"/>
  </w:num>
  <w:num w:numId="3">
    <w:abstractNumId w:val="9"/>
  </w:num>
  <w:num w:numId="4">
    <w:abstractNumId w:val="1"/>
  </w:num>
  <w:num w:numId="5">
    <w:abstractNumId w:val="8"/>
  </w:num>
  <w:num w:numId="6">
    <w:abstractNumId w:val="4"/>
  </w:num>
  <w:num w:numId="7">
    <w:abstractNumId w:val="5"/>
  </w:num>
  <w:num w:numId="8">
    <w:abstractNumId w:val="11"/>
  </w:num>
  <w:num w:numId="9">
    <w:abstractNumId w:val="10"/>
  </w:num>
  <w:num w:numId="10">
    <w:abstractNumId w:val="7"/>
  </w:num>
  <w:num w:numId="11">
    <w:abstractNumId w:val="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embedSystemFonts/>
  <w:stylePaneFormatFilter w:val="3F01"/>
  <w:defaultTabStop w:val="709"/>
  <w:hyphenationZone w:val="425"/>
  <w:drawingGridHorizontalSpacing w:val="11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58FE"/>
    <w:rsid w:val="00007D9B"/>
    <w:rsid w:val="00013802"/>
    <w:rsid w:val="00026B04"/>
    <w:rsid w:val="00030BCD"/>
    <w:rsid w:val="00035F52"/>
    <w:rsid w:val="0003651F"/>
    <w:rsid w:val="00037C8D"/>
    <w:rsid w:val="00041884"/>
    <w:rsid w:val="00044359"/>
    <w:rsid w:val="00044A3C"/>
    <w:rsid w:val="00045405"/>
    <w:rsid w:val="00051F86"/>
    <w:rsid w:val="00052509"/>
    <w:rsid w:val="000734EB"/>
    <w:rsid w:val="00073518"/>
    <w:rsid w:val="000920C6"/>
    <w:rsid w:val="0009446F"/>
    <w:rsid w:val="000969D5"/>
    <w:rsid w:val="000A0B5F"/>
    <w:rsid w:val="000B564E"/>
    <w:rsid w:val="000C0535"/>
    <w:rsid w:val="000C3505"/>
    <w:rsid w:val="000C3777"/>
    <w:rsid w:val="000C54D3"/>
    <w:rsid w:val="000C6E6B"/>
    <w:rsid w:val="000D6F6C"/>
    <w:rsid w:val="000E15B4"/>
    <w:rsid w:val="000E2358"/>
    <w:rsid w:val="000E7DDA"/>
    <w:rsid w:val="000F2686"/>
    <w:rsid w:val="00101FF9"/>
    <w:rsid w:val="00104033"/>
    <w:rsid w:val="00104456"/>
    <w:rsid w:val="00130A72"/>
    <w:rsid w:val="00136F1F"/>
    <w:rsid w:val="001522F5"/>
    <w:rsid w:val="00152582"/>
    <w:rsid w:val="0015331D"/>
    <w:rsid w:val="00157BB9"/>
    <w:rsid w:val="00163FFF"/>
    <w:rsid w:val="00166E08"/>
    <w:rsid w:val="00167FF5"/>
    <w:rsid w:val="00173E16"/>
    <w:rsid w:val="00180FBA"/>
    <w:rsid w:val="00182B10"/>
    <w:rsid w:val="001861AA"/>
    <w:rsid w:val="00195C6E"/>
    <w:rsid w:val="001C28EB"/>
    <w:rsid w:val="001D0E3D"/>
    <w:rsid w:val="001D78AD"/>
    <w:rsid w:val="001E401B"/>
    <w:rsid w:val="001E6757"/>
    <w:rsid w:val="001E7254"/>
    <w:rsid w:val="001F4F9B"/>
    <w:rsid w:val="002106E4"/>
    <w:rsid w:val="0021442C"/>
    <w:rsid w:val="0021643A"/>
    <w:rsid w:val="0023006E"/>
    <w:rsid w:val="0024294F"/>
    <w:rsid w:val="00243910"/>
    <w:rsid w:val="00243B25"/>
    <w:rsid w:val="002475DE"/>
    <w:rsid w:val="00251649"/>
    <w:rsid w:val="00263AD8"/>
    <w:rsid w:val="00265949"/>
    <w:rsid w:val="00267FA7"/>
    <w:rsid w:val="002715B7"/>
    <w:rsid w:val="00272780"/>
    <w:rsid w:val="00280329"/>
    <w:rsid w:val="00282D36"/>
    <w:rsid w:val="00283540"/>
    <w:rsid w:val="002848E5"/>
    <w:rsid w:val="0028493E"/>
    <w:rsid w:val="002908B3"/>
    <w:rsid w:val="00292900"/>
    <w:rsid w:val="002A1764"/>
    <w:rsid w:val="002A1795"/>
    <w:rsid w:val="002A2445"/>
    <w:rsid w:val="002B1891"/>
    <w:rsid w:val="002C329C"/>
    <w:rsid w:val="002F3AD3"/>
    <w:rsid w:val="0030119D"/>
    <w:rsid w:val="00311FA2"/>
    <w:rsid w:val="0031494C"/>
    <w:rsid w:val="00334BD7"/>
    <w:rsid w:val="00352663"/>
    <w:rsid w:val="00357567"/>
    <w:rsid w:val="003604DD"/>
    <w:rsid w:val="003608DA"/>
    <w:rsid w:val="003720B7"/>
    <w:rsid w:val="0038645B"/>
    <w:rsid w:val="00387DF1"/>
    <w:rsid w:val="003924A6"/>
    <w:rsid w:val="00396C00"/>
    <w:rsid w:val="003A1855"/>
    <w:rsid w:val="003A2158"/>
    <w:rsid w:val="003A56F7"/>
    <w:rsid w:val="003C519C"/>
    <w:rsid w:val="003D5C6B"/>
    <w:rsid w:val="003D6CD6"/>
    <w:rsid w:val="003E2CE8"/>
    <w:rsid w:val="003E6B6E"/>
    <w:rsid w:val="003E7A62"/>
    <w:rsid w:val="003F117C"/>
    <w:rsid w:val="003F1ED8"/>
    <w:rsid w:val="003F56AE"/>
    <w:rsid w:val="003F73CA"/>
    <w:rsid w:val="00400119"/>
    <w:rsid w:val="00405264"/>
    <w:rsid w:val="00406EDE"/>
    <w:rsid w:val="00413D65"/>
    <w:rsid w:val="004431C2"/>
    <w:rsid w:val="0044460B"/>
    <w:rsid w:val="00446050"/>
    <w:rsid w:val="004467A7"/>
    <w:rsid w:val="0044684E"/>
    <w:rsid w:val="00465A9A"/>
    <w:rsid w:val="00473434"/>
    <w:rsid w:val="00475324"/>
    <w:rsid w:val="00490D13"/>
    <w:rsid w:val="00493C2D"/>
    <w:rsid w:val="004978F2"/>
    <w:rsid w:val="004A542E"/>
    <w:rsid w:val="004B2289"/>
    <w:rsid w:val="004B2C68"/>
    <w:rsid w:val="004B3224"/>
    <w:rsid w:val="004B33F3"/>
    <w:rsid w:val="004B545E"/>
    <w:rsid w:val="004C4531"/>
    <w:rsid w:val="004C616B"/>
    <w:rsid w:val="004C7FEC"/>
    <w:rsid w:val="004D56F6"/>
    <w:rsid w:val="004E40AB"/>
    <w:rsid w:val="004E7C69"/>
    <w:rsid w:val="004F4457"/>
    <w:rsid w:val="00513191"/>
    <w:rsid w:val="0052567F"/>
    <w:rsid w:val="005269F8"/>
    <w:rsid w:val="005310A2"/>
    <w:rsid w:val="00533467"/>
    <w:rsid w:val="00535496"/>
    <w:rsid w:val="005357E1"/>
    <w:rsid w:val="00552128"/>
    <w:rsid w:val="00554A1A"/>
    <w:rsid w:val="00560319"/>
    <w:rsid w:val="005672A3"/>
    <w:rsid w:val="0058275E"/>
    <w:rsid w:val="00585AD3"/>
    <w:rsid w:val="00592179"/>
    <w:rsid w:val="0059718C"/>
    <w:rsid w:val="005A4073"/>
    <w:rsid w:val="005A4704"/>
    <w:rsid w:val="005B6EE9"/>
    <w:rsid w:val="005B7CD5"/>
    <w:rsid w:val="005D7C6B"/>
    <w:rsid w:val="005F04B7"/>
    <w:rsid w:val="005F0669"/>
    <w:rsid w:val="005F21FB"/>
    <w:rsid w:val="0060565C"/>
    <w:rsid w:val="00623050"/>
    <w:rsid w:val="00625A14"/>
    <w:rsid w:val="0063092C"/>
    <w:rsid w:val="00635496"/>
    <w:rsid w:val="00635649"/>
    <w:rsid w:val="00637888"/>
    <w:rsid w:val="00641DCB"/>
    <w:rsid w:val="00645780"/>
    <w:rsid w:val="00646380"/>
    <w:rsid w:val="006464C9"/>
    <w:rsid w:val="006557C2"/>
    <w:rsid w:val="00670D0E"/>
    <w:rsid w:val="006737BC"/>
    <w:rsid w:val="00692C4F"/>
    <w:rsid w:val="006A4066"/>
    <w:rsid w:val="006B0348"/>
    <w:rsid w:val="006B0481"/>
    <w:rsid w:val="006C0134"/>
    <w:rsid w:val="006C2283"/>
    <w:rsid w:val="006C7BDA"/>
    <w:rsid w:val="006D09BF"/>
    <w:rsid w:val="006D55CA"/>
    <w:rsid w:val="006D7382"/>
    <w:rsid w:val="006E5D62"/>
    <w:rsid w:val="006F34DB"/>
    <w:rsid w:val="006F3CAB"/>
    <w:rsid w:val="006F4853"/>
    <w:rsid w:val="006F5098"/>
    <w:rsid w:val="00713DF0"/>
    <w:rsid w:val="007165C1"/>
    <w:rsid w:val="00733609"/>
    <w:rsid w:val="007344C4"/>
    <w:rsid w:val="0074642E"/>
    <w:rsid w:val="00757B16"/>
    <w:rsid w:val="00764E20"/>
    <w:rsid w:val="007750C1"/>
    <w:rsid w:val="00781C54"/>
    <w:rsid w:val="007875BD"/>
    <w:rsid w:val="00791C71"/>
    <w:rsid w:val="007A5D12"/>
    <w:rsid w:val="007B39C9"/>
    <w:rsid w:val="007C0D27"/>
    <w:rsid w:val="007F6913"/>
    <w:rsid w:val="00806DD1"/>
    <w:rsid w:val="008077C2"/>
    <w:rsid w:val="00812116"/>
    <w:rsid w:val="008133C7"/>
    <w:rsid w:val="00815E5A"/>
    <w:rsid w:val="008174B7"/>
    <w:rsid w:val="00823943"/>
    <w:rsid w:val="0083063C"/>
    <w:rsid w:val="00830C41"/>
    <w:rsid w:val="00836C59"/>
    <w:rsid w:val="00836EF6"/>
    <w:rsid w:val="00841D97"/>
    <w:rsid w:val="008422F9"/>
    <w:rsid w:val="00842D3F"/>
    <w:rsid w:val="00847726"/>
    <w:rsid w:val="008500BA"/>
    <w:rsid w:val="00853A47"/>
    <w:rsid w:val="00873D28"/>
    <w:rsid w:val="0087497D"/>
    <w:rsid w:val="00875AFF"/>
    <w:rsid w:val="00876F55"/>
    <w:rsid w:val="008928CA"/>
    <w:rsid w:val="008A74C6"/>
    <w:rsid w:val="008C24A7"/>
    <w:rsid w:val="008C2A43"/>
    <w:rsid w:val="008C46B2"/>
    <w:rsid w:val="008C6A8E"/>
    <w:rsid w:val="008E5A59"/>
    <w:rsid w:val="008F3EC9"/>
    <w:rsid w:val="008F5B63"/>
    <w:rsid w:val="00903763"/>
    <w:rsid w:val="00906ACA"/>
    <w:rsid w:val="00910D4F"/>
    <w:rsid w:val="00920E14"/>
    <w:rsid w:val="00923C5C"/>
    <w:rsid w:val="0092614E"/>
    <w:rsid w:val="00936F9B"/>
    <w:rsid w:val="0093781C"/>
    <w:rsid w:val="0094519C"/>
    <w:rsid w:val="00946F69"/>
    <w:rsid w:val="009474BE"/>
    <w:rsid w:val="00960772"/>
    <w:rsid w:val="009646A9"/>
    <w:rsid w:val="00967BC6"/>
    <w:rsid w:val="00986356"/>
    <w:rsid w:val="00992499"/>
    <w:rsid w:val="00995A69"/>
    <w:rsid w:val="009B4341"/>
    <w:rsid w:val="009B60EF"/>
    <w:rsid w:val="009B6890"/>
    <w:rsid w:val="009C3C20"/>
    <w:rsid w:val="009C3F36"/>
    <w:rsid w:val="009C75A6"/>
    <w:rsid w:val="009E414C"/>
    <w:rsid w:val="00A03F5D"/>
    <w:rsid w:val="00A12FAF"/>
    <w:rsid w:val="00A24DD0"/>
    <w:rsid w:val="00A303EE"/>
    <w:rsid w:val="00A30DAB"/>
    <w:rsid w:val="00A33771"/>
    <w:rsid w:val="00A4507C"/>
    <w:rsid w:val="00A50BD9"/>
    <w:rsid w:val="00A5355A"/>
    <w:rsid w:val="00A54CCD"/>
    <w:rsid w:val="00A73265"/>
    <w:rsid w:val="00A73C12"/>
    <w:rsid w:val="00A8284C"/>
    <w:rsid w:val="00A94D8F"/>
    <w:rsid w:val="00A979D5"/>
    <w:rsid w:val="00AA0A61"/>
    <w:rsid w:val="00AA0EAC"/>
    <w:rsid w:val="00AC11A6"/>
    <w:rsid w:val="00AD561B"/>
    <w:rsid w:val="00AD65E4"/>
    <w:rsid w:val="00AE2639"/>
    <w:rsid w:val="00AE4CCA"/>
    <w:rsid w:val="00AE7039"/>
    <w:rsid w:val="00B0404B"/>
    <w:rsid w:val="00B1055F"/>
    <w:rsid w:val="00B15CB9"/>
    <w:rsid w:val="00B15E57"/>
    <w:rsid w:val="00B17697"/>
    <w:rsid w:val="00B17F91"/>
    <w:rsid w:val="00B42E2A"/>
    <w:rsid w:val="00B46F0C"/>
    <w:rsid w:val="00B51420"/>
    <w:rsid w:val="00B5254A"/>
    <w:rsid w:val="00B92756"/>
    <w:rsid w:val="00BA0A55"/>
    <w:rsid w:val="00BA14EB"/>
    <w:rsid w:val="00BC25CF"/>
    <w:rsid w:val="00BC3D40"/>
    <w:rsid w:val="00BC7B45"/>
    <w:rsid w:val="00BE5836"/>
    <w:rsid w:val="00C0132F"/>
    <w:rsid w:val="00C120AC"/>
    <w:rsid w:val="00C2062E"/>
    <w:rsid w:val="00C25463"/>
    <w:rsid w:val="00C266C4"/>
    <w:rsid w:val="00C52D34"/>
    <w:rsid w:val="00C544CA"/>
    <w:rsid w:val="00C60DC0"/>
    <w:rsid w:val="00C67A07"/>
    <w:rsid w:val="00C714EB"/>
    <w:rsid w:val="00C76F55"/>
    <w:rsid w:val="00C83B1A"/>
    <w:rsid w:val="00C92B7A"/>
    <w:rsid w:val="00C95EEE"/>
    <w:rsid w:val="00CB40AB"/>
    <w:rsid w:val="00CC210D"/>
    <w:rsid w:val="00CC7D73"/>
    <w:rsid w:val="00CD55BD"/>
    <w:rsid w:val="00CE041C"/>
    <w:rsid w:val="00CE266A"/>
    <w:rsid w:val="00CF2BCB"/>
    <w:rsid w:val="00CF3E8C"/>
    <w:rsid w:val="00CF597D"/>
    <w:rsid w:val="00D26BC3"/>
    <w:rsid w:val="00D270B0"/>
    <w:rsid w:val="00D42073"/>
    <w:rsid w:val="00D45B3C"/>
    <w:rsid w:val="00D53B4A"/>
    <w:rsid w:val="00D55625"/>
    <w:rsid w:val="00D57CA6"/>
    <w:rsid w:val="00D60F12"/>
    <w:rsid w:val="00D64461"/>
    <w:rsid w:val="00D64ED6"/>
    <w:rsid w:val="00D66585"/>
    <w:rsid w:val="00D703F4"/>
    <w:rsid w:val="00D71A5F"/>
    <w:rsid w:val="00D7207B"/>
    <w:rsid w:val="00D753FA"/>
    <w:rsid w:val="00D81DF1"/>
    <w:rsid w:val="00D8641A"/>
    <w:rsid w:val="00DA1D5F"/>
    <w:rsid w:val="00DA5242"/>
    <w:rsid w:val="00DB2A7C"/>
    <w:rsid w:val="00DB43F2"/>
    <w:rsid w:val="00DB5471"/>
    <w:rsid w:val="00DB7D53"/>
    <w:rsid w:val="00DC0D4E"/>
    <w:rsid w:val="00DC2D53"/>
    <w:rsid w:val="00DE3331"/>
    <w:rsid w:val="00DE4785"/>
    <w:rsid w:val="00DF0180"/>
    <w:rsid w:val="00DF2A8C"/>
    <w:rsid w:val="00DF4426"/>
    <w:rsid w:val="00DF58FE"/>
    <w:rsid w:val="00DF5F34"/>
    <w:rsid w:val="00E113A5"/>
    <w:rsid w:val="00E24FC9"/>
    <w:rsid w:val="00E276E3"/>
    <w:rsid w:val="00E329B1"/>
    <w:rsid w:val="00E33E02"/>
    <w:rsid w:val="00E368C0"/>
    <w:rsid w:val="00E53C2F"/>
    <w:rsid w:val="00E64216"/>
    <w:rsid w:val="00E7304B"/>
    <w:rsid w:val="00E93F5C"/>
    <w:rsid w:val="00E97D84"/>
    <w:rsid w:val="00EA1618"/>
    <w:rsid w:val="00EA4DA5"/>
    <w:rsid w:val="00EA66F2"/>
    <w:rsid w:val="00EA6CE3"/>
    <w:rsid w:val="00EB0C91"/>
    <w:rsid w:val="00EB41AF"/>
    <w:rsid w:val="00EC1253"/>
    <w:rsid w:val="00EC6120"/>
    <w:rsid w:val="00EC7039"/>
    <w:rsid w:val="00ED576A"/>
    <w:rsid w:val="00EE1574"/>
    <w:rsid w:val="00EF3543"/>
    <w:rsid w:val="00F035C6"/>
    <w:rsid w:val="00F07C36"/>
    <w:rsid w:val="00F237CC"/>
    <w:rsid w:val="00F36C7D"/>
    <w:rsid w:val="00F463AF"/>
    <w:rsid w:val="00F621BD"/>
    <w:rsid w:val="00F64262"/>
    <w:rsid w:val="00F71EB2"/>
    <w:rsid w:val="00F75A86"/>
    <w:rsid w:val="00F9074D"/>
    <w:rsid w:val="00F91E57"/>
    <w:rsid w:val="00FA040B"/>
    <w:rsid w:val="00FB179D"/>
    <w:rsid w:val="00FB51A4"/>
    <w:rsid w:val="00FC0BED"/>
    <w:rsid w:val="00FC3542"/>
    <w:rsid w:val="00FC51F0"/>
    <w:rsid w:val="00FD37CE"/>
    <w:rsid w:val="00FD77F5"/>
    <w:rsid w:val="00FE457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2F9"/>
    <w:pPr>
      <w:jc w:val="both"/>
    </w:pPr>
    <w:rPr>
      <w:szCs w:val="24"/>
      <w:lang w:val="en-GB" w:eastAsia="de-DE"/>
    </w:rPr>
  </w:style>
  <w:style w:type="paragraph" w:styleId="Heading1">
    <w:name w:val="heading 1"/>
    <w:basedOn w:val="Normal"/>
    <w:next w:val="Normal"/>
    <w:link w:val="Heading1Char"/>
    <w:uiPriority w:val="99"/>
    <w:qFormat/>
    <w:rsid w:val="00C2062E"/>
    <w:pPr>
      <w:keepNext/>
      <w:numPr>
        <w:numId w:val="1"/>
      </w:numPr>
      <w:spacing w:before="120"/>
      <w:ind w:left="431" w:hanging="431"/>
      <w:outlineLvl w:val="0"/>
    </w:pPr>
    <w:rPr>
      <w:rFonts w:ascii="Arial" w:hAnsi="Arial" w:cs="Arial"/>
      <w:b/>
      <w:bCs/>
      <w:caps/>
      <w:kern w:val="32"/>
    </w:rPr>
  </w:style>
  <w:style w:type="paragraph" w:styleId="Heading2">
    <w:name w:val="heading 2"/>
    <w:basedOn w:val="Normal"/>
    <w:next w:val="Normal"/>
    <w:link w:val="Heading2Char"/>
    <w:uiPriority w:val="99"/>
    <w:qFormat/>
    <w:rsid w:val="00C2062E"/>
    <w:pPr>
      <w:keepNext/>
      <w:numPr>
        <w:ilvl w:val="1"/>
        <w:numId w:val="1"/>
      </w:numPr>
      <w:ind w:left="578" w:hanging="578"/>
      <w:outlineLvl w:val="1"/>
    </w:pPr>
    <w:rPr>
      <w:rFonts w:cs="Arial"/>
      <w:b/>
      <w:bCs/>
      <w:iCs/>
      <w:szCs w:val="28"/>
    </w:rPr>
  </w:style>
  <w:style w:type="paragraph" w:styleId="Heading3">
    <w:name w:val="heading 3"/>
    <w:basedOn w:val="Normal"/>
    <w:next w:val="Normal"/>
    <w:link w:val="Heading3Char"/>
    <w:uiPriority w:val="99"/>
    <w:qFormat/>
    <w:rsid w:val="00C2062E"/>
    <w:pPr>
      <w:keepNext/>
      <w:numPr>
        <w:ilvl w:val="2"/>
        <w:numId w:val="1"/>
      </w:numPr>
      <w:outlineLvl w:val="2"/>
    </w:pPr>
    <w:rPr>
      <w:b/>
    </w:rPr>
  </w:style>
  <w:style w:type="paragraph" w:styleId="Heading4">
    <w:name w:val="heading 4"/>
    <w:basedOn w:val="Normal"/>
    <w:next w:val="Normal"/>
    <w:link w:val="Heading4Char"/>
    <w:uiPriority w:val="99"/>
    <w:qFormat/>
    <w:rsid w:val="00C2062E"/>
    <w:pPr>
      <w:keepNext/>
      <w:numPr>
        <w:ilvl w:val="3"/>
        <w:numId w:val="1"/>
      </w:numPr>
      <w:ind w:left="862" w:hanging="862"/>
      <w:outlineLvl w:val="3"/>
    </w:pPr>
    <w:rPr>
      <w:b/>
      <w:szCs w:val="22"/>
    </w:rPr>
  </w:style>
  <w:style w:type="paragraph" w:styleId="Heading5">
    <w:name w:val="heading 5"/>
    <w:basedOn w:val="Normal"/>
    <w:next w:val="Normal"/>
    <w:link w:val="Heading5Char"/>
    <w:uiPriority w:val="99"/>
    <w:qFormat/>
    <w:rsid w:val="00C2062E"/>
    <w:pPr>
      <w:numPr>
        <w:ilvl w:val="4"/>
        <w:numId w:val="1"/>
      </w:numPr>
      <w:spacing w:before="240" w:after="60"/>
      <w:outlineLvl w:val="4"/>
    </w:pPr>
    <w:rPr>
      <w:b/>
      <w:bCs/>
      <w:iCs/>
      <w:szCs w:val="26"/>
    </w:rPr>
  </w:style>
  <w:style w:type="paragraph" w:styleId="Heading6">
    <w:name w:val="heading 6"/>
    <w:basedOn w:val="Normal"/>
    <w:next w:val="Normal"/>
    <w:link w:val="Heading6Char"/>
    <w:uiPriority w:val="99"/>
    <w:qFormat/>
    <w:rsid w:val="00C2062E"/>
    <w:pPr>
      <w:numPr>
        <w:ilvl w:val="5"/>
        <w:numId w:val="1"/>
      </w:numPr>
      <w:spacing w:after="60"/>
      <w:ind w:left="1151" w:hanging="1151"/>
      <w:outlineLvl w:val="5"/>
    </w:pPr>
    <w:rPr>
      <w:rFonts w:ascii="Verdana" w:hAnsi="Verdana"/>
      <w:bCs/>
      <w:sz w:val="20"/>
      <w:szCs w:val="22"/>
    </w:rPr>
  </w:style>
  <w:style w:type="paragraph" w:styleId="Heading7">
    <w:name w:val="heading 7"/>
    <w:basedOn w:val="Normal"/>
    <w:next w:val="Normal"/>
    <w:link w:val="Heading7Char"/>
    <w:uiPriority w:val="99"/>
    <w:qFormat/>
    <w:rsid w:val="00DE4785"/>
    <w:pPr>
      <w:numPr>
        <w:ilvl w:val="6"/>
        <w:numId w:val="1"/>
      </w:numPr>
      <w:spacing w:before="240" w:after="60"/>
      <w:outlineLvl w:val="6"/>
    </w:pPr>
    <w:rPr>
      <w:rFonts w:ascii="Arial" w:hAnsi="Arial"/>
    </w:rPr>
  </w:style>
  <w:style w:type="paragraph" w:styleId="Heading8">
    <w:name w:val="heading 8"/>
    <w:basedOn w:val="Normal"/>
    <w:next w:val="Normal"/>
    <w:link w:val="Heading8Char"/>
    <w:uiPriority w:val="99"/>
    <w:qFormat/>
    <w:rsid w:val="00DE4785"/>
    <w:pPr>
      <w:numPr>
        <w:ilvl w:val="7"/>
        <w:numId w:val="1"/>
      </w:numPr>
      <w:spacing w:before="240" w:after="60"/>
      <w:outlineLvl w:val="7"/>
    </w:pPr>
    <w:rPr>
      <w:rFonts w:ascii="Arial" w:hAnsi="Arial"/>
      <w:i/>
      <w:iCs/>
    </w:rPr>
  </w:style>
  <w:style w:type="paragraph" w:styleId="Heading9">
    <w:name w:val="heading 9"/>
    <w:basedOn w:val="Normal"/>
    <w:next w:val="Normal"/>
    <w:link w:val="Heading9Char"/>
    <w:uiPriority w:val="99"/>
    <w:qFormat/>
    <w:rsid w:val="00DE4785"/>
    <w:pPr>
      <w:numPr>
        <w:ilvl w:val="8"/>
        <w:numId w:val="1"/>
      </w:numPr>
      <w:spacing w:before="240" w:after="60"/>
      <w:outlineLvl w:val="8"/>
    </w:pPr>
    <w:rPr>
      <w:rFonts w:ascii="Arial" w:hAnsi="Arial" w:cs="Arial"/>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B73"/>
    <w:rPr>
      <w:rFonts w:asciiTheme="majorHAnsi" w:eastAsiaTheme="majorEastAsia" w:hAnsiTheme="majorHAnsi" w:cstheme="majorBidi"/>
      <w:b/>
      <w:bCs/>
      <w:kern w:val="32"/>
      <w:sz w:val="32"/>
      <w:szCs w:val="32"/>
      <w:lang w:val="en-GB" w:eastAsia="de-DE"/>
    </w:rPr>
  </w:style>
  <w:style w:type="character" w:customStyle="1" w:styleId="Heading2Char">
    <w:name w:val="Heading 2 Char"/>
    <w:basedOn w:val="DefaultParagraphFont"/>
    <w:link w:val="Heading2"/>
    <w:uiPriority w:val="9"/>
    <w:semiHidden/>
    <w:rsid w:val="00F61B73"/>
    <w:rPr>
      <w:rFonts w:asciiTheme="majorHAnsi" w:eastAsiaTheme="majorEastAsia" w:hAnsiTheme="majorHAnsi" w:cstheme="majorBidi"/>
      <w:b/>
      <w:bCs/>
      <w:i/>
      <w:iCs/>
      <w:sz w:val="28"/>
      <w:szCs w:val="28"/>
      <w:lang w:val="en-GB" w:eastAsia="de-DE"/>
    </w:rPr>
  </w:style>
  <w:style w:type="character" w:customStyle="1" w:styleId="Heading3Char">
    <w:name w:val="Heading 3 Char"/>
    <w:basedOn w:val="DefaultParagraphFont"/>
    <w:link w:val="Heading3"/>
    <w:uiPriority w:val="9"/>
    <w:semiHidden/>
    <w:rsid w:val="00F61B73"/>
    <w:rPr>
      <w:rFonts w:asciiTheme="majorHAnsi" w:eastAsiaTheme="majorEastAsia" w:hAnsiTheme="majorHAnsi" w:cstheme="majorBidi"/>
      <w:b/>
      <w:bCs/>
      <w:sz w:val="26"/>
      <w:szCs w:val="26"/>
      <w:lang w:val="en-GB" w:eastAsia="de-DE"/>
    </w:rPr>
  </w:style>
  <w:style w:type="character" w:customStyle="1" w:styleId="Heading4Char">
    <w:name w:val="Heading 4 Char"/>
    <w:basedOn w:val="DefaultParagraphFont"/>
    <w:link w:val="Heading4"/>
    <w:uiPriority w:val="9"/>
    <w:semiHidden/>
    <w:rsid w:val="00F61B73"/>
    <w:rPr>
      <w:rFonts w:asciiTheme="minorHAnsi" w:eastAsiaTheme="minorEastAsia" w:hAnsiTheme="minorHAnsi" w:cstheme="minorBidi"/>
      <w:b/>
      <w:bCs/>
      <w:sz w:val="28"/>
      <w:szCs w:val="28"/>
      <w:lang w:val="en-GB" w:eastAsia="de-DE"/>
    </w:rPr>
  </w:style>
  <w:style w:type="character" w:customStyle="1" w:styleId="Heading5Char">
    <w:name w:val="Heading 5 Char"/>
    <w:basedOn w:val="DefaultParagraphFont"/>
    <w:link w:val="Heading5"/>
    <w:uiPriority w:val="9"/>
    <w:semiHidden/>
    <w:rsid w:val="00F61B73"/>
    <w:rPr>
      <w:rFonts w:asciiTheme="minorHAnsi" w:eastAsiaTheme="minorEastAsia" w:hAnsiTheme="minorHAnsi" w:cstheme="minorBidi"/>
      <w:b/>
      <w:bCs/>
      <w:i/>
      <w:iCs/>
      <w:sz w:val="26"/>
      <w:szCs w:val="26"/>
      <w:lang w:val="en-GB" w:eastAsia="de-DE"/>
    </w:rPr>
  </w:style>
  <w:style w:type="character" w:customStyle="1" w:styleId="Heading6Char">
    <w:name w:val="Heading 6 Char"/>
    <w:basedOn w:val="DefaultParagraphFont"/>
    <w:link w:val="Heading6"/>
    <w:uiPriority w:val="9"/>
    <w:semiHidden/>
    <w:rsid w:val="00F61B73"/>
    <w:rPr>
      <w:rFonts w:asciiTheme="minorHAnsi" w:eastAsiaTheme="minorEastAsia" w:hAnsiTheme="minorHAnsi" w:cstheme="minorBidi"/>
      <w:b/>
      <w:bCs/>
      <w:lang w:val="en-GB" w:eastAsia="de-DE"/>
    </w:rPr>
  </w:style>
  <w:style w:type="character" w:customStyle="1" w:styleId="Heading7Char">
    <w:name w:val="Heading 7 Char"/>
    <w:basedOn w:val="DefaultParagraphFont"/>
    <w:link w:val="Heading7"/>
    <w:uiPriority w:val="9"/>
    <w:semiHidden/>
    <w:rsid w:val="00F61B73"/>
    <w:rPr>
      <w:rFonts w:asciiTheme="minorHAnsi" w:eastAsiaTheme="minorEastAsia" w:hAnsiTheme="minorHAnsi" w:cstheme="minorBidi"/>
      <w:sz w:val="24"/>
      <w:szCs w:val="24"/>
      <w:lang w:val="en-GB" w:eastAsia="de-DE"/>
    </w:rPr>
  </w:style>
  <w:style w:type="character" w:customStyle="1" w:styleId="Heading8Char">
    <w:name w:val="Heading 8 Char"/>
    <w:basedOn w:val="DefaultParagraphFont"/>
    <w:link w:val="Heading8"/>
    <w:uiPriority w:val="9"/>
    <w:semiHidden/>
    <w:rsid w:val="00F61B73"/>
    <w:rPr>
      <w:rFonts w:asciiTheme="minorHAnsi" w:eastAsiaTheme="minorEastAsia" w:hAnsiTheme="minorHAnsi" w:cstheme="minorBidi"/>
      <w:i/>
      <w:iCs/>
      <w:sz w:val="24"/>
      <w:szCs w:val="24"/>
      <w:lang w:val="en-GB" w:eastAsia="de-DE"/>
    </w:rPr>
  </w:style>
  <w:style w:type="character" w:customStyle="1" w:styleId="Heading9Char">
    <w:name w:val="Heading 9 Char"/>
    <w:basedOn w:val="DefaultParagraphFont"/>
    <w:link w:val="Heading9"/>
    <w:uiPriority w:val="9"/>
    <w:semiHidden/>
    <w:rsid w:val="00F61B73"/>
    <w:rPr>
      <w:rFonts w:asciiTheme="majorHAnsi" w:eastAsiaTheme="majorEastAsia" w:hAnsiTheme="majorHAnsi" w:cstheme="majorBidi"/>
      <w:lang w:val="en-GB" w:eastAsia="de-DE"/>
    </w:rPr>
  </w:style>
  <w:style w:type="paragraph" w:styleId="Footer">
    <w:name w:val="footer"/>
    <w:basedOn w:val="Normal"/>
    <w:link w:val="FooterChar"/>
    <w:uiPriority w:val="99"/>
    <w:rsid w:val="00DE4785"/>
    <w:pPr>
      <w:tabs>
        <w:tab w:val="center" w:pos="4153"/>
        <w:tab w:val="right" w:pos="8306"/>
      </w:tabs>
    </w:pPr>
  </w:style>
  <w:style w:type="character" w:customStyle="1" w:styleId="FooterChar">
    <w:name w:val="Footer Char"/>
    <w:basedOn w:val="DefaultParagraphFont"/>
    <w:link w:val="Footer"/>
    <w:uiPriority w:val="99"/>
    <w:semiHidden/>
    <w:rsid w:val="00F61B73"/>
    <w:rPr>
      <w:szCs w:val="24"/>
      <w:lang w:val="en-GB" w:eastAsia="de-DE"/>
    </w:rPr>
  </w:style>
  <w:style w:type="paragraph" w:styleId="FootnoteText">
    <w:name w:val="footnote text"/>
    <w:aliases w:val="ALTS FOOTNOTE,Footnote Text2,Footnote Text11,ALTS FOOTNOTE11,Footnote Text Char111,Footnote Text Char Char Char11,Footnote Text Char1 Char Char Char Char11,Footnote Text Char1 Char Char Char11,ALTS FOOTNOTE2,Char Char Char,f"/>
    <w:basedOn w:val="Normal"/>
    <w:link w:val="FootnoteTextChar1"/>
    <w:uiPriority w:val="99"/>
    <w:rsid w:val="00DE4785"/>
  </w:style>
  <w:style w:type="character" w:customStyle="1" w:styleId="FootnoteTextChar">
    <w:name w:val="Footnote Text Char"/>
    <w:aliases w:val="ALTS FOOTNOTE Char,Footnote Text2 Char,Footnote Text11 Char,ALTS FOOTNOTE11 Char,Footnote Text Char111 Char,Footnote Text Char Char Char11 Char,Footnote Text Char1 Char Char Char Char11 Char,Footnote Text Char1 Char Char Char11 Char"/>
    <w:basedOn w:val="DefaultParagraphFont"/>
    <w:link w:val="FootnoteText"/>
    <w:uiPriority w:val="99"/>
    <w:semiHidden/>
    <w:rsid w:val="00F61B73"/>
    <w:rPr>
      <w:sz w:val="20"/>
      <w:szCs w:val="20"/>
      <w:lang w:val="en-GB" w:eastAsia="de-DE"/>
    </w:rPr>
  </w:style>
  <w:style w:type="paragraph" w:styleId="Header">
    <w:name w:val="header"/>
    <w:basedOn w:val="Normal"/>
    <w:link w:val="HeaderChar"/>
    <w:uiPriority w:val="99"/>
    <w:rsid w:val="00DE4785"/>
    <w:pPr>
      <w:tabs>
        <w:tab w:val="center" w:pos="4536"/>
        <w:tab w:val="right" w:pos="9072"/>
      </w:tabs>
    </w:pPr>
  </w:style>
  <w:style w:type="character" w:customStyle="1" w:styleId="HeaderChar">
    <w:name w:val="Header Char"/>
    <w:basedOn w:val="DefaultParagraphFont"/>
    <w:link w:val="Header"/>
    <w:uiPriority w:val="99"/>
    <w:semiHidden/>
    <w:rsid w:val="00F61B73"/>
    <w:rPr>
      <w:szCs w:val="24"/>
      <w:lang w:val="en-GB" w:eastAsia="de-DE"/>
    </w:rPr>
  </w:style>
  <w:style w:type="character" w:styleId="PageNumber">
    <w:name w:val="page number"/>
    <w:basedOn w:val="DefaultParagraphFont"/>
    <w:uiPriority w:val="99"/>
    <w:rsid w:val="00DE4785"/>
    <w:rPr>
      <w:rFonts w:cs="Times New Roman"/>
    </w:rPr>
  </w:style>
  <w:style w:type="table" w:styleId="TableGrid">
    <w:name w:val="Table Grid"/>
    <w:basedOn w:val="TableNormal"/>
    <w:uiPriority w:val="99"/>
    <w:rsid w:val="006C22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E4785"/>
    <w:rPr>
      <w:rFonts w:ascii="Tahoma" w:hAnsi="Tahoma" w:cs="Tahoma"/>
      <w:sz w:val="16"/>
      <w:szCs w:val="16"/>
    </w:rPr>
  </w:style>
  <w:style w:type="character" w:customStyle="1" w:styleId="BalloonTextChar">
    <w:name w:val="Balloon Text Char"/>
    <w:basedOn w:val="DefaultParagraphFont"/>
    <w:link w:val="BalloonText"/>
    <w:uiPriority w:val="99"/>
    <w:semiHidden/>
    <w:rsid w:val="00F61B73"/>
    <w:rPr>
      <w:sz w:val="0"/>
      <w:szCs w:val="0"/>
      <w:lang w:val="en-GB" w:eastAsia="de-DE"/>
    </w:rPr>
  </w:style>
  <w:style w:type="paragraph" w:customStyle="1" w:styleId="Texte">
    <w:name w:val="Texte"/>
    <w:basedOn w:val="Normal"/>
    <w:uiPriority w:val="99"/>
    <w:rsid w:val="00DE4785"/>
    <w:pPr>
      <w:spacing w:before="120"/>
    </w:pPr>
  </w:style>
  <w:style w:type="paragraph" w:customStyle="1" w:styleId="B1">
    <w:name w:val="B1+"/>
    <w:basedOn w:val="Normal"/>
    <w:uiPriority w:val="99"/>
    <w:rsid w:val="00DE4785"/>
    <w:pPr>
      <w:numPr>
        <w:numId w:val="2"/>
      </w:numPr>
      <w:overflowPunct w:val="0"/>
      <w:autoSpaceDE w:val="0"/>
      <w:autoSpaceDN w:val="0"/>
      <w:adjustRightInd w:val="0"/>
      <w:spacing w:after="180"/>
      <w:jc w:val="left"/>
      <w:textAlignment w:val="baseline"/>
    </w:pPr>
    <w:rPr>
      <w:sz w:val="20"/>
      <w:szCs w:val="20"/>
      <w:lang w:eastAsia="en-US"/>
    </w:rPr>
  </w:style>
  <w:style w:type="character" w:styleId="FootnoteReference">
    <w:name w:val="footnote reference"/>
    <w:aliases w:val="Appel note de bas de p,Footnote"/>
    <w:basedOn w:val="DefaultParagraphFont"/>
    <w:uiPriority w:val="99"/>
    <w:rsid w:val="00DE4785"/>
    <w:rPr>
      <w:rFonts w:cs="Times New Roman"/>
      <w:vertAlign w:val="superscript"/>
    </w:rPr>
  </w:style>
  <w:style w:type="character" w:styleId="Hyperlink">
    <w:name w:val="Hyperlink"/>
    <w:basedOn w:val="DefaultParagraphFont"/>
    <w:uiPriority w:val="99"/>
    <w:rsid w:val="00DE4785"/>
    <w:rPr>
      <w:rFonts w:cs="Times New Roman"/>
      <w:color w:val="0000FF"/>
      <w:u w:val="single"/>
    </w:rPr>
  </w:style>
  <w:style w:type="character" w:styleId="FollowedHyperlink">
    <w:name w:val="FollowedHyperlink"/>
    <w:basedOn w:val="DefaultParagraphFont"/>
    <w:uiPriority w:val="99"/>
    <w:rsid w:val="00DE4785"/>
    <w:rPr>
      <w:rFonts w:cs="Times New Roman"/>
      <w:color w:val="800080"/>
      <w:u w:val="single"/>
    </w:rPr>
  </w:style>
  <w:style w:type="paragraph" w:customStyle="1" w:styleId="NOTE">
    <w:name w:val="NOTE"/>
    <w:basedOn w:val="Normal"/>
    <w:uiPriority w:val="99"/>
    <w:rsid w:val="00243B25"/>
    <w:pPr>
      <w:tabs>
        <w:tab w:val="left" w:pos="709"/>
        <w:tab w:val="center" w:pos="4536"/>
        <w:tab w:val="right" w:pos="9072"/>
      </w:tabs>
      <w:overflowPunct w:val="0"/>
      <w:autoSpaceDE w:val="0"/>
      <w:autoSpaceDN w:val="0"/>
      <w:adjustRightInd w:val="0"/>
      <w:spacing w:after="100"/>
      <w:textAlignment w:val="baseline"/>
    </w:pPr>
    <w:rPr>
      <w:rFonts w:ascii="Arial" w:hAnsi="Arial"/>
      <w:spacing w:val="8"/>
      <w:sz w:val="16"/>
      <w:szCs w:val="20"/>
    </w:rPr>
  </w:style>
  <w:style w:type="paragraph" w:customStyle="1" w:styleId="ZT">
    <w:name w:val="ZT"/>
    <w:uiPriority w:val="99"/>
    <w:rsid w:val="00243B25"/>
    <w:pPr>
      <w:spacing w:after="96" w:line="240" w:lineRule="atLeast"/>
      <w:jc w:val="center"/>
    </w:pPr>
    <w:rPr>
      <w:rFonts w:ascii="Arial" w:hAnsi="Arial"/>
      <w:b/>
      <w:sz w:val="32"/>
      <w:szCs w:val="20"/>
      <w:lang w:val="en-GB" w:eastAsia="en-US"/>
    </w:rPr>
  </w:style>
  <w:style w:type="paragraph" w:styleId="BodyText">
    <w:name w:val="Body Text"/>
    <w:aliases w:val="bt,heading3,Body Text - Level 2,Body,b,(Ctrl Shift B),Body Text Char1 Char,Body Text Char1 Char Char,NoticeText-List,Body Text Char Char Char,BT,GS,Heading 1 text,t1,taten_body"/>
    <w:basedOn w:val="Normal"/>
    <w:link w:val="BodyTextChar"/>
    <w:uiPriority w:val="99"/>
    <w:rsid w:val="0092614E"/>
    <w:pPr>
      <w:spacing w:before="120" w:after="120" w:line="288" w:lineRule="auto"/>
      <w:jc w:val="left"/>
    </w:pPr>
    <w:rPr>
      <w:rFonts w:ascii="Arial" w:hAnsi="Arial"/>
      <w:sz w:val="20"/>
      <w:lang w:eastAsia="en-GB"/>
    </w:rPr>
  </w:style>
  <w:style w:type="character" w:customStyle="1" w:styleId="BodyTextChar">
    <w:name w:val="Body Text Char"/>
    <w:aliases w:val="bt Char,heading3 Char,Body Text - Level 2 Char,Body Char,b Char,(Ctrl Shift B) Char,Body Text Char1 Char Char1,Body Text Char1 Char Char Char,NoticeText-List Char,Body Text Char Char Char Char,BT Char,GS Char,Heading 1 text Char,t1 Char"/>
    <w:basedOn w:val="DefaultParagraphFont"/>
    <w:link w:val="BodyText"/>
    <w:uiPriority w:val="99"/>
    <w:locked/>
    <w:rsid w:val="0092614E"/>
    <w:rPr>
      <w:rFonts w:ascii="Arial" w:hAnsi="Arial" w:cs="Times New Roman"/>
      <w:sz w:val="24"/>
      <w:szCs w:val="24"/>
      <w:lang w:val="en-GB" w:eastAsia="en-GB"/>
    </w:rPr>
  </w:style>
  <w:style w:type="paragraph" w:customStyle="1" w:styleId="FigureCaption">
    <w:name w:val="Figure Caption"/>
    <w:basedOn w:val="Normal"/>
    <w:next w:val="BodyText"/>
    <w:uiPriority w:val="99"/>
    <w:rsid w:val="0092614E"/>
    <w:pPr>
      <w:keepNext/>
      <w:keepLines/>
      <w:spacing w:before="360" w:after="120" w:line="288" w:lineRule="auto"/>
      <w:jc w:val="left"/>
    </w:pPr>
    <w:rPr>
      <w:rFonts w:ascii="Arial" w:hAnsi="Arial"/>
      <w:b/>
      <w:color w:val="939598"/>
      <w:sz w:val="20"/>
      <w:lang w:eastAsia="en-GB"/>
    </w:rPr>
  </w:style>
  <w:style w:type="character" w:customStyle="1" w:styleId="FootnoteTextChar1">
    <w:name w:val="Footnote Text Char1"/>
    <w:aliases w:val="ALTS FOOTNOTE Char1,Footnote Text2 Char1,Footnote Text11 Char1,ALTS FOOTNOTE11 Char1,Footnote Text Char111 Char1,Footnote Text Char Char Char11 Char1,Footnote Text Char1 Char Char Char Char11 Char1,ALTS FOOTNOTE2 Char,f Char"/>
    <w:basedOn w:val="DefaultParagraphFont"/>
    <w:link w:val="FootnoteText"/>
    <w:uiPriority w:val="99"/>
    <w:locked/>
    <w:rsid w:val="00836C59"/>
    <w:rPr>
      <w:rFonts w:cs="Times New Roman"/>
      <w:sz w:val="24"/>
      <w:szCs w:val="24"/>
      <w:lang w:val="en-GB" w:eastAsia="de-DE"/>
    </w:rPr>
  </w:style>
  <w:style w:type="paragraph" w:customStyle="1" w:styleId="BulletList2">
    <w:name w:val="Bullet List 2"/>
    <w:basedOn w:val="BulletList1"/>
    <w:uiPriority w:val="99"/>
    <w:rsid w:val="00836C59"/>
    <w:pPr>
      <w:numPr>
        <w:ilvl w:val="1"/>
      </w:numPr>
      <w:tabs>
        <w:tab w:val="clear" w:pos="800"/>
        <w:tab w:val="num" w:pos="576"/>
      </w:tabs>
      <w:ind w:left="576" w:hanging="576"/>
    </w:pPr>
  </w:style>
  <w:style w:type="paragraph" w:customStyle="1" w:styleId="BulletList1">
    <w:name w:val="Bullet List 1"/>
    <w:basedOn w:val="Normal"/>
    <w:link w:val="BulletList1Char"/>
    <w:uiPriority w:val="99"/>
    <w:rsid w:val="00836C59"/>
    <w:pPr>
      <w:numPr>
        <w:numId w:val="8"/>
      </w:numPr>
      <w:spacing w:before="120" w:after="120" w:line="287" w:lineRule="auto"/>
      <w:jc w:val="left"/>
    </w:pPr>
    <w:rPr>
      <w:rFonts w:ascii="Arial" w:hAnsi="Arial"/>
      <w:sz w:val="20"/>
      <w:lang w:eastAsia="en-GB"/>
    </w:rPr>
  </w:style>
  <w:style w:type="paragraph" w:customStyle="1" w:styleId="BulletList3">
    <w:name w:val="Bullet List 3"/>
    <w:basedOn w:val="BulletList2"/>
    <w:uiPriority w:val="99"/>
    <w:rsid w:val="00836C59"/>
    <w:pPr>
      <w:numPr>
        <w:ilvl w:val="2"/>
      </w:numPr>
      <w:tabs>
        <w:tab w:val="clear" w:pos="1200"/>
        <w:tab w:val="num" w:pos="720"/>
      </w:tabs>
      <w:ind w:left="720" w:hanging="720"/>
    </w:pPr>
  </w:style>
  <w:style w:type="paragraph" w:customStyle="1" w:styleId="BulletList4">
    <w:name w:val="Bullet List 4"/>
    <w:basedOn w:val="BulletList3"/>
    <w:uiPriority w:val="99"/>
    <w:rsid w:val="00836C59"/>
    <w:pPr>
      <w:numPr>
        <w:ilvl w:val="3"/>
      </w:numPr>
      <w:tabs>
        <w:tab w:val="clear" w:pos="1360"/>
        <w:tab w:val="num" w:pos="864"/>
      </w:tabs>
      <w:ind w:left="864" w:hanging="864"/>
    </w:pPr>
  </w:style>
  <w:style w:type="paragraph" w:customStyle="1" w:styleId="BulletList5">
    <w:name w:val="Bullet List 5"/>
    <w:basedOn w:val="BulletList4"/>
    <w:uiPriority w:val="99"/>
    <w:rsid w:val="00836C59"/>
    <w:pPr>
      <w:numPr>
        <w:ilvl w:val="4"/>
      </w:numPr>
      <w:tabs>
        <w:tab w:val="clear" w:pos="1700"/>
        <w:tab w:val="num" w:pos="1008"/>
      </w:tabs>
      <w:ind w:left="1008" w:hanging="1008"/>
    </w:pPr>
  </w:style>
  <w:style w:type="paragraph" w:customStyle="1" w:styleId="BulletList6">
    <w:name w:val="Bullet List 6"/>
    <w:basedOn w:val="BulletList5"/>
    <w:uiPriority w:val="99"/>
    <w:rsid w:val="00836C59"/>
    <w:pPr>
      <w:numPr>
        <w:ilvl w:val="5"/>
      </w:numPr>
      <w:tabs>
        <w:tab w:val="clear" w:pos="2040"/>
        <w:tab w:val="num" w:pos="1152"/>
      </w:tabs>
      <w:ind w:left="1152" w:hanging="1152"/>
    </w:pPr>
  </w:style>
  <w:style w:type="paragraph" w:customStyle="1" w:styleId="BulletList7">
    <w:name w:val="Bullet List 7"/>
    <w:basedOn w:val="BulletList6"/>
    <w:uiPriority w:val="99"/>
    <w:rsid w:val="00836C59"/>
    <w:pPr>
      <w:numPr>
        <w:ilvl w:val="6"/>
      </w:numPr>
      <w:tabs>
        <w:tab w:val="clear" w:pos="2380"/>
        <w:tab w:val="num" w:pos="1296"/>
      </w:tabs>
      <w:ind w:left="1296" w:hanging="1296"/>
    </w:pPr>
  </w:style>
  <w:style w:type="paragraph" w:customStyle="1" w:styleId="BulletList8">
    <w:name w:val="Bullet List 8"/>
    <w:basedOn w:val="BulletList7"/>
    <w:uiPriority w:val="99"/>
    <w:rsid w:val="00836C59"/>
    <w:pPr>
      <w:numPr>
        <w:ilvl w:val="7"/>
      </w:numPr>
      <w:tabs>
        <w:tab w:val="clear" w:pos="2720"/>
        <w:tab w:val="num" w:pos="1440"/>
      </w:tabs>
      <w:ind w:left="1440" w:hanging="1440"/>
    </w:pPr>
  </w:style>
  <w:style w:type="paragraph" w:customStyle="1" w:styleId="BulletList9">
    <w:name w:val="Bullet List 9"/>
    <w:basedOn w:val="BulletList8"/>
    <w:uiPriority w:val="99"/>
    <w:rsid w:val="00836C59"/>
    <w:pPr>
      <w:numPr>
        <w:ilvl w:val="8"/>
      </w:numPr>
      <w:tabs>
        <w:tab w:val="clear" w:pos="3060"/>
        <w:tab w:val="num" w:pos="1584"/>
      </w:tabs>
      <w:ind w:left="1584" w:hanging="1584"/>
    </w:pPr>
  </w:style>
  <w:style w:type="paragraph" w:customStyle="1" w:styleId="AfterTable">
    <w:name w:val="After Table"/>
    <w:basedOn w:val="BodyText"/>
    <w:next w:val="BodyText"/>
    <w:uiPriority w:val="99"/>
    <w:rsid w:val="00836C59"/>
    <w:pPr>
      <w:spacing w:before="360"/>
    </w:pPr>
  </w:style>
  <w:style w:type="character" w:customStyle="1" w:styleId="BulletList1Char">
    <w:name w:val="Bullet List 1 Char"/>
    <w:basedOn w:val="DefaultParagraphFont"/>
    <w:link w:val="BulletList1"/>
    <w:uiPriority w:val="99"/>
    <w:locked/>
    <w:rsid w:val="00836C59"/>
    <w:rPr>
      <w:rFonts w:ascii="Arial" w:hAnsi="Arial" w:cs="Times New Roman"/>
      <w:sz w:val="24"/>
      <w:szCs w:val="24"/>
      <w:lang w:val="en-GB" w:eastAsia="en-GB"/>
    </w:rPr>
  </w:style>
  <w:style w:type="character" w:customStyle="1" w:styleId="st">
    <w:name w:val="st"/>
    <w:basedOn w:val="DefaultParagraphFont"/>
    <w:uiPriority w:val="99"/>
    <w:rsid w:val="00A12FAF"/>
    <w:rPr>
      <w:rFonts w:cs="Times New Roman"/>
    </w:rPr>
  </w:style>
  <w:style w:type="paragraph" w:customStyle="1" w:styleId="Default">
    <w:name w:val="Default"/>
    <w:uiPriority w:val="99"/>
    <w:rsid w:val="00EA4DA5"/>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242763882">
      <w:marLeft w:val="0"/>
      <w:marRight w:val="0"/>
      <w:marTop w:val="0"/>
      <w:marBottom w:val="0"/>
      <w:divBdr>
        <w:top w:val="none" w:sz="0" w:space="0" w:color="auto"/>
        <w:left w:val="none" w:sz="0" w:space="0" w:color="auto"/>
        <w:bottom w:val="none" w:sz="0" w:space="0" w:color="auto"/>
        <w:right w:val="none" w:sz="0" w:space="0" w:color="auto"/>
      </w:divBdr>
    </w:div>
    <w:div w:id="1242763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759</Words>
  <Characters>4180</Characters>
  <Application>Microsoft Office Outlook</Application>
  <DocSecurity>0</DocSecurity>
  <Lines>0</Lines>
  <Paragraphs>0</Paragraphs>
  <ScaleCrop>false</ScaleCrop>
  <Company>Qualcomm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 Europe</dc:creator>
  <cp:keywords/>
  <dc:description/>
  <cp:lastModifiedBy>deschamps</cp:lastModifiedBy>
  <cp:revision>3</cp:revision>
  <cp:lastPrinted>2009-05-27T08:20:00Z</cp:lastPrinted>
  <dcterms:created xsi:type="dcterms:W3CDTF">2011-07-14T08:18:00Z</dcterms:created>
  <dcterms:modified xsi:type="dcterms:W3CDTF">2011-07-15T07:15:00Z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