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08" w:type="dxa"/>
        <w:tblLayout w:type="fixed"/>
        <w:tblLook w:val="0000"/>
      </w:tblPr>
      <w:tblGrid>
        <w:gridCol w:w="8"/>
        <w:gridCol w:w="3500"/>
        <w:gridCol w:w="144"/>
        <w:gridCol w:w="156"/>
        <w:gridCol w:w="1700"/>
        <w:gridCol w:w="270"/>
        <w:gridCol w:w="1930"/>
        <w:gridCol w:w="1900"/>
      </w:tblGrid>
      <w:tr w:rsidR="004E28B9" w:rsidRPr="007F6913" w:rsidTr="006B0481">
        <w:tc>
          <w:tcPr>
            <w:tcW w:w="3652" w:type="dxa"/>
            <w:gridSpan w:val="3"/>
          </w:tcPr>
          <w:p w:rsidR="004E28B9" w:rsidRDefault="004E28B9" w:rsidP="0063092C">
            <w:pPr>
              <w:rPr>
                <w:rFonts w:ascii="Arial" w:hAnsi="Arial" w:cs="Arial"/>
                <w:b/>
              </w:rPr>
            </w:pPr>
            <w:r w:rsidRPr="00B253EA">
              <w:rPr>
                <w:b/>
                <w:caps/>
                <w:noProof/>
                <w:lang w:val="fr-FR"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i1025" type="#_x0000_t75" style="width:127.5pt;height:73.5pt;visibility:visible">
                  <v:imagedata r:id="rId7" o:title=""/>
                </v:shape>
              </w:pict>
            </w:r>
          </w:p>
        </w:tc>
        <w:tc>
          <w:tcPr>
            <w:tcW w:w="4056" w:type="dxa"/>
            <w:gridSpan w:val="4"/>
          </w:tcPr>
          <w:p w:rsidR="004E28B9" w:rsidRDefault="004E28B9" w:rsidP="006B0481">
            <w:pPr>
              <w:rPr>
                <w:rFonts w:ascii="Arial" w:hAnsi="Arial" w:cs="Arial"/>
                <w:b/>
              </w:rPr>
            </w:pPr>
          </w:p>
          <w:p w:rsidR="004E28B9" w:rsidRDefault="004E28B9" w:rsidP="006B0481">
            <w:pPr>
              <w:rPr>
                <w:rFonts w:ascii="Arial" w:hAnsi="Arial" w:cs="Arial"/>
                <w:b/>
              </w:rPr>
            </w:pPr>
          </w:p>
          <w:p w:rsidR="004E28B9" w:rsidRDefault="004E28B9" w:rsidP="006B0481">
            <w:pPr>
              <w:rPr>
                <w:rFonts w:ascii="Arial" w:hAnsi="Arial" w:cs="Arial"/>
                <w:b/>
              </w:rPr>
            </w:pPr>
          </w:p>
          <w:p w:rsidR="004E28B9" w:rsidRDefault="004E28B9" w:rsidP="006B0481">
            <w:pPr>
              <w:rPr>
                <w:rFonts w:ascii="Arial" w:hAnsi="Arial" w:cs="Arial"/>
                <w:b/>
              </w:rPr>
            </w:pPr>
            <w:r>
              <w:rPr>
                <w:rFonts w:ascii="Arial" w:hAnsi="Arial" w:cs="Arial"/>
                <w:b/>
              </w:rPr>
              <w:t>FM PT50, 1</w:t>
            </w:r>
            <w:r w:rsidRPr="003720B7">
              <w:rPr>
                <w:rFonts w:ascii="Arial" w:hAnsi="Arial" w:cs="Arial"/>
                <w:b/>
                <w:vertAlign w:val="superscript"/>
              </w:rPr>
              <w:t>st</w:t>
            </w:r>
            <w:r>
              <w:rPr>
                <w:rFonts w:ascii="Arial" w:hAnsi="Arial" w:cs="Arial"/>
                <w:b/>
              </w:rPr>
              <w:t xml:space="preserve"> meeting</w:t>
            </w:r>
          </w:p>
        </w:tc>
        <w:tc>
          <w:tcPr>
            <w:tcW w:w="1900" w:type="dxa"/>
          </w:tcPr>
          <w:p w:rsidR="004E28B9" w:rsidRDefault="004E28B9" w:rsidP="00FB51A4">
            <w:pPr>
              <w:jc w:val="right"/>
              <w:rPr>
                <w:rFonts w:ascii="Arial" w:hAnsi="Arial" w:cs="Arial"/>
                <w:b/>
              </w:rPr>
            </w:pPr>
            <w:r>
              <w:rPr>
                <w:rFonts w:ascii="Arial" w:hAnsi="Arial" w:cs="Arial"/>
                <w:b/>
              </w:rPr>
              <w:t>FM50(11)008</w:t>
            </w:r>
          </w:p>
        </w:tc>
      </w:tr>
      <w:tr w:rsidR="004E28B9" w:rsidRPr="007F6913" w:rsidTr="0083063C">
        <w:tc>
          <w:tcPr>
            <w:tcW w:w="9608" w:type="dxa"/>
            <w:gridSpan w:val="8"/>
          </w:tcPr>
          <w:p w:rsidR="004E28B9" w:rsidRPr="007F6913" w:rsidRDefault="004E28B9" w:rsidP="006B0481">
            <w:pPr>
              <w:jc w:val="left"/>
              <w:rPr>
                <w:rFonts w:ascii="Arial" w:hAnsi="Arial" w:cs="Arial"/>
                <w:b/>
              </w:rPr>
            </w:pPr>
            <w:r>
              <w:rPr>
                <w:rFonts w:ascii="Arial" w:hAnsi="Arial" w:cs="Arial"/>
                <w:b/>
              </w:rPr>
              <w:t>27 – 29</w:t>
            </w:r>
            <w:r w:rsidRPr="007F6913">
              <w:rPr>
                <w:rFonts w:ascii="Arial" w:hAnsi="Arial" w:cs="Arial"/>
                <w:b/>
              </w:rPr>
              <w:t xml:space="preserve"> </w:t>
            </w:r>
            <w:r>
              <w:rPr>
                <w:rFonts w:ascii="Arial" w:hAnsi="Arial" w:cs="Arial"/>
                <w:b/>
              </w:rPr>
              <w:t>July</w:t>
            </w:r>
            <w:r w:rsidRPr="007F6913">
              <w:rPr>
                <w:rFonts w:ascii="Arial" w:hAnsi="Arial" w:cs="Arial"/>
                <w:b/>
              </w:rPr>
              <w:t xml:space="preserve"> 20</w:t>
            </w:r>
            <w:r>
              <w:rPr>
                <w:rFonts w:ascii="Arial" w:hAnsi="Arial" w:cs="Arial"/>
                <w:b/>
              </w:rPr>
              <w:t xml:space="preserve">11, </w:t>
            </w:r>
            <w:smartTag w:uri="urn:schemas-microsoft-com:office:smarttags" w:element="City">
              <w:smartTag w:uri="urn:schemas-microsoft-com:office:smarttags" w:element="place">
                <w:r>
                  <w:rPr>
                    <w:rFonts w:ascii="Arial" w:hAnsi="Arial" w:cs="Arial"/>
                    <w:b/>
                  </w:rPr>
                  <w:t>Copenhagen</w:t>
                </w:r>
              </w:smartTag>
              <w:r>
                <w:rPr>
                  <w:rFonts w:ascii="Arial" w:hAnsi="Arial" w:cs="Arial"/>
                  <w:b/>
                </w:rPr>
                <w:t xml:space="preserve">, </w:t>
              </w:r>
              <w:smartTag w:uri="urn:schemas-microsoft-com:office:smarttags" w:element="country-region">
                <w:r>
                  <w:rPr>
                    <w:rFonts w:ascii="Arial" w:hAnsi="Arial" w:cs="Arial"/>
                    <w:b/>
                  </w:rPr>
                  <w:t>Denmark</w:t>
                </w:r>
              </w:smartTag>
            </w:smartTag>
          </w:p>
        </w:tc>
      </w:tr>
      <w:tr w:rsidR="004E28B9" w:rsidRPr="007F6913" w:rsidTr="006B0481">
        <w:tc>
          <w:tcPr>
            <w:tcW w:w="3652" w:type="dxa"/>
            <w:gridSpan w:val="3"/>
          </w:tcPr>
          <w:p w:rsidR="004E28B9" w:rsidRPr="007F6913" w:rsidRDefault="004E28B9" w:rsidP="00FB51A4">
            <w:pPr>
              <w:rPr>
                <w:rFonts w:ascii="Arial" w:hAnsi="Arial" w:cs="Arial"/>
                <w:b/>
              </w:rPr>
            </w:pPr>
          </w:p>
        </w:tc>
        <w:tc>
          <w:tcPr>
            <w:tcW w:w="5956" w:type="dxa"/>
            <w:gridSpan w:val="5"/>
          </w:tcPr>
          <w:p w:rsidR="004E28B9" w:rsidRPr="007F6913" w:rsidRDefault="004E28B9" w:rsidP="00FB51A4">
            <w:pPr>
              <w:rPr>
                <w:rFonts w:ascii="Arial" w:hAnsi="Arial" w:cs="Arial"/>
                <w:b/>
              </w:rPr>
            </w:pPr>
          </w:p>
        </w:tc>
      </w:tr>
      <w:tr w:rsidR="004E28B9" w:rsidRPr="007F6913">
        <w:trPr>
          <w:cantSplit/>
        </w:trPr>
        <w:tc>
          <w:tcPr>
            <w:tcW w:w="9608" w:type="dxa"/>
            <w:gridSpan w:val="8"/>
          </w:tcPr>
          <w:p w:rsidR="004E28B9" w:rsidRPr="007F6913" w:rsidRDefault="004E28B9" w:rsidP="00FB51A4">
            <w:pPr>
              <w:tabs>
                <w:tab w:val="left" w:pos="1582"/>
              </w:tabs>
              <w:outlineLvl w:val="0"/>
              <w:rPr>
                <w:rFonts w:ascii="Arial" w:hAnsi="Arial" w:cs="Arial"/>
                <w:b/>
              </w:rPr>
            </w:pPr>
            <w:r w:rsidRPr="007F6913">
              <w:rPr>
                <w:rFonts w:ascii="Arial" w:hAnsi="Arial" w:cs="Arial"/>
                <w:b/>
              </w:rPr>
              <w:t>Date issued:</w:t>
            </w:r>
            <w:r w:rsidRPr="007F6913">
              <w:rPr>
                <w:rFonts w:ascii="Arial" w:hAnsi="Arial" w:cs="Arial"/>
                <w:b/>
              </w:rPr>
              <w:tab/>
            </w:r>
            <w:r>
              <w:rPr>
                <w:rFonts w:ascii="Arial" w:hAnsi="Arial" w:cs="Arial"/>
                <w:b/>
              </w:rPr>
              <w:t>15</w:t>
            </w:r>
            <w:r w:rsidRPr="009B7315">
              <w:rPr>
                <w:rFonts w:ascii="Arial" w:hAnsi="Arial" w:cs="Arial"/>
                <w:b/>
                <w:vertAlign w:val="superscript"/>
              </w:rPr>
              <w:t>th</w:t>
            </w:r>
            <w:r>
              <w:rPr>
                <w:rFonts w:ascii="Arial" w:hAnsi="Arial" w:cs="Arial"/>
                <w:b/>
              </w:rPr>
              <w:t xml:space="preserve"> July 2011</w:t>
            </w:r>
          </w:p>
          <w:p w:rsidR="004E28B9" w:rsidRPr="007F6913" w:rsidRDefault="004E28B9" w:rsidP="00FB51A4">
            <w:pPr>
              <w:tabs>
                <w:tab w:val="left" w:pos="1582"/>
              </w:tabs>
              <w:spacing w:before="120"/>
              <w:outlineLvl w:val="0"/>
              <w:rPr>
                <w:rFonts w:ascii="Arial" w:hAnsi="Arial" w:cs="Arial"/>
                <w:b/>
              </w:rPr>
            </w:pPr>
            <w:r w:rsidRPr="007F6913">
              <w:rPr>
                <w:rFonts w:ascii="Arial" w:hAnsi="Arial" w:cs="Arial"/>
                <w:b/>
              </w:rPr>
              <w:t>Source:</w:t>
            </w:r>
            <w:r w:rsidRPr="007F6913">
              <w:rPr>
                <w:rFonts w:ascii="Arial" w:hAnsi="Arial" w:cs="Arial"/>
                <w:b/>
              </w:rPr>
              <w:tab/>
            </w:r>
            <w:smartTag w:uri="urn:schemas-microsoft-com:office:smarttags" w:element="place">
              <w:smartTag w:uri="urn:schemas-microsoft-com:office:smarttags" w:element="country-region">
                <w:r>
                  <w:rPr>
                    <w:rFonts w:ascii="Arial" w:hAnsi="Arial" w:cs="Arial"/>
                    <w:b/>
                  </w:rPr>
                  <w:t>France</w:t>
                </w:r>
              </w:smartTag>
            </w:smartTag>
          </w:p>
          <w:p w:rsidR="004E28B9" w:rsidRPr="007F6913" w:rsidRDefault="004E28B9" w:rsidP="00A82CF5">
            <w:pPr>
              <w:tabs>
                <w:tab w:val="left" w:pos="1571"/>
              </w:tabs>
              <w:spacing w:before="120" w:after="120"/>
              <w:outlineLvl w:val="0"/>
              <w:rPr>
                <w:rFonts w:ascii="Arial" w:hAnsi="Arial" w:cs="Arial"/>
                <w:b/>
              </w:rPr>
            </w:pPr>
            <w:r w:rsidRPr="007F6913">
              <w:rPr>
                <w:rFonts w:ascii="Arial" w:hAnsi="Arial" w:cs="Arial"/>
                <w:b/>
              </w:rPr>
              <w:t>Subject:</w:t>
            </w:r>
            <w:r w:rsidRPr="007F6913">
              <w:rPr>
                <w:rFonts w:ascii="Arial" w:hAnsi="Arial" w:cs="Arial"/>
                <w:b/>
              </w:rPr>
              <w:tab/>
            </w:r>
            <w:r>
              <w:rPr>
                <w:rFonts w:ascii="Arial" w:hAnsi="Arial" w:cs="Arial"/>
                <w:b/>
              </w:rPr>
              <w:t>L-band background</w:t>
            </w:r>
          </w:p>
        </w:tc>
      </w:tr>
      <w:tr w:rsidR="004E28B9" w:rsidRPr="007F6913" w:rsidTr="00E042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Before w:val="1"/>
          <w:gridAfter w:val="2"/>
          <w:wBefore w:w="8" w:type="dxa"/>
          <w:wAfter w:w="3830" w:type="dxa"/>
        </w:trPr>
        <w:tc>
          <w:tcPr>
            <w:tcW w:w="3500" w:type="dxa"/>
            <w:tcBorders>
              <w:top w:val="nil"/>
              <w:left w:val="nil"/>
              <w:bottom w:val="nil"/>
            </w:tcBorders>
          </w:tcPr>
          <w:p w:rsidR="004E28B9" w:rsidRPr="007F6913" w:rsidRDefault="004E28B9" w:rsidP="00FB51A4">
            <w:pPr>
              <w:tabs>
                <w:tab w:val="left" w:pos="2930"/>
              </w:tabs>
              <w:rPr>
                <w:rFonts w:ascii="Arial" w:hAnsi="Arial" w:cs="Arial"/>
                <w:b/>
                <w:sz w:val="20"/>
              </w:rPr>
            </w:pPr>
            <w:r w:rsidRPr="007F6913">
              <w:rPr>
                <w:rFonts w:ascii="Arial" w:hAnsi="Arial" w:cs="Arial"/>
                <w:b/>
              </w:rPr>
              <w:t>Password protected:</w:t>
            </w:r>
            <w:r w:rsidRPr="007F6913">
              <w:rPr>
                <w:rFonts w:ascii="Arial" w:hAnsi="Arial" w:cs="Arial"/>
                <w:b/>
              </w:rPr>
              <w:tab/>
              <w:t>yes</w:t>
            </w:r>
          </w:p>
        </w:tc>
        <w:tc>
          <w:tcPr>
            <w:tcW w:w="300" w:type="dxa"/>
            <w:gridSpan w:val="2"/>
          </w:tcPr>
          <w:p w:rsidR="004E28B9" w:rsidRPr="007F6913" w:rsidRDefault="004E28B9" w:rsidP="00FB51A4">
            <w:pPr>
              <w:rPr>
                <w:rFonts w:ascii="Arial" w:hAnsi="Arial" w:cs="Arial"/>
                <w:b/>
              </w:rPr>
            </w:pPr>
          </w:p>
        </w:tc>
        <w:tc>
          <w:tcPr>
            <w:tcW w:w="1700" w:type="dxa"/>
            <w:tcBorders>
              <w:top w:val="nil"/>
              <w:bottom w:val="nil"/>
            </w:tcBorders>
          </w:tcPr>
          <w:p w:rsidR="004E28B9" w:rsidRPr="007F6913" w:rsidRDefault="004E28B9" w:rsidP="00FB51A4">
            <w:pPr>
              <w:tabs>
                <w:tab w:val="left" w:pos="1130"/>
              </w:tabs>
              <w:rPr>
                <w:rFonts w:ascii="Arial" w:hAnsi="Arial" w:cs="Arial"/>
                <w:b/>
              </w:rPr>
            </w:pPr>
            <w:r w:rsidRPr="007F6913">
              <w:rPr>
                <w:rFonts w:ascii="Arial" w:hAnsi="Arial" w:cs="Arial"/>
                <w:b/>
              </w:rPr>
              <w:tab/>
              <w:t>No</w:t>
            </w:r>
          </w:p>
        </w:tc>
        <w:tc>
          <w:tcPr>
            <w:tcW w:w="270" w:type="dxa"/>
          </w:tcPr>
          <w:p w:rsidR="004E28B9" w:rsidRPr="007F6913" w:rsidRDefault="004E28B9" w:rsidP="00FB51A4">
            <w:pPr>
              <w:rPr>
                <w:rFonts w:ascii="Arial" w:hAnsi="Arial" w:cs="Arial"/>
                <w:b/>
              </w:rPr>
            </w:pPr>
            <w:r w:rsidRPr="007F6913">
              <w:rPr>
                <w:rFonts w:ascii="Arial" w:hAnsi="Arial" w:cs="Arial"/>
                <w:b/>
              </w:rPr>
              <w:t>x</w:t>
            </w:r>
          </w:p>
        </w:tc>
      </w:tr>
    </w:tbl>
    <w:p w:rsidR="004E28B9" w:rsidRPr="007F6913" w:rsidRDefault="004E28B9" w:rsidP="00C2062E"/>
    <w:p w:rsidR="004E28B9" w:rsidRPr="007F6913" w:rsidRDefault="004E28B9" w:rsidP="00C2062E"/>
    <w:tbl>
      <w:tblPr>
        <w:tblW w:w="96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600"/>
      </w:tblGrid>
      <w:tr w:rsidR="004E28B9" w:rsidRPr="003A7C98" w:rsidTr="003720B7">
        <w:tc>
          <w:tcPr>
            <w:tcW w:w="9600" w:type="dxa"/>
          </w:tcPr>
          <w:p w:rsidR="004E28B9" w:rsidRPr="003A7C98" w:rsidRDefault="004E28B9" w:rsidP="003720B7">
            <w:pPr>
              <w:jc w:val="left"/>
              <w:rPr>
                <w:rFonts w:ascii="Arial" w:hAnsi="Arial" w:cs="Arial"/>
                <w:b/>
                <w:sz w:val="20"/>
                <w:szCs w:val="20"/>
              </w:rPr>
            </w:pPr>
          </w:p>
          <w:p w:rsidR="004E28B9" w:rsidRPr="003A7C98" w:rsidRDefault="004E28B9" w:rsidP="003720B7">
            <w:pPr>
              <w:keepNext/>
              <w:jc w:val="left"/>
              <w:outlineLvl w:val="2"/>
              <w:rPr>
                <w:rFonts w:ascii="Arial" w:hAnsi="Arial" w:cs="Arial"/>
                <w:b/>
                <w:sz w:val="24"/>
                <w:szCs w:val="20"/>
              </w:rPr>
            </w:pPr>
            <w:r w:rsidRPr="003A7C98">
              <w:rPr>
                <w:rFonts w:ascii="Arial" w:hAnsi="Arial" w:cs="Arial"/>
                <w:b/>
                <w:sz w:val="24"/>
                <w:szCs w:val="20"/>
              </w:rPr>
              <w:t>Summary</w:t>
            </w:r>
          </w:p>
          <w:p w:rsidR="004E28B9" w:rsidRPr="003A7C98" w:rsidRDefault="004E28B9" w:rsidP="003720B7">
            <w:pPr>
              <w:keepNext/>
              <w:jc w:val="left"/>
              <w:outlineLvl w:val="2"/>
              <w:rPr>
                <w:rFonts w:ascii="Arial" w:hAnsi="Arial" w:cs="Arial"/>
                <w:b/>
                <w:sz w:val="24"/>
                <w:szCs w:val="20"/>
              </w:rPr>
            </w:pPr>
          </w:p>
          <w:p w:rsidR="004E28B9" w:rsidRPr="003A7C98" w:rsidRDefault="004E28B9" w:rsidP="00F10DA6">
            <w:pPr>
              <w:keepNext/>
              <w:jc w:val="left"/>
              <w:outlineLvl w:val="2"/>
              <w:rPr>
                <w:rFonts w:ascii="Arial" w:hAnsi="Arial" w:cs="Arial"/>
              </w:rPr>
            </w:pPr>
            <w:r w:rsidRPr="003A7C98">
              <w:rPr>
                <w:rFonts w:ascii="Arial" w:hAnsi="Arial" w:cs="Arial"/>
                <w:szCs w:val="22"/>
              </w:rPr>
              <w:t>This document provides background information on the L-band study to determine the most appropriate use of this band in CEPT, including the regulatory framework in the L-band and the recent evolution of this framework, description of the current use within CEPT, current regulation and use outside CEPT. This document provides also a description of the issue under study.</w:t>
            </w:r>
          </w:p>
          <w:p w:rsidR="004E28B9" w:rsidRPr="003A7C98" w:rsidRDefault="004E28B9" w:rsidP="003720B7">
            <w:pPr>
              <w:autoSpaceDE w:val="0"/>
              <w:autoSpaceDN w:val="0"/>
              <w:adjustRightInd w:val="0"/>
              <w:jc w:val="left"/>
              <w:rPr>
                <w:rFonts w:ascii="Arial" w:hAnsi="Arial" w:cs="Arial"/>
                <w:sz w:val="20"/>
                <w:szCs w:val="20"/>
              </w:rPr>
            </w:pPr>
          </w:p>
        </w:tc>
      </w:tr>
      <w:tr w:rsidR="004E28B9" w:rsidRPr="003A7C98" w:rsidTr="003720B7">
        <w:tc>
          <w:tcPr>
            <w:tcW w:w="9600" w:type="dxa"/>
          </w:tcPr>
          <w:p w:rsidR="004E28B9" w:rsidRPr="003A7C98" w:rsidRDefault="004E28B9" w:rsidP="003720B7">
            <w:pPr>
              <w:keepNext/>
              <w:jc w:val="left"/>
              <w:outlineLvl w:val="2"/>
              <w:rPr>
                <w:rFonts w:ascii="Arial" w:hAnsi="Arial" w:cs="Arial"/>
                <w:b/>
                <w:sz w:val="24"/>
                <w:szCs w:val="20"/>
              </w:rPr>
            </w:pPr>
          </w:p>
          <w:p w:rsidR="004E28B9" w:rsidRPr="003A7C98" w:rsidRDefault="004E28B9" w:rsidP="003720B7">
            <w:pPr>
              <w:keepNext/>
              <w:jc w:val="left"/>
              <w:outlineLvl w:val="2"/>
              <w:rPr>
                <w:rFonts w:ascii="Arial" w:hAnsi="Arial" w:cs="Arial"/>
                <w:b/>
                <w:sz w:val="24"/>
                <w:szCs w:val="20"/>
              </w:rPr>
            </w:pPr>
            <w:r w:rsidRPr="003A7C98">
              <w:rPr>
                <w:rFonts w:ascii="Arial" w:hAnsi="Arial" w:cs="Arial"/>
                <w:b/>
                <w:sz w:val="24"/>
                <w:szCs w:val="20"/>
              </w:rPr>
              <w:t>Proposal</w:t>
            </w:r>
          </w:p>
          <w:p w:rsidR="004E28B9" w:rsidRPr="003A7C98" w:rsidRDefault="004E28B9" w:rsidP="000C54D3">
            <w:pPr>
              <w:keepNext/>
              <w:jc w:val="left"/>
              <w:outlineLvl w:val="2"/>
              <w:rPr>
                <w:rFonts w:ascii="Arial" w:hAnsi="Arial" w:cs="Arial"/>
              </w:rPr>
            </w:pPr>
          </w:p>
          <w:p w:rsidR="004E28B9" w:rsidRPr="003A7C98" w:rsidRDefault="004E28B9" w:rsidP="000C54D3">
            <w:pPr>
              <w:keepNext/>
              <w:jc w:val="left"/>
              <w:outlineLvl w:val="2"/>
              <w:rPr>
                <w:rFonts w:ascii="Arial" w:hAnsi="Arial" w:cs="Arial"/>
              </w:rPr>
            </w:pPr>
            <w:r>
              <w:rPr>
                <w:rFonts w:ascii="Arial" w:hAnsi="Arial" w:cs="Arial"/>
                <w:szCs w:val="22"/>
              </w:rPr>
              <w:t>It is proposed</w:t>
            </w:r>
            <w:r w:rsidRPr="003A7C98">
              <w:rPr>
                <w:rFonts w:ascii="Arial" w:hAnsi="Arial" w:cs="Arial"/>
                <w:szCs w:val="22"/>
              </w:rPr>
              <w:t xml:space="preserve"> to include the text provided ther</w:t>
            </w:r>
            <w:r>
              <w:rPr>
                <w:rFonts w:ascii="Arial" w:hAnsi="Arial" w:cs="Arial"/>
                <w:szCs w:val="22"/>
              </w:rPr>
              <w:t xml:space="preserve">eafter in the Section 1 (Description of the context of the study) of the </w:t>
            </w:r>
            <w:r w:rsidRPr="003A7C98">
              <w:rPr>
                <w:rFonts w:ascii="Arial" w:hAnsi="Arial" w:cs="Arial"/>
                <w:szCs w:val="22"/>
              </w:rPr>
              <w:t xml:space="preserve">outline of the ECC Report on L-band as proposed in document </w:t>
            </w:r>
            <w:r>
              <w:rPr>
                <w:rFonts w:ascii="Arial" w:hAnsi="Arial" w:cs="Arial"/>
                <w:szCs w:val="22"/>
              </w:rPr>
              <w:t>FM50(11)005 (subject to the endorsement of this outline by the project team).</w:t>
            </w:r>
          </w:p>
          <w:p w:rsidR="004E28B9" w:rsidRPr="003A7C98" w:rsidRDefault="004E28B9" w:rsidP="003720B7">
            <w:pPr>
              <w:jc w:val="left"/>
              <w:rPr>
                <w:rFonts w:ascii="Arial" w:hAnsi="Arial" w:cs="Arial"/>
              </w:rPr>
            </w:pPr>
          </w:p>
          <w:p w:rsidR="004E28B9" w:rsidRPr="003A7C98" w:rsidRDefault="004E28B9" w:rsidP="00DE3331">
            <w:pPr>
              <w:jc w:val="left"/>
              <w:rPr>
                <w:rFonts w:ascii="Arial" w:hAnsi="Arial" w:cs="Arial"/>
                <w:sz w:val="20"/>
                <w:szCs w:val="20"/>
              </w:rPr>
            </w:pPr>
          </w:p>
        </w:tc>
      </w:tr>
      <w:tr w:rsidR="004E28B9" w:rsidRPr="003A7C98" w:rsidTr="003720B7">
        <w:tc>
          <w:tcPr>
            <w:tcW w:w="9600" w:type="dxa"/>
          </w:tcPr>
          <w:p w:rsidR="004E28B9" w:rsidRPr="003A7C98" w:rsidRDefault="004E28B9" w:rsidP="003720B7">
            <w:pPr>
              <w:jc w:val="left"/>
              <w:rPr>
                <w:rFonts w:ascii="Arial" w:hAnsi="Arial" w:cs="Arial"/>
                <w:sz w:val="20"/>
                <w:szCs w:val="20"/>
              </w:rPr>
            </w:pPr>
          </w:p>
          <w:p w:rsidR="004E28B9" w:rsidRPr="003A7C98" w:rsidRDefault="004E28B9" w:rsidP="003720B7">
            <w:pPr>
              <w:keepNext/>
              <w:jc w:val="left"/>
              <w:outlineLvl w:val="2"/>
              <w:rPr>
                <w:rFonts w:ascii="Arial" w:hAnsi="Arial"/>
                <w:b/>
                <w:sz w:val="24"/>
                <w:szCs w:val="20"/>
              </w:rPr>
            </w:pPr>
            <w:r w:rsidRPr="003A7C98">
              <w:rPr>
                <w:rFonts w:ascii="Arial" w:hAnsi="Arial"/>
                <w:b/>
                <w:sz w:val="24"/>
                <w:szCs w:val="20"/>
              </w:rPr>
              <w:t>Background</w:t>
            </w:r>
          </w:p>
          <w:p w:rsidR="004E28B9" w:rsidRPr="003A7C98" w:rsidRDefault="004E28B9" w:rsidP="003720B7">
            <w:pPr>
              <w:jc w:val="left"/>
              <w:rPr>
                <w:rFonts w:ascii="Arial" w:hAnsi="Arial" w:cs="Arial"/>
              </w:rPr>
            </w:pPr>
          </w:p>
          <w:p w:rsidR="004E28B9" w:rsidRPr="003A7C98" w:rsidRDefault="004E28B9" w:rsidP="002673AD">
            <w:pPr>
              <w:rPr>
                <w:rFonts w:ascii="Arial" w:hAnsi="Arial" w:cs="Arial"/>
              </w:rPr>
            </w:pPr>
            <w:r w:rsidRPr="003A7C98">
              <w:rPr>
                <w:rFonts w:ascii="Arial" w:hAnsi="Arial" w:cs="Arial"/>
                <w:szCs w:val="22"/>
              </w:rPr>
              <w:t xml:space="preserve">The FM 50 </w:t>
            </w:r>
            <w:r>
              <w:rPr>
                <w:rFonts w:ascii="Arial" w:hAnsi="Arial" w:cs="Arial"/>
                <w:szCs w:val="22"/>
              </w:rPr>
              <w:t xml:space="preserve">has been tasked to </w:t>
            </w:r>
            <w:r w:rsidRPr="003A7C98">
              <w:rPr>
                <w:rFonts w:ascii="Arial" w:hAnsi="Arial" w:cs="Arial"/>
                <w:szCs w:val="22"/>
              </w:rPr>
              <w:t xml:space="preserve">develop an ECC Report on the study aiming at determining the most appropriate use </w:t>
            </w:r>
            <w:r>
              <w:rPr>
                <w:rFonts w:ascii="Arial" w:hAnsi="Arial" w:cs="Arial"/>
                <w:szCs w:val="22"/>
              </w:rPr>
              <w:t xml:space="preserve">of </w:t>
            </w:r>
            <w:r w:rsidRPr="003A7C98">
              <w:rPr>
                <w:rFonts w:ascii="Arial" w:hAnsi="Arial" w:cs="Arial"/>
                <w:szCs w:val="22"/>
              </w:rPr>
              <w:t>the L-band</w:t>
            </w:r>
            <w:r>
              <w:rPr>
                <w:rFonts w:ascii="Arial" w:hAnsi="Arial" w:cs="Arial"/>
                <w:szCs w:val="22"/>
              </w:rPr>
              <w:t xml:space="preserve"> for CEPT</w:t>
            </w:r>
            <w:r w:rsidRPr="003A7C98">
              <w:rPr>
                <w:rFonts w:ascii="Arial" w:hAnsi="Arial" w:cs="Arial"/>
                <w:szCs w:val="22"/>
              </w:rPr>
              <w:t xml:space="preserve">. </w:t>
            </w:r>
          </w:p>
          <w:p w:rsidR="004E28B9" w:rsidRPr="003A7C98" w:rsidRDefault="004E28B9" w:rsidP="003720B7">
            <w:pPr>
              <w:jc w:val="left"/>
              <w:rPr>
                <w:rFonts w:ascii="Arial" w:hAnsi="Arial" w:cs="Arial"/>
              </w:rPr>
            </w:pPr>
          </w:p>
          <w:p w:rsidR="004E28B9" w:rsidRPr="003A7C98" w:rsidRDefault="004E28B9" w:rsidP="003720B7">
            <w:pPr>
              <w:jc w:val="left"/>
              <w:rPr>
                <w:rFonts w:ascii="Arial" w:hAnsi="Arial" w:cs="Arial"/>
              </w:rPr>
            </w:pPr>
          </w:p>
          <w:p w:rsidR="004E28B9" w:rsidRPr="003A7C98" w:rsidRDefault="004E28B9" w:rsidP="003720B7">
            <w:pPr>
              <w:jc w:val="left"/>
              <w:rPr>
                <w:rFonts w:ascii="Arial" w:hAnsi="Arial" w:cs="Arial"/>
              </w:rPr>
            </w:pPr>
          </w:p>
        </w:tc>
      </w:tr>
    </w:tbl>
    <w:p w:rsidR="004E28B9" w:rsidRPr="003A7C98" w:rsidRDefault="004E28B9" w:rsidP="00C2062E"/>
    <w:p w:rsidR="004E28B9" w:rsidRPr="00BB0EB9" w:rsidRDefault="004E28B9" w:rsidP="003A7C98">
      <w:pPr>
        <w:rPr>
          <w:rFonts w:ascii="Arial" w:hAnsi="Arial" w:cs="Arial"/>
        </w:rPr>
      </w:pPr>
      <w:r w:rsidRPr="00BB0EB9">
        <w:rPr>
          <w:rFonts w:ascii="Arial" w:hAnsi="Arial" w:cs="Arial"/>
        </w:rPr>
        <w:t>Proposal for inclusion in the draft ECC Report:</w:t>
      </w:r>
    </w:p>
    <w:p w:rsidR="004E28B9" w:rsidRDefault="004E28B9" w:rsidP="003A7C98"/>
    <w:p w:rsidR="004E28B9" w:rsidRDefault="004E28B9" w:rsidP="003A7C98"/>
    <w:p w:rsidR="004E28B9" w:rsidRPr="00EC38BB" w:rsidRDefault="004E28B9" w:rsidP="002673AD">
      <w:pPr>
        <w:rPr>
          <w:rFonts w:ascii="Arial" w:hAnsi="Arial" w:cs="Arial"/>
          <w:b/>
          <w:szCs w:val="22"/>
        </w:rPr>
      </w:pPr>
      <w:r w:rsidRPr="00EC38BB">
        <w:rPr>
          <w:rFonts w:ascii="Arial" w:hAnsi="Arial" w:cs="Arial"/>
          <w:b/>
          <w:szCs w:val="22"/>
        </w:rPr>
        <w:t>1. Description of the context of the study</w:t>
      </w:r>
    </w:p>
    <w:p w:rsidR="004E28B9" w:rsidRPr="00EC38BB" w:rsidRDefault="004E28B9" w:rsidP="002673AD">
      <w:pPr>
        <w:rPr>
          <w:rFonts w:ascii="Arial" w:hAnsi="Arial" w:cs="Arial"/>
          <w:szCs w:val="22"/>
        </w:rPr>
      </w:pPr>
    </w:p>
    <w:p w:rsidR="004E28B9" w:rsidRPr="00CA6B0F" w:rsidRDefault="004E28B9" w:rsidP="00EC38BB">
      <w:pPr>
        <w:pStyle w:val="ListParagraph"/>
        <w:numPr>
          <w:ilvl w:val="1"/>
          <w:numId w:val="10"/>
        </w:numPr>
        <w:rPr>
          <w:rFonts w:ascii="Arial" w:hAnsi="Arial" w:cs="Arial"/>
          <w:b/>
          <w:szCs w:val="22"/>
        </w:rPr>
      </w:pPr>
      <w:r w:rsidRPr="00CA6B0F">
        <w:rPr>
          <w:rFonts w:ascii="Arial" w:hAnsi="Arial" w:cs="Arial"/>
          <w:b/>
          <w:szCs w:val="22"/>
        </w:rPr>
        <w:t>Background information on the L band</w:t>
      </w:r>
    </w:p>
    <w:p w:rsidR="004E28B9" w:rsidRPr="00EC38BB" w:rsidRDefault="004E28B9" w:rsidP="00EC38BB">
      <w:pPr>
        <w:pStyle w:val="ListParagraph"/>
        <w:ind w:left="1069"/>
        <w:rPr>
          <w:rFonts w:ascii="Arial" w:hAnsi="Arial" w:cs="Arial"/>
          <w:szCs w:val="22"/>
        </w:rPr>
      </w:pPr>
    </w:p>
    <w:p w:rsidR="004E28B9" w:rsidRPr="00CA6B0F" w:rsidRDefault="004E28B9" w:rsidP="002673AD">
      <w:pPr>
        <w:ind w:left="709"/>
        <w:rPr>
          <w:rFonts w:ascii="Arial" w:hAnsi="Arial" w:cs="Arial"/>
          <w:b/>
          <w:szCs w:val="22"/>
        </w:rPr>
      </w:pPr>
      <w:r w:rsidRPr="00CA6B0F">
        <w:rPr>
          <w:rFonts w:ascii="Arial" w:hAnsi="Arial" w:cs="Arial"/>
          <w:b/>
          <w:szCs w:val="22"/>
        </w:rPr>
        <w:t>1.1.1 Evolution of the regulation up to the current one within CEPT</w:t>
      </w:r>
    </w:p>
    <w:p w:rsidR="004E28B9" w:rsidRPr="00EC38BB" w:rsidRDefault="004E28B9" w:rsidP="003A7C98">
      <w:pPr>
        <w:ind w:left="709"/>
        <w:rPr>
          <w:rFonts w:ascii="Arial" w:hAnsi="Arial" w:cs="Arial"/>
          <w:szCs w:val="22"/>
        </w:rPr>
      </w:pPr>
    </w:p>
    <w:p w:rsidR="004E28B9" w:rsidRPr="009251D6" w:rsidRDefault="004E28B9" w:rsidP="00CA6B0F">
      <w:pPr>
        <w:spacing w:before="80" w:line="276" w:lineRule="auto"/>
        <w:rPr>
          <w:rFonts w:ascii="Arial" w:hAnsi="Arial" w:cs="Arial"/>
          <w:i/>
          <w:szCs w:val="20"/>
        </w:rPr>
      </w:pPr>
      <w:r w:rsidRPr="009251D6">
        <w:rPr>
          <w:rFonts w:ascii="Arial" w:hAnsi="Arial" w:cs="Arial"/>
          <w:szCs w:val="20"/>
        </w:rPr>
        <w:t>The ITU Radio Regulations alloc</w:t>
      </w:r>
      <w:r>
        <w:rPr>
          <w:rFonts w:ascii="Arial" w:hAnsi="Arial" w:cs="Arial"/>
          <w:szCs w:val="20"/>
        </w:rPr>
        <w:t xml:space="preserve">ate the band 1452 – 1492 MHz to the Fixed, </w:t>
      </w:r>
      <w:smartTag w:uri="urn:schemas-microsoft-com:office:smarttags" w:element="country-region">
        <w:r>
          <w:rPr>
            <w:rFonts w:ascii="Arial" w:hAnsi="Arial" w:cs="Arial"/>
            <w:szCs w:val="20"/>
          </w:rPr>
          <w:t>Mobile</w:t>
        </w:r>
      </w:smartTag>
      <w:r>
        <w:rPr>
          <w:rFonts w:ascii="Arial" w:hAnsi="Arial" w:cs="Arial"/>
          <w:szCs w:val="20"/>
        </w:rPr>
        <w:t>, Broadcasting and Broadcasting Satellite S</w:t>
      </w:r>
      <w:r w:rsidRPr="009251D6">
        <w:rPr>
          <w:rFonts w:ascii="Arial" w:hAnsi="Arial" w:cs="Arial"/>
          <w:szCs w:val="20"/>
        </w:rPr>
        <w:t xml:space="preserve">ervice </w:t>
      </w:r>
      <w:r>
        <w:rPr>
          <w:rFonts w:ascii="Arial" w:hAnsi="Arial" w:cs="Arial"/>
          <w:szCs w:val="20"/>
        </w:rPr>
        <w:t>on a co-primary basis in all R</w:t>
      </w:r>
      <w:r w:rsidRPr="009251D6">
        <w:rPr>
          <w:rFonts w:ascii="Arial" w:hAnsi="Arial" w:cs="Arial"/>
          <w:szCs w:val="20"/>
        </w:rPr>
        <w:t>egions with the exception of the mobile aeronautical service in Region 1. Several footnotes apply to the band.</w:t>
      </w:r>
      <w:r>
        <w:rPr>
          <w:rFonts w:ascii="Arial" w:hAnsi="Arial" w:cs="Arial"/>
          <w:szCs w:val="20"/>
        </w:rPr>
        <w:t xml:space="preserve"> </w:t>
      </w:r>
      <w:r w:rsidRPr="009251D6">
        <w:rPr>
          <w:rFonts w:ascii="Arial" w:hAnsi="Arial" w:cs="Arial"/>
          <w:szCs w:val="20"/>
        </w:rPr>
        <w:t>The extract from Article 5 of the R</w:t>
      </w:r>
      <w:r>
        <w:rPr>
          <w:rFonts w:ascii="Arial" w:hAnsi="Arial" w:cs="Arial"/>
          <w:szCs w:val="20"/>
        </w:rPr>
        <w:t>adio Regulations</w:t>
      </w:r>
      <w:r w:rsidRPr="009251D6">
        <w:rPr>
          <w:rFonts w:ascii="Arial" w:hAnsi="Arial" w:cs="Arial"/>
          <w:szCs w:val="20"/>
        </w:rPr>
        <w:t xml:space="preserve"> is given in Annex I.</w:t>
      </w:r>
    </w:p>
    <w:p w:rsidR="004E28B9" w:rsidRPr="009251D6" w:rsidRDefault="004E28B9" w:rsidP="00677BC6">
      <w:pPr>
        <w:spacing w:before="80" w:line="276" w:lineRule="auto"/>
        <w:rPr>
          <w:rFonts w:ascii="Arial" w:hAnsi="Arial" w:cs="Arial"/>
          <w:szCs w:val="20"/>
        </w:rPr>
      </w:pPr>
    </w:p>
    <w:p w:rsidR="004E28B9" w:rsidRPr="00AF74D1" w:rsidRDefault="004E28B9" w:rsidP="00677BC6">
      <w:pPr>
        <w:spacing w:before="80" w:line="276" w:lineRule="auto"/>
        <w:rPr>
          <w:rFonts w:ascii="Arial" w:hAnsi="Arial" w:cs="Arial"/>
          <w:szCs w:val="20"/>
        </w:rPr>
      </w:pPr>
      <w:r w:rsidRPr="009251D6">
        <w:rPr>
          <w:rFonts w:ascii="Arial" w:hAnsi="Arial" w:cs="Arial"/>
          <w:szCs w:val="20"/>
        </w:rPr>
        <w:t xml:space="preserve">The use of the band 1452 - 1492 MHz by the broadcasting satellite service, and by the broadcasting service, is limited to digital audio broadcasting. </w:t>
      </w:r>
      <w:r w:rsidRPr="00AF74D1">
        <w:rPr>
          <w:rFonts w:ascii="Arial" w:hAnsi="Arial" w:cs="Arial"/>
          <w:szCs w:val="20"/>
        </w:rPr>
        <w:t>The band is subject to the provisions of Resolution 528 (WARC-92).</w:t>
      </w:r>
    </w:p>
    <w:p w:rsidR="004E28B9" w:rsidRPr="009251D6" w:rsidRDefault="004E28B9" w:rsidP="00677BC6">
      <w:pPr>
        <w:spacing w:before="80" w:line="276" w:lineRule="auto"/>
        <w:rPr>
          <w:rFonts w:ascii="Arial" w:hAnsi="Arial" w:cs="Arial"/>
          <w:szCs w:val="20"/>
        </w:rPr>
      </w:pPr>
      <w:r>
        <w:rPr>
          <w:rFonts w:ascii="Arial" w:hAnsi="Arial" w:cs="Arial"/>
          <w:szCs w:val="20"/>
        </w:rPr>
        <w:t>In s</w:t>
      </w:r>
      <w:r w:rsidRPr="009251D6">
        <w:rPr>
          <w:rFonts w:ascii="Arial" w:hAnsi="Arial" w:cs="Arial"/>
          <w:szCs w:val="20"/>
        </w:rPr>
        <w:t>ome European countries</w:t>
      </w:r>
      <w:r>
        <w:rPr>
          <w:rFonts w:ascii="Arial" w:hAnsi="Arial" w:cs="Arial"/>
          <w:szCs w:val="20"/>
        </w:rPr>
        <w:t>,</w:t>
      </w:r>
      <w:r w:rsidRPr="009251D6">
        <w:rPr>
          <w:rFonts w:ascii="Arial" w:hAnsi="Arial" w:cs="Arial"/>
          <w:szCs w:val="20"/>
        </w:rPr>
        <w:t xml:space="preserve"> the use of the 1452 - 1492 MHz band is subject to footnote</w:t>
      </w:r>
      <w:r>
        <w:rPr>
          <w:rFonts w:ascii="Arial" w:hAnsi="Arial" w:cs="Arial"/>
          <w:szCs w:val="20"/>
        </w:rPr>
        <w:t xml:space="preserve"> No.</w:t>
      </w:r>
      <w:r w:rsidRPr="009251D6">
        <w:rPr>
          <w:rFonts w:ascii="Arial" w:hAnsi="Arial" w:cs="Arial"/>
          <w:szCs w:val="20"/>
        </w:rPr>
        <w:t> 5.342 related to the use by</w:t>
      </w:r>
      <w:r w:rsidRPr="009251D6">
        <w:rPr>
          <w:rFonts w:ascii="Arial" w:hAnsi="Arial" w:cs="Arial"/>
          <w:color w:val="000000"/>
          <w:lang w:val="en-AU"/>
        </w:rPr>
        <w:t xml:space="preserve"> aeronautical mobile service on a primary basis exclusively for the purposes of aeronautical telemetry within the national territory</w:t>
      </w:r>
      <w:r w:rsidRPr="009251D6">
        <w:rPr>
          <w:rFonts w:ascii="Arial" w:hAnsi="Arial" w:cs="Arial"/>
          <w:szCs w:val="20"/>
        </w:rPr>
        <w:t xml:space="preserve">. </w:t>
      </w:r>
    </w:p>
    <w:p w:rsidR="004E28B9" w:rsidRPr="009251D6" w:rsidRDefault="004E28B9" w:rsidP="00677BC6">
      <w:pPr>
        <w:spacing w:line="276" w:lineRule="auto"/>
        <w:rPr>
          <w:rFonts w:ascii="Arial" w:hAnsi="Arial" w:cs="Arial"/>
          <w:lang w:val="en-US"/>
        </w:rPr>
      </w:pPr>
    </w:p>
    <w:p w:rsidR="004E28B9" w:rsidRDefault="004E28B9" w:rsidP="00677BC6">
      <w:pPr>
        <w:spacing w:line="276" w:lineRule="auto"/>
        <w:rPr>
          <w:rFonts w:ascii="Arial" w:hAnsi="Arial" w:cs="Arial"/>
          <w:szCs w:val="22"/>
        </w:rPr>
      </w:pPr>
      <w:r w:rsidRPr="009251D6">
        <w:rPr>
          <w:rFonts w:ascii="Arial" w:hAnsi="Arial" w:cs="Arial"/>
          <w:lang w:val="en-US"/>
        </w:rPr>
        <w:t xml:space="preserve">In </w:t>
      </w:r>
      <w:r>
        <w:rPr>
          <w:rFonts w:ascii="Arial" w:hAnsi="Arial" w:cs="Arial"/>
          <w:lang w:val="en-US"/>
        </w:rPr>
        <w:t>CEPT,</w:t>
      </w:r>
      <w:r w:rsidRPr="009251D6">
        <w:rPr>
          <w:rFonts w:ascii="Arial" w:hAnsi="Arial" w:cs="Arial"/>
          <w:lang w:val="en-US"/>
        </w:rPr>
        <w:t xml:space="preserve"> </w:t>
      </w:r>
      <w:r w:rsidRPr="009251D6">
        <w:rPr>
          <w:rFonts w:ascii="Arial" w:hAnsi="Arial" w:cs="Arial"/>
          <w:szCs w:val="22"/>
        </w:rPr>
        <w:t xml:space="preserve">the Maastricht Special Arrangement, 2002, as revised in </w:t>
      </w:r>
      <w:smartTag w:uri="urn:schemas-microsoft-com:office:smarttags" w:element="country-region">
        <w:r w:rsidRPr="009251D6">
          <w:rPr>
            <w:rFonts w:ascii="Arial" w:hAnsi="Arial" w:cs="Arial"/>
            <w:szCs w:val="22"/>
          </w:rPr>
          <w:t>Constanţa</w:t>
        </w:r>
      </w:smartTag>
      <w:r w:rsidRPr="009251D6">
        <w:rPr>
          <w:rFonts w:ascii="Arial" w:hAnsi="Arial" w:cs="Arial"/>
          <w:szCs w:val="22"/>
        </w:rPr>
        <w:t xml:space="preserve"> in 2007 </w:t>
      </w:r>
      <w:r w:rsidRPr="009251D6">
        <w:rPr>
          <w:rFonts w:ascii="Arial" w:hAnsi="Arial" w:cs="Arial"/>
          <w:szCs w:val="20"/>
        </w:rPr>
        <w:t xml:space="preserve">MA02revCO07 Special Arrangement provides </w:t>
      </w:r>
      <w:r>
        <w:rPr>
          <w:rFonts w:ascii="Arial" w:hAnsi="Arial" w:cs="Arial"/>
          <w:szCs w:val="20"/>
        </w:rPr>
        <w:t>the</w:t>
      </w:r>
      <w:r w:rsidRPr="009251D6">
        <w:rPr>
          <w:rFonts w:ascii="Arial" w:hAnsi="Arial" w:cs="Arial"/>
          <w:szCs w:val="20"/>
        </w:rPr>
        <w:t xml:space="preserve"> technical and regulatory framework and the associated frequency plan </w:t>
      </w:r>
      <w:r w:rsidRPr="00132FDE">
        <w:rPr>
          <w:rFonts w:ascii="Arial" w:hAnsi="Arial" w:cs="Arial"/>
          <w:szCs w:val="20"/>
        </w:rPr>
        <w:t xml:space="preserve">for the introduction of terrestrial </w:t>
      </w:r>
      <w:r>
        <w:rPr>
          <w:rFonts w:ascii="Arial" w:hAnsi="Arial" w:cs="Arial"/>
          <w:szCs w:val="20"/>
        </w:rPr>
        <w:t>digital audio broadcasting (T-</w:t>
      </w:r>
      <w:r w:rsidRPr="00132FDE">
        <w:rPr>
          <w:rFonts w:ascii="Arial" w:hAnsi="Arial" w:cs="Arial"/>
          <w:szCs w:val="20"/>
        </w:rPr>
        <w:t>DAB</w:t>
      </w:r>
      <w:r>
        <w:rPr>
          <w:rFonts w:ascii="Arial" w:hAnsi="Arial" w:cs="Arial"/>
          <w:szCs w:val="20"/>
        </w:rPr>
        <w:t>)</w:t>
      </w:r>
      <w:r w:rsidRPr="00132FDE">
        <w:rPr>
          <w:rFonts w:ascii="Arial" w:hAnsi="Arial" w:cs="Arial"/>
          <w:szCs w:val="20"/>
        </w:rPr>
        <w:t xml:space="preserve"> services in the frequency band 1452 - 1479.5 MHz. The MA02revCO07agreement</w:t>
      </w:r>
      <w:r>
        <w:rPr>
          <w:rFonts w:ascii="Arial" w:hAnsi="Arial" w:cs="Arial"/>
          <w:szCs w:val="20"/>
        </w:rPr>
        <w:t xml:space="preserve"> as revised in </w:t>
      </w:r>
      <w:smartTag w:uri="urn:schemas-microsoft-com:office:smarttags" w:element="country-region">
        <w:r>
          <w:rPr>
            <w:rFonts w:ascii="Arial" w:hAnsi="Arial" w:cs="Arial"/>
            <w:szCs w:val="20"/>
          </w:rPr>
          <w:t>Constanta</w:t>
        </w:r>
      </w:smartTag>
      <w:r>
        <w:rPr>
          <w:rFonts w:ascii="Arial" w:hAnsi="Arial" w:cs="Arial"/>
          <w:szCs w:val="20"/>
        </w:rPr>
        <w:t xml:space="preserve"> in 2007</w:t>
      </w:r>
      <w:r w:rsidRPr="00132FDE">
        <w:rPr>
          <w:rFonts w:ascii="Arial" w:hAnsi="Arial" w:cs="Arial"/>
          <w:szCs w:val="20"/>
        </w:rPr>
        <w:t xml:space="preserve"> </w:t>
      </w:r>
      <w:r w:rsidRPr="00132FDE">
        <w:rPr>
          <w:rFonts w:ascii="Arial" w:hAnsi="Arial" w:cs="Arial"/>
          <w:szCs w:val="22"/>
        </w:rPr>
        <w:t>provides also flexibility to administrations to deploy terrestrial mobile multimedia in this band at a national basis.</w:t>
      </w:r>
      <w:r>
        <w:rPr>
          <w:rFonts w:ascii="Arial" w:hAnsi="Arial" w:cs="Arial"/>
          <w:szCs w:val="22"/>
        </w:rPr>
        <w:t xml:space="preserve"> </w:t>
      </w:r>
      <w:r w:rsidRPr="00132FDE">
        <w:rPr>
          <w:rFonts w:ascii="Arial" w:hAnsi="Arial" w:cs="Arial"/>
          <w:szCs w:val="20"/>
        </w:rPr>
        <w:t xml:space="preserve">The ECC Decision ECC/DEC/(03)02 designates the frequency band 1479.5 - 1492 MHz for use by satellite DAB systems. </w:t>
      </w:r>
      <w:r w:rsidRPr="00132FDE">
        <w:rPr>
          <w:rFonts w:ascii="Arial" w:hAnsi="Arial" w:cs="Arial"/>
          <w:szCs w:val="22"/>
        </w:rPr>
        <w:t>This Decision shall be reviewed inter alia on the basis of market demand at least ever</w:t>
      </w:r>
      <w:r>
        <w:rPr>
          <w:rFonts w:ascii="Arial" w:hAnsi="Arial" w:cs="Arial"/>
          <w:szCs w:val="22"/>
        </w:rPr>
        <w:t xml:space="preserve">y 10 years according to Decides </w:t>
      </w:r>
      <w:r w:rsidRPr="00132FDE">
        <w:rPr>
          <w:rFonts w:ascii="Arial" w:hAnsi="Arial" w:cs="Arial"/>
          <w:szCs w:val="22"/>
        </w:rPr>
        <w:t>2 of ECC Decision (03)02.</w:t>
      </w:r>
    </w:p>
    <w:p w:rsidR="004E28B9" w:rsidRPr="00132FDE" w:rsidRDefault="004E28B9" w:rsidP="00677BC6">
      <w:pPr>
        <w:spacing w:line="276" w:lineRule="auto"/>
        <w:rPr>
          <w:rFonts w:ascii="Arial" w:hAnsi="Arial" w:cs="Arial"/>
          <w:szCs w:val="22"/>
        </w:rPr>
      </w:pPr>
    </w:p>
    <w:p w:rsidR="004E28B9" w:rsidRDefault="004E28B9" w:rsidP="002673AD">
      <w:pPr>
        <w:ind w:left="709"/>
        <w:rPr>
          <w:rFonts w:ascii="Arial" w:hAnsi="Arial" w:cs="Arial"/>
          <w:szCs w:val="22"/>
        </w:rPr>
      </w:pPr>
    </w:p>
    <w:p w:rsidR="004E28B9" w:rsidRPr="00EC38BB" w:rsidRDefault="004E28B9" w:rsidP="002673AD">
      <w:pPr>
        <w:ind w:left="709"/>
        <w:rPr>
          <w:rFonts w:ascii="Arial" w:hAnsi="Arial" w:cs="Arial"/>
          <w:szCs w:val="22"/>
        </w:rPr>
      </w:pPr>
      <w:r w:rsidRPr="00EC38BB">
        <w:rPr>
          <w:rFonts w:ascii="Arial" w:hAnsi="Arial" w:cs="Arial"/>
          <w:szCs w:val="22"/>
        </w:rPr>
        <w:t xml:space="preserve">1.1.2 </w:t>
      </w:r>
      <w:r>
        <w:rPr>
          <w:rFonts w:ascii="Arial" w:hAnsi="Arial" w:cs="Arial"/>
          <w:szCs w:val="22"/>
        </w:rPr>
        <w:t>Description</w:t>
      </w:r>
      <w:r w:rsidRPr="00EC38BB">
        <w:rPr>
          <w:rFonts w:ascii="Arial" w:hAnsi="Arial" w:cs="Arial"/>
          <w:szCs w:val="22"/>
        </w:rPr>
        <w:t xml:space="preserve"> of the current use within CEPT</w:t>
      </w:r>
    </w:p>
    <w:p w:rsidR="004E28B9" w:rsidRPr="00EC38BB" w:rsidRDefault="004E28B9" w:rsidP="002673AD">
      <w:pPr>
        <w:ind w:left="709"/>
        <w:rPr>
          <w:rFonts w:ascii="Arial" w:hAnsi="Arial" w:cs="Arial"/>
          <w:szCs w:val="22"/>
        </w:rPr>
      </w:pPr>
    </w:p>
    <w:p w:rsidR="004E28B9" w:rsidRPr="00EC38BB" w:rsidRDefault="004E28B9" w:rsidP="00677BC6">
      <w:pPr>
        <w:spacing w:line="276" w:lineRule="auto"/>
        <w:rPr>
          <w:rFonts w:ascii="Arial" w:hAnsi="Arial" w:cs="Arial"/>
          <w:szCs w:val="22"/>
        </w:rPr>
      </w:pPr>
      <w:r>
        <w:rPr>
          <w:rFonts w:ascii="Arial" w:hAnsi="Arial" w:cs="Arial"/>
          <w:szCs w:val="22"/>
        </w:rPr>
        <w:t>In most European countries, t</w:t>
      </w:r>
      <w:r w:rsidRPr="00EC38BB">
        <w:rPr>
          <w:rFonts w:ascii="Arial" w:hAnsi="Arial" w:cs="Arial"/>
          <w:szCs w:val="22"/>
        </w:rPr>
        <w:t xml:space="preserve">he </w:t>
      </w:r>
      <w:r>
        <w:rPr>
          <w:rFonts w:ascii="Arial" w:hAnsi="Arial" w:cs="Arial"/>
          <w:szCs w:val="22"/>
        </w:rPr>
        <w:t xml:space="preserve">1452-1492 MHz </w:t>
      </w:r>
      <w:r w:rsidRPr="00EC38BB">
        <w:rPr>
          <w:rFonts w:ascii="Arial" w:hAnsi="Arial" w:cs="Arial"/>
          <w:szCs w:val="22"/>
        </w:rPr>
        <w:t xml:space="preserve">band is currently </w:t>
      </w:r>
      <w:r>
        <w:rPr>
          <w:rFonts w:ascii="Arial" w:hAnsi="Arial" w:cs="Arial"/>
          <w:szCs w:val="22"/>
        </w:rPr>
        <w:t>identified</w:t>
      </w:r>
      <w:r w:rsidRPr="00EC38BB">
        <w:rPr>
          <w:rFonts w:ascii="Arial" w:hAnsi="Arial" w:cs="Arial"/>
          <w:szCs w:val="22"/>
        </w:rPr>
        <w:t xml:space="preserve"> for </w:t>
      </w:r>
      <w:r>
        <w:rPr>
          <w:rFonts w:ascii="Arial" w:hAnsi="Arial" w:cs="Arial"/>
          <w:szCs w:val="22"/>
        </w:rPr>
        <w:t xml:space="preserve">the </w:t>
      </w:r>
      <w:r w:rsidRPr="00EC38BB">
        <w:rPr>
          <w:rFonts w:ascii="Arial" w:hAnsi="Arial" w:cs="Arial"/>
          <w:szCs w:val="22"/>
        </w:rPr>
        <w:t xml:space="preserve">use by </w:t>
      </w:r>
      <w:r>
        <w:rPr>
          <w:rFonts w:ascii="Arial" w:hAnsi="Arial" w:cs="Arial"/>
          <w:szCs w:val="22"/>
        </w:rPr>
        <w:t xml:space="preserve">terrestrial and satellite </w:t>
      </w:r>
      <w:r w:rsidRPr="00EC38BB">
        <w:rPr>
          <w:rFonts w:ascii="Arial" w:hAnsi="Arial" w:cs="Arial"/>
          <w:szCs w:val="22"/>
        </w:rPr>
        <w:t>digital audio broadcasting (</w:t>
      </w:r>
      <w:r>
        <w:rPr>
          <w:rFonts w:ascii="Arial" w:hAnsi="Arial" w:cs="Arial"/>
          <w:szCs w:val="22"/>
        </w:rPr>
        <w:t>T-</w:t>
      </w:r>
      <w:r w:rsidRPr="00EC38BB">
        <w:rPr>
          <w:rFonts w:ascii="Arial" w:hAnsi="Arial" w:cs="Arial"/>
          <w:szCs w:val="22"/>
        </w:rPr>
        <w:t>DAB</w:t>
      </w:r>
      <w:r>
        <w:rPr>
          <w:rFonts w:ascii="Arial" w:hAnsi="Arial" w:cs="Arial"/>
          <w:szCs w:val="22"/>
        </w:rPr>
        <w:t xml:space="preserve"> and S-DAB</w:t>
      </w:r>
      <w:r w:rsidRPr="00EC38BB">
        <w:rPr>
          <w:rFonts w:ascii="Arial" w:hAnsi="Arial" w:cs="Arial"/>
          <w:szCs w:val="22"/>
        </w:rPr>
        <w:t xml:space="preserve">) </w:t>
      </w:r>
      <w:r>
        <w:rPr>
          <w:rFonts w:ascii="Arial" w:hAnsi="Arial" w:cs="Arial"/>
          <w:szCs w:val="22"/>
        </w:rPr>
        <w:t>applications</w:t>
      </w:r>
      <w:r w:rsidRPr="00EC38BB">
        <w:rPr>
          <w:rFonts w:ascii="Arial" w:hAnsi="Arial" w:cs="Arial"/>
          <w:szCs w:val="22"/>
        </w:rPr>
        <w:t xml:space="preserve">. None of these have </w:t>
      </w:r>
      <w:r>
        <w:rPr>
          <w:rFonts w:ascii="Arial" w:hAnsi="Arial" w:cs="Arial"/>
          <w:szCs w:val="22"/>
        </w:rPr>
        <w:t>actually grown</w:t>
      </w:r>
      <w:r w:rsidRPr="00EC38BB">
        <w:rPr>
          <w:rFonts w:ascii="Arial" w:hAnsi="Arial" w:cs="Arial"/>
          <w:szCs w:val="22"/>
        </w:rPr>
        <w:t xml:space="preserve"> in the band</w:t>
      </w:r>
      <w:r>
        <w:rPr>
          <w:rFonts w:ascii="Arial" w:hAnsi="Arial" w:cs="Arial"/>
          <w:szCs w:val="22"/>
        </w:rPr>
        <w:t xml:space="preserve"> as it has been shown by the Radio Spectrum Policy Group survey and Report on the future of digital audio broadcasting</w:t>
      </w:r>
      <w:r w:rsidRPr="00EC38BB">
        <w:rPr>
          <w:rStyle w:val="FootnoteReference"/>
          <w:rFonts w:ascii="Arial" w:hAnsi="Arial" w:cs="Arial"/>
          <w:szCs w:val="22"/>
        </w:rPr>
        <w:footnoteReference w:id="1"/>
      </w:r>
      <w:r w:rsidRPr="00EC38BB">
        <w:rPr>
          <w:rFonts w:ascii="Arial" w:hAnsi="Arial" w:cs="Arial"/>
          <w:szCs w:val="22"/>
        </w:rPr>
        <w:t>.</w:t>
      </w:r>
    </w:p>
    <w:p w:rsidR="004E28B9" w:rsidRPr="00EC38BB" w:rsidRDefault="004E28B9" w:rsidP="00677BC6">
      <w:pPr>
        <w:spacing w:line="276" w:lineRule="auto"/>
        <w:ind w:left="709"/>
        <w:rPr>
          <w:rFonts w:ascii="Arial" w:hAnsi="Arial" w:cs="Arial"/>
          <w:szCs w:val="22"/>
        </w:rPr>
      </w:pPr>
    </w:p>
    <w:p w:rsidR="004E28B9" w:rsidRPr="00EC38BB" w:rsidRDefault="004E28B9" w:rsidP="00677BC6">
      <w:pPr>
        <w:spacing w:line="276" w:lineRule="auto"/>
        <w:rPr>
          <w:rFonts w:ascii="Arial" w:hAnsi="Arial" w:cs="Arial"/>
          <w:szCs w:val="22"/>
        </w:rPr>
      </w:pPr>
      <w:r>
        <w:rPr>
          <w:rFonts w:ascii="Arial" w:hAnsi="Arial" w:cs="Arial"/>
          <w:szCs w:val="22"/>
        </w:rPr>
        <w:t>There</w:t>
      </w:r>
      <w:r w:rsidRPr="00EC38BB">
        <w:rPr>
          <w:rFonts w:ascii="Arial" w:hAnsi="Arial" w:cs="Arial"/>
          <w:szCs w:val="22"/>
        </w:rPr>
        <w:t xml:space="preserve"> are some </w:t>
      </w:r>
      <w:r>
        <w:rPr>
          <w:rFonts w:ascii="Arial" w:hAnsi="Arial" w:cs="Arial"/>
          <w:szCs w:val="22"/>
        </w:rPr>
        <w:t>other</w:t>
      </w:r>
      <w:r w:rsidRPr="00EC38BB">
        <w:rPr>
          <w:rFonts w:ascii="Arial" w:hAnsi="Arial" w:cs="Arial"/>
          <w:szCs w:val="22"/>
        </w:rPr>
        <w:t xml:space="preserve"> systems in operation in few countries. In nine countries, the band is currently used by applications opera</w:t>
      </w:r>
      <w:r>
        <w:rPr>
          <w:rFonts w:ascii="Arial" w:hAnsi="Arial" w:cs="Arial"/>
          <w:szCs w:val="22"/>
        </w:rPr>
        <w:t>ted in services different from audio</w:t>
      </w:r>
      <w:r w:rsidRPr="00EC38BB">
        <w:rPr>
          <w:rFonts w:ascii="Arial" w:hAnsi="Arial" w:cs="Arial"/>
          <w:szCs w:val="22"/>
        </w:rPr>
        <w:t xml:space="preserve"> broadcasting: Fixed Service (6</w:t>
      </w:r>
      <w:r>
        <w:rPr>
          <w:rFonts w:ascii="Arial" w:hAnsi="Arial" w:cs="Arial"/>
          <w:szCs w:val="22"/>
        </w:rPr>
        <w:t xml:space="preserve"> countries</w:t>
      </w:r>
      <w:r w:rsidRPr="00EC38BB">
        <w:rPr>
          <w:rFonts w:ascii="Arial" w:hAnsi="Arial" w:cs="Arial"/>
          <w:szCs w:val="22"/>
        </w:rPr>
        <w:t>), Mobile Service (3</w:t>
      </w:r>
      <w:r w:rsidRPr="004B0309">
        <w:rPr>
          <w:rFonts w:ascii="Arial" w:hAnsi="Arial" w:cs="Arial"/>
          <w:szCs w:val="22"/>
        </w:rPr>
        <w:t xml:space="preserve"> </w:t>
      </w:r>
      <w:r>
        <w:rPr>
          <w:rFonts w:ascii="Arial" w:hAnsi="Arial" w:cs="Arial"/>
          <w:szCs w:val="22"/>
        </w:rPr>
        <w:t>countries</w:t>
      </w:r>
      <w:r w:rsidRPr="00EC38BB">
        <w:rPr>
          <w:rFonts w:ascii="Arial" w:hAnsi="Arial" w:cs="Arial"/>
          <w:szCs w:val="22"/>
        </w:rPr>
        <w:t>), Ground and Wall probing Radar (1</w:t>
      </w:r>
      <w:r w:rsidRPr="004B0309">
        <w:rPr>
          <w:rFonts w:ascii="Arial" w:hAnsi="Arial" w:cs="Arial"/>
          <w:szCs w:val="22"/>
        </w:rPr>
        <w:t xml:space="preserve"> </w:t>
      </w:r>
      <w:r>
        <w:rPr>
          <w:rFonts w:ascii="Arial" w:hAnsi="Arial" w:cs="Arial"/>
          <w:szCs w:val="22"/>
        </w:rPr>
        <w:t>country</w:t>
      </w:r>
      <w:r w:rsidRPr="00EC38BB">
        <w:rPr>
          <w:rFonts w:ascii="Arial" w:hAnsi="Arial" w:cs="Arial"/>
          <w:szCs w:val="22"/>
        </w:rPr>
        <w:t>), Radio Astronomy (1</w:t>
      </w:r>
      <w:r w:rsidRPr="004B0309">
        <w:rPr>
          <w:rFonts w:ascii="Arial" w:hAnsi="Arial" w:cs="Arial"/>
          <w:szCs w:val="22"/>
        </w:rPr>
        <w:t xml:space="preserve"> </w:t>
      </w:r>
      <w:r>
        <w:rPr>
          <w:rFonts w:ascii="Arial" w:hAnsi="Arial" w:cs="Arial"/>
          <w:szCs w:val="22"/>
        </w:rPr>
        <w:t>country</w:t>
      </w:r>
      <w:r w:rsidRPr="00EC38BB">
        <w:rPr>
          <w:rFonts w:ascii="Arial" w:hAnsi="Arial" w:cs="Arial"/>
          <w:szCs w:val="22"/>
        </w:rPr>
        <w:t>), Aeronautical Mobile Service (aeronautical telemetry) (1</w:t>
      </w:r>
      <w:r w:rsidRPr="004B0309">
        <w:rPr>
          <w:rFonts w:ascii="Arial" w:hAnsi="Arial" w:cs="Arial"/>
          <w:szCs w:val="22"/>
        </w:rPr>
        <w:t xml:space="preserve"> </w:t>
      </w:r>
      <w:r>
        <w:rPr>
          <w:rFonts w:ascii="Arial" w:hAnsi="Arial" w:cs="Arial"/>
          <w:szCs w:val="22"/>
        </w:rPr>
        <w:t>country</w:t>
      </w:r>
      <w:r w:rsidRPr="00EC38BB">
        <w:rPr>
          <w:rFonts w:ascii="Arial" w:hAnsi="Arial" w:cs="Arial"/>
          <w:szCs w:val="22"/>
        </w:rPr>
        <w:t xml:space="preserve">). These uses are generally limited to </w:t>
      </w:r>
      <w:r>
        <w:rPr>
          <w:rFonts w:ascii="Arial" w:hAnsi="Arial" w:cs="Arial"/>
          <w:szCs w:val="22"/>
        </w:rPr>
        <w:t>sub-parts only</w:t>
      </w:r>
      <w:r w:rsidRPr="00EC38BB">
        <w:rPr>
          <w:rFonts w:ascii="Arial" w:hAnsi="Arial" w:cs="Arial"/>
          <w:szCs w:val="22"/>
        </w:rPr>
        <w:t xml:space="preserve"> of the 1452-1492 MHz band.</w:t>
      </w:r>
      <w:r>
        <w:rPr>
          <w:rFonts w:ascii="Arial" w:hAnsi="Arial" w:cs="Arial"/>
          <w:szCs w:val="22"/>
        </w:rPr>
        <w:t xml:space="preserve"> </w:t>
      </w:r>
      <w:r w:rsidRPr="00EC38BB">
        <w:rPr>
          <w:rFonts w:ascii="Arial" w:hAnsi="Arial" w:cs="Arial"/>
          <w:szCs w:val="22"/>
        </w:rPr>
        <w:t>Some of t</w:t>
      </w:r>
      <w:r>
        <w:rPr>
          <w:rFonts w:ascii="Arial" w:hAnsi="Arial" w:cs="Arial"/>
          <w:szCs w:val="22"/>
        </w:rPr>
        <w:t xml:space="preserve">he </w:t>
      </w:r>
      <w:r w:rsidRPr="00EC38BB">
        <w:rPr>
          <w:rFonts w:ascii="Arial" w:hAnsi="Arial" w:cs="Arial"/>
          <w:szCs w:val="22"/>
        </w:rPr>
        <w:t xml:space="preserve">countries indicated in their </w:t>
      </w:r>
      <w:r>
        <w:rPr>
          <w:rFonts w:ascii="Arial" w:hAnsi="Arial" w:cs="Arial"/>
          <w:szCs w:val="22"/>
        </w:rPr>
        <w:t>response to the ECC survey</w:t>
      </w:r>
      <w:r>
        <w:rPr>
          <w:rStyle w:val="FootnoteReference"/>
          <w:rFonts w:ascii="Arial" w:hAnsi="Arial"/>
          <w:szCs w:val="22"/>
        </w:rPr>
        <w:footnoteReference w:id="2"/>
      </w:r>
      <w:r>
        <w:rPr>
          <w:rFonts w:ascii="Arial" w:hAnsi="Arial" w:cs="Arial"/>
          <w:szCs w:val="22"/>
        </w:rPr>
        <w:t xml:space="preserve"> carried out in the late 2010 – early 2011 on the future use of the 1452-1492 MHz band</w:t>
      </w:r>
      <w:r w:rsidRPr="00EC38BB">
        <w:rPr>
          <w:rFonts w:ascii="Arial" w:hAnsi="Arial" w:cs="Arial"/>
          <w:szCs w:val="22"/>
        </w:rPr>
        <w:t xml:space="preserve"> that </w:t>
      </w:r>
      <w:r>
        <w:rPr>
          <w:rFonts w:ascii="Arial" w:hAnsi="Arial" w:cs="Arial"/>
          <w:szCs w:val="22"/>
        </w:rPr>
        <w:t>those</w:t>
      </w:r>
      <w:r w:rsidRPr="00EC38BB">
        <w:rPr>
          <w:rFonts w:ascii="Arial" w:hAnsi="Arial" w:cs="Arial"/>
          <w:szCs w:val="22"/>
        </w:rPr>
        <w:t xml:space="preserve"> mentioned different uses will continue until an already fixed date (1</w:t>
      </w:r>
      <w:r w:rsidRPr="004B0309">
        <w:rPr>
          <w:rFonts w:ascii="Arial" w:hAnsi="Arial" w:cs="Arial"/>
          <w:szCs w:val="22"/>
        </w:rPr>
        <w:t xml:space="preserve"> </w:t>
      </w:r>
      <w:r>
        <w:rPr>
          <w:rFonts w:ascii="Arial" w:hAnsi="Arial" w:cs="Arial"/>
          <w:szCs w:val="22"/>
        </w:rPr>
        <w:t>country</w:t>
      </w:r>
      <w:r w:rsidRPr="00EC38BB">
        <w:rPr>
          <w:rFonts w:ascii="Arial" w:hAnsi="Arial" w:cs="Arial"/>
          <w:szCs w:val="22"/>
        </w:rPr>
        <w:t>) or once digital radio will be implemented (2</w:t>
      </w:r>
      <w:r w:rsidRPr="004B0309">
        <w:rPr>
          <w:rFonts w:ascii="Arial" w:hAnsi="Arial" w:cs="Arial"/>
          <w:szCs w:val="22"/>
        </w:rPr>
        <w:t xml:space="preserve"> </w:t>
      </w:r>
      <w:r>
        <w:rPr>
          <w:rFonts w:ascii="Arial" w:hAnsi="Arial" w:cs="Arial"/>
          <w:szCs w:val="22"/>
        </w:rPr>
        <w:t>countries</w:t>
      </w:r>
      <w:r w:rsidRPr="00EC38BB">
        <w:rPr>
          <w:rFonts w:ascii="Arial" w:hAnsi="Arial" w:cs="Arial"/>
          <w:szCs w:val="22"/>
        </w:rPr>
        <w:t>) or until the band is used by multimedia services (1</w:t>
      </w:r>
      <w:r w:rsidRPr="004B0309">
        <w:rPr>
          <w:rFonts w:ascii="Arial" w:hAnsi="Arial" w:cs="Arial"/>
          <w:szCs w:val="22"/>
        </w:rPr>
        <w:t xml:space="preserve"> </w:t>
      </w:r>
      <w:r>
        <w:rPr>
          <w:rFonts w:ascii="Arial" w:hAnsi="Arial" w:cs="Arial"/>
          <w:szCs w:val="22"/>
        </w:rPr>
        <w:t>country</w:t>
      </w:r>
      <w:r w:rsidRPr="00EC38BB">
        <w:rPr>
          <w:rFonts w:ascii="Arial" w:hAnsi="Arial" w:cs="Arial"/>
          <w:szCs w:val="22"/>
        </w:rPr>
        <w:t>).</w:t>
      </w:r>
    </w:p>
    <w:p w:rsidR="004E28B9" w:rsidRPr="00EC38BB" w:rsidRDefault="004E28B9" w:rsidP="002673AD">
      <w:pPr>
        <w:ind w:left="709"/>
        <w:rPr>
          <w:rFonts w:ascii="Arial" w:hAnsi="Arial" w:cs="Arial"/>
          <w:szCs w:val="22"/>
        </w:rPr>
      </w:pPr>
    </w:p>
    <w:p w:rsidR="004E28B9" w:rsidRPr="00EC38BB" w:rsidRDefault="004E28B9" w:rsidP="002673AD">
      <w:pPr>
        <w:ind w:left="709"/>
        <w:rPr>
          <w:rFonts w:ascii="Arial" w:hAnsi="Arial" w:cs="Arial"/>
          <w:szCs w:val="22"/>
        </w:rPr>
      </w:pPr>
      <w:r w:rsidRPr="00EC38BB">
        <w:rPr>
          <w:rFonts w:ascii="Arial" w:hAnsi="Arial" w:cs="Arial"/>
          <w:szCs w:val="22"/>
        </w:rPr>
        <w:t>1.1.3 Current regulation and use outside CEPT</w:t>
      </w:r>
    </w:p>
    <w:p w:rsidR="004E28B9" w:rsidRPr="00EC38BB" w:rsidRDefault="004E28B9" w:rsidP="002673AD">
      <w:pPr>
        <w:ind w:left="709"/>
        <w:rPr>
          <w:rFonts w:ascii="Arial" w:hAnsi="Arial" w:cs="Arial"/>
          <w:szCs w:val="22"/>
        </w:rPr>
      </w:pPr>
    </w:p>
    <w:p w:rsidR="004E28B9" w:rsidRDefault="004E28B9" w:rsidP="00677BC6">
      <w:pPr>
        <w:spacing w:line="276" w:lineRule="auto"/>
        <w:rPr>
          <w:rFonts w:ascii="Arial" w:hAnsi="Arial" w:cs="Arial"/>
          <w:szCs w:val="22"/>
        </w:rPr>
      </w:pPr>
      <w:r>
        <w:rPr>
          <w:rFonts w:ascii="Arial" w:hAnsi="Arial" w:cs="Arial"/>
          <w:szCs w:val="22"/>
        </w:rPr>
        <w:t xml:space="preserve">Many countries globally have aligned their plans on </w:t>
      </w:r>
      <w:smartTag w:uri="urn:schemas-microsoft-com:office:smarttags" w:element="country-region">
        <w:r>
          <w:rPr>
            <w:rFonts w:ascii="Arial" w:hAnsi="Arial" w:cs="Arial"/>
            <w:szCs w:val="22"/>
          </w:rPr>
          <w:t>Europe</w:t>
        </w:r>
      </w:smartTag>
      <w:r>
        <w:rPr>
          <w:rFonts w:ascii="Arial" w:hAnsi="Arial" w:cs="Arial"/>
          <w:szCs w:val="22"/>
        </w:rPr>
        <w:t xml:space="preserve"> by allocating the L-band</w:t>
      </w:r>
      <w:r w:rsidRPr="00EC38BB">
        <w:rPr>
          <w:rFonts w:ascii="Arial" w:hAnsi="Arial" w:cs="Arial"/>
          <w:szCs w:val="22"/>
        </w:rPr>
        <w:t xml:space="preserve"> to </w:t>
      </w:r>
      <w:r>
        <w:rPr>
          <w:rFonts w:ascii="Arial" w:hAnsi="Arial" w:cs="Arial"/>
          <w:szCs w:val="22"/>
        </w:rPr>
        <w:t>DAB</w:t>
      </w:r>
      <w:r w:rsidRPr="00EC38BB">
        <w:rPr>
          <w:rFonts w:ascii="Arial" w:hAnsi="Arial" w:cs="Arial"/>
          <w:szCs w:val="22"/>
        </w:rPr>
        <w:t xml:space="preserve"> </w:t>
      </w:r>
      <w:r>
        <w:rPr>
          <w:rFonts w:ascii="Arial" w:hAnsi="Arial" w:cs="Arial"/>
          <w:szCs w:val="22"/>
        </w:rPr>
        <w:t>services. As</w:t>
      </w:r>
      <w:r w:rsidRPr="00EC38BB">
        <w:rPr>
          <w:rFonts w:ascii="Arial" w:hAnsi="Arial" w:cs="Arial"/>
          <w:szCs w:val="22"/>
        </w:rPr>
        <w:t xml:space="preserve"> in </w:t>
      </w:r>
      <w:smartTag w:uri="urn:schemas-microsoft-com:office:smarttags" w:element="country-region">
        <w:r w:rsidRPr="00EC38BB">
          <w:rPr>
            <w:rFonts w:ascii="Arial" w:hAnsi="Arial" w:cs="Arial"/>
            <w:szCs w:val="22"/>
          </w:rPr>
          <w:t>Europe</w:t>
        </w:r>
      </w:smartTag>
      <w:r w:rsidRPr="00EC38BB">
        <w:rPr>
          <w:rFonts w:ascii="Arial" w:hAnsi="Arial" w:cs="Arial"/>
          <w:szCs w:val="22"/>
        </w:rPr>
        <w:t xml:space="preserve">, </w:t>
      </w:r>
      <w:r>
        <w:rPr>
          <w:rFonts w:ascii="Arial" w:hAnsi="Arial" w:cs="Arial"/>
          <w:szCs w:val="22"/>
        </w:rPr>
        <w:t>there are currently no commercial terrestrial or satellite DAB services and the band remains largely unused. A number of countries have therefore been investigating the future use of the L-band. As examples:</w:t>
      </w:r>
    </w:p>
    <w:p w:rsidR="004E28B9" w:rsidRDefault="004E28B9" w:rsidP="00677BC6">
      <w:pPr>
        <w:spacing w:line="276" w:lineRule="auto"/>
        <w:rPr>
          <w:rFonts w:ascii="Arial" w:hAnsi="Arial" w:cs="Arial"/>
          <w:szCs w:val="22"/>
        </w:rPr>
      </w:pPr>
    </w:p>
    <w:p w:rsidR="004E28B9" w:rsidRDefault="004E28B9" w:rsidP="007606FF">
      <w:pPr>
        <w:pStyle w:val="NormalWeb"/>
        <w:numPr>
          <w:ilvl w:val="0"/>
          <w:numId w:val="9"/>
        </w:numPr>
        <w:spacing w:line="276" w:lineRule="auto"/>
        <w:jc w:val="both"/>
        <w:rPr>
          <w:rFonts w:ascii="Arial" w:hAnsi="Arial" w:cs="Arial"/>
          <w:sz w:val="22"/>
          <w:szCs w:val="22"/>
        </w:rPr>
      </w:pPr>
      <w:r w:rsidRPr="00F829B8">
        <w:rPr>
          <w:rFonts w:ascii="Arial" w:hAnsi="Arial" w:cs="Arial"/>
          <w:sz w:val="22"/>
          <w:szCs w:val="22"/>
        </w:rPr>
        <w:t>In Canada, Industry Canada’s ‘</w:t>
      </w:r>
      <w:r w:rsidRPr="00F829B8">
        <w:rPr>
          <w:rFonts w:ascii="Arial" w:hAnsi="Arial" w:cs="Arial"/>
          <w:i/>
          <w:sz w:val="22"/>
          <w:szCs w:val="22"/>
        </w:rPr>
        <w:t>Consultation on the Spectrum Allocations and Spectrum Utilization Policies for the Frequency Range 1435-1525 MHz (L-Band)</w:t>
      </w:r>
      <w:r w:rsidRPr="00F829B8">
        <w:rPr>
          <w:rFonts w:ascii="Arial" w:hAnsi="Arial" w:cs="Arial"/>
          <w:sz w:val="22"/>
          <w:szCs w:val="22"/>
        </w:rPr>
        <w:t>’ (</w:t>
      </w:r>
      <w:hyperlink r:id="rId8" w:history="1">
        <w:r w:rsidRPr="00F829B8">
          <w:rPr>
            <w:rStyle w:val="Hyperlink"/>
            <w:rFonts w:ascii="Arial" w:hAnsi="Arial" w:cs="Arial"/>
            <w:sz w:val="22"/>
            <w:szCs w:val="22"/>
          </w:rPr>
          <w:t>http://www.ic.gc.ca/eic/site/smt-gst.nsf/eng/sf09751.html</w:t>
        </w:r>
      </w:hyperlink>
      <w:r w:rsidRPr="00F829B8">
        <w:rPr>
          <w:rFonts w:ascii="Arial" w:hAnsi="Arial" w:cs="Arial"/>
          <w:sz w:val="22"/>
          <w:szCs w:val="22"/>
        </w:rPr>
        <w:t xml:space="preserve">) considered that “with the convergence of fixed, broadcasting and mobile services over digital wireless platforms, a regulatory approach promoting flexible use of spectrum is increasingly important […].  Several countries that initially considered the band </w:t>
      </w:r>
      <w:r w:rsidRPr="00F829B8">
        <w:rPr>
          <w:rStyle w:val="nowrap"/>
          <w:rFonts w:ascii="Arial" w:hAnsi="Arial" w:cs="Arial"/>
          <w:sz w:val="22"/>
          <w:szCs w:val="22"/>
        </w:rPr>
        <w:t>1452-1492 </w:t>
      </w:r>
      <w:r w:rsidRPr="00F829B8">
        <w:rPr>
          <w:rStyle w:val="HTMLAcronym"/>
          <w:rFonts w:ascii="Arial" w:hAnsi="Arial" w:cs="Arial"/>
          <w:sz w:val="22"/>
          <w:szCs w:val="22"/>
        </w:rPr>
        <w:t>MHz</w:t>
      </w:r>
      <w:r w:rsidRPr="00F829B8">
        <w:rPr>
          <w:rFonts w:ascii="Arial" w:hAnsi="Arial" w:cs="Arial"/>
          <w:sz w:val="22"/>
          <w:szCs w:val="22"/>
        </w:rPr>
        <w:t xml:space="preserve"> for DAB services have recently begun to </w:t>
      </w:r>
      <w:r w:rsidRPr="00F829B8">
        <w:rPr>
          <w:rStyle w:val="nowrap"/>
          <w:rFonts w:ascii="Arial" w:hAnsi="Arial" w:cs="Arial"/>
          <w:sz w:val="22"/>
          <w:szCs w:val="22"/>
        </w:rPr>
        <w:t>re-farm</w:t>
      </w:r>
      <w:r w:rsidRPr="00F829B8">
        <w:rPr>
          <w:rFonts w:ascii="Arial" w:hAnsi="Arial" w:cs="Arial"/>
          <w:sz w:val="22"/>
          <w:szCs w:val="22"/>
        </w:rPr>
        <w:t xml:space="preserve"> the spectrum for a range of broadcasting and multimedia applications within the international regulations and allocations […]. The prospect of a wide range of services in the band 1452-1492 MHz being allowed by industrialized countries in Europe and elsewhere further underlines the risk for </w:t>
      </w:r>
      <w:smartTag w:uri="urn:schemas-microsoft-com:office:smarttags" w:element="country-region">
        <w:r w:rsidRPr="00F829B8">
          <w:rPr>
            <w:rFonts w:ascii="Arial" w:hAnsi="Arial" w:cs="Arial"/>
            <w:sz w:val="22"/>
            <w:szCs w:val="22"/>
          </w:rPr>
          <w:t>Canada</w:t>
        </w:r>
      </w:smartTag>
      <w:r w:rsidRPr="00F829B8">
        <w:rPr>
          <w:rFonts w:ascii="Arial" w:hAnsi="Arial" w:cs="Arial"/>
          <w:sz w:val="22"/>
          <w:szCs w:val="22"/>
        </w:rPr>
        <w:t xml:space="preserve"> of pursuing only the conventional DAB service in this band. </w:t>
      </w:r>
      <w:r w:rsidRPr="003630F5">
        <w:rPr>
          <w:rFonts w:ascii="Arial" w:hAnsi="Arial" w:cs="Arial"/>
          <w:sz w:val="22"/>
          <w:szCs w:val="22"/>
        </w:rPr>
        <w:t xml:space="preserve">Consequently, the current allotment plan developed for the DAB implementation may not be appropriate given the new technologies that could be deployed in this band. Broadband wireless technologies, which support multimedia applications, are developed based on a </w:t>
      </w:r>
      <w:r w:rsidRPr="00F829B8">
        <w:rPr>
          <w:rFonts w:ascii="Arial" w:hAnsi="Arial" w:cs="Arial"/>
          <w:sz w:val="22"/>
          <w:szCs w:val="22"/>
        </w:rPr>
        <w:t>5 MHz channel width”. The department proposed to “adopt a spectrum utilization policy allowing for flexible use of the spectrum to support a variety of services and technologies for subscription broadcasting, multimedia, fixed and mobile broadband applications.” […]</w:t>
      </w:r>
      <w:r>
        <w:t xml:space="preserve"> </w:t>
      </w:r>
      <w:r w:rsidRPr="00F829B8">
        <w:rPr>
          <w:rFonts w:ascii="Arial" w:hAnsi="Arial" w:cs="Arial"/>
          <w:sz w:val="22"/>
          <w:szCs w:val="22"/>
        </w:rPr>
        <w:t xml:space="preserve">to streamline the Canadian frequency allocations in the band </w:t>
      </w:r>
      <w:r w:rsidRPr="00F829B8">
        <w:rPr>
          <w:rStyle w:val="nowrap"/>
          <w:rFonts w:ascii="Arial" w:hAnsi="Arial" w:cs="Arial"/>
          <w:sz w:val="22"/>
          <w:szCs w:val="22"/>
        </w:rPr>
        <w:t>1452-1492 </w:t>
      </w:r>
      <w:r w:rsidRPr="00F829B8">
        <w:rPr>
          <w:rStyle w:val="HTMLAcronym"/>
          <w:rFonts w:ascii="Arial" w:hAnsi="Arial" w:cs="Arial"/>
          <w:sz w:val="22"/>
          <w:szCs w:val="22"/>
        </w:rPr>
        <w:t>MHz</w:t>
      </w:r>
      <w:r w:rsidRPr="00F829B8">
        <w:rPr>
          <w:rFonts w:ascii="Arial" w:hAnsi="Arial" w:cs="Arial"/>
          <w:sz w:val="22"/>
          <w:szCs w:val="22"/>
        </w:rPr>
        <w:t xml:space="preserve"> and to give full flexibility and priority to terrestrial services</w:t>
      </w:r>
      <w:r>
        <w:rPr>
          <w:rFonts w:ascii="Arial" w:hAnsi="Arial" w:cs="Arial"/>
          <w:sz w:val="22"/>
          <w:szCs w:val="22"/>
        </w:rPr>
        <w:t xml:space="preserve"> </w:t>
      </w:r>
      <w:r w:rsidRPr="00F829B8">
        <w:rPr>
          <w:rFonts w:ascii="Arial" w:hAnsi="Arial" w:cs="Arial"/>
          <w:sz w:val="22"/>
          <w:szCs w:val="22"/>
        </w:rPr>
        <w:t>[</w:t>
      </w:r>
      <w:r>
        <w:rPr>
          <w:rFonts w:ascii="Arial" w:hAnsi="Arial" w:cs="Arial"/>
          <w:sz w:val="22"/>
          <w:szCs w:val="22"/>
        </w:rPr>
        <w:t>… and</w:t>
      </w:r>
      <w:r w:rsidRPr="00F829B8">
        <w:rPr>
          <w:rFonts w:ascii="Arial" w:hAnsi="Arial" w:cs="Arial"/>
          <w:sz w:val="22"/>
          <w:szCs w:val="22"/>
        </w:rPr>
        <w:t xml:space="preserve">] to elevate the status of mobile service to </w:t>
      </w:r>
      <w:r w:rsidRPr="00F829B8">
        <w:rPr>
          <w:rStyle w:val="nowrap"/>
          <w:rFonts w:ascii="Arial" w:hAnsi="Arial" w:cs="Arial"/>
          <w:sz w:val="22"/>
          <w:szCs w:val="22"/>
        </w:rPr>
        <w:t>co-primary</w:t>
      </w:r>
      <w:r w:rsidRPr="00F829B8">
        <w:rPr>
          <w:rFonts w:ascii="Arial" w:hAnsi="Arial" w:cs="Arial"/>
          <w:sz w:val="22"/>
          <w:szCs w:val="22"/>
        </w:rPr>
        <w:t xml:space="preserve"> with broadcasting and fixed services in the band </w:t>
      </w:r>
      <w:r w:rsidRPr="00F829B8">
        <w:rPr>
          <w:rStyle w:val="nowrap"/>
          <w:rFonts w:ascii="Arial" w:hAnsi="Arial" w:cs="Arial"/>
          <w:sz w:val="22"/>
          <w:szCs w:val="22"/>
        </w:rPr>
        <w:t>1452-1492 </w:t>
      </w:r>
      <w:r w:rsidRPr="00F829B8">
        <w:rPr>
          <w:rStyle w:val="HTMLAcronym"/>
          <w:rFonts w:ascii="Arial" w:hAnsi="Arial" w:cs="Arial"/>
          <w:sz w:val="22"/>
          <w:szCs w:val="22"/>
        </w:rPr>
        <w:t>MHz</w:t>
      </w:r>
      <w:r>
        <w:rPr>
          <w:rFonts w:ascii="Arial" w:hAnsi="Arial" w:cs="Arial"/>
          <w:sz w:val="22"/>
          <w:szCs w:val="22"/>
        </w:rPr>
        <w:t>”.</w:t>
      </w:r>
    </w:p>
    <w:p w:rsidR="004E28B9" w:rsidRPr="007606FF" w:rsidRDefault="004E28B9" w:rsidP="007606FF">
      <w:pPr>
        <w:pStyle w:val="NormalWeb"/>
        <w:spacing w:before="0" w:beforeAutospacing="0" w:after="0" w:afterAutospacing="0" w:line="276" w:lineRule="auto"/>
        <w:ind w:left="360"/>
        <w:jc w:val="both"/>
        <w:rPr>
          <w:rFonts w:ascii="Arial" w:hAnsi="Arial" w:cs="Arial"/>
          <w:sz w:val="22"/>
          <w:szCs w:val="22"/>
        </w:rPr>
      </w:pPr>
    </w:p>
    <w:p w:rsidR="004E28B9" w:rsidRPr="00C22763" w:rsidRDefault="004E28B9" w:rsidP="00C22763">
      <w:pPr>
        <w:pStyle w:val="Default"/>
        <w:numPr>
          <w:ilvl w:val="0"/>
          <w:numId w:val="9"/>
        </w:numPr>
        <w:spacing w:line="276" w:lineRule="auto"/>
        <w:jc w:val="both"/>
        <w:rPr>
          <w:sz w:val="22"/>
          <w:szCs w:val="22"/>
        </w:rPr>
      </w:pPr>
      <w:r>
        <w:rPr>
          <w:sz w:val="22"/>
          <w:szCs w:val="22"/>
        </w:rPr>
        <w:t xml:space="preserve">In Africa, CRASA, which </w:t>
      </w:r>
      <w:r w:rsidRPr="00C22763">
        <w:rPr>
          <w:sz w:val="22"/>
          <w:szCs w:val="22"/>
        </w:rPr>
        <w:t xml:space="preserve">groups </w:t>
      </w:r>
      <w:r>
        <w:rPr>
          <w:sz w:val="22"/>
          <w:szCs w:val="22"/>
        </w:rPr>
        <w:t xml:space="preserve">together </w:t>
      </w:r>
      <w:r w:rsidRPr="00C22763">
        <w:rPr>
          <w:sz w:val="22"/>
          <w:szCs w:val="22"/>
        </w:rPr>
        <w:t>the 14 Southern African Development Community (SADC) countries</w:t>
      </w:r>
      <w:r>
        <w:rPr>
          <w:sz w:val="22"/>
          <w:szCs w:val="22"/>
        </w:rPr>
        <w:t>,</w:t>
      </w:r>
      <w:r w:rsidRPr="00C22763">
        <w:rPr>
          <w:sz w:val="22"/>
          <w:szCs w:val="22"/>
        </w:rPr>
        <w:t xml:space="preserve"> highlighted in its latest </w:t>
      </w:r>
      <w:r w:rsidRPr="004F2D3D">
        <w:rPr>
          <w:i/>
          <w:sz w:val="22"/>
          <w:szCs w:val="22"/>
        </w:rPr>
        <w:t>Frequency Allocation Plan (FAP)</w:t>
      </w:r>
      <w:r w:rsidRPr="004F2D3D">
        <w:rPr>
          <w:sz w:val="22"/>
          <w:szCs w:val="22"/>
        </w:rPr>
        <w:t xml:space="preserve"> </w:t>
      </w:r>
      <w:r w:rsidRPr="00C22763">
        <w:rPr>
          <w:sz w:val="22"/>
          <w:szCs w:val="22"/>
        </w:rPr>
        <w:t>(</w:t>
      </w:r>
      <w:hyperlink r:id="rId9" w:history="1">
        <w:r w:rsidRPr="00C22763">
          <w:rPr>
            <w:rStyle w:val="Hyperlink"/>
            <w:rFonts w:cs="Arial"/>
            <w:sz w:val="22"/>
            <w:szCs w:val="22"/>
          </w:rPr>
          <w:t>www.crasa.org/download.php?doc=doc_pub_eng64.pdf</w:t>
        </w:r>
      </w:hyperlink>
      <w:r w:rsidRPr="00C22763">
        <w:rPr>
          <w:sz w:val="22"/>
          <w:szCs w:val="22"/>
        </w:rPr>
        <w:t>)</w:t>
      </w:r>
      <w:r>
        <w:rPr>
          <w:sz w:val="22"/>
          <w:szCs w:val="22"/>
        </w:rPr>
        <w:t>, its</w:t>
      </w:r>
      <w:r w:rsidRPr="004F2D3D">
        <w:rPr>
          <w:i/>
          <w:sz w:val="22"/>
          <w:szCs w:val="22"/>
        </w:rPr>
        <w:t xml:space="preserve"> </w:t>
      </w:r>
      <w:r w:rsidRPr="00C22763">
        <w:rPr>
          <w:sz w:val="22"/>
          <w:szCs w:val="22"/>
        </w:rPr>
        <w:t>framework for the harmonisation across SADC on the use of the radio frequency spectrum</w:t>
      </w:r>
      <w:r>
        <w:rPr>
          <w:sz w:val="22"/>
          <w:szCs w:val="22"/>
        </w:rPr>
        <w:t>,</w:t>
      </w:r>
      <w:r w:rsidRPr="00C22763">
        <w:rPr>
          <w:sz w:val="22"/>
          <w:szCs w:val="22"/>
        </w:rPr>
        <w:t xml:space="preserve">  that</w:t>
      </w:r>
      <w:r>
        <w:rPr>
          <w:sz w:val="22"/>
          <w:szCs w:val="22"/>
        </w:rPr>
        <w:t>:</w:t>
      </w:r>
      <w:r w:rsidRPr="00C22763">
        <w:rPr>
          <w:sz w:val="22"/>
          <w:szCs w:val="22"/>
        </w:rPr>
        <w:t xml:space="preserve"> “T-DAB in the 1452-1492 MHz to be reconsidered: whereas this band was used for testing of T-DAB it was felt by the majority that this allocation is no longer required. The use of this band in the future should be further investigated and clarified.”</w:t>
      </w:r>
    </w:p>
    <w:p w:rsidR="004E28B9" w:rsidRPr="00EC38BB" w:rsidRDefault="004E28B9" w:rsidP="00677BC6">
      <w:pPr>
        <w:spacing w:line="276" w:lineRule="auto"/>
        <w:rPr>
          <w:rFonts w:ascii="Arial" w:hAnsi="Arial" w:cs="Arial"/>
          <w:szCs w:val="22"/>
        </w:rPr>
      </w:pPr>
    </w:p>
    <w:p w:rsidR="004E28B9" w:rsidRPr="00EC38BB" w:rsidRDefault="004E28B9" w:rsidP="002673AD">
      <w:pPr>
        <w:ind w:left="709"/>
        <w:rPr>
          <w:rFonts w:ascii="Arial" w:hAnsi="Arial" w:cs="Arial"/>
          <w:szCs w:val="22"/>
        </w:rPr>
      </w:pPr>
    </w:p>
    <w:p w:rsidR="004E28B9" w:rsidRPr="007F63B9" w:rsidRDefault="004E28B9" w:rsidP="007F63B9">
      <w:pPr>
        <w:pStyle w:val="ListParagraph"/>
        <w:numPr>
          <w:ilvl w:val="1"/>
          <w:numId w:val="10"/>
        </w:numPr>
        <w:rPr>
          <w:rFonts w:ascii="Arial" w:hAnsi="Arial" w:cs="Arial"/>
          <w:szCs w:val="22"/>
        </w:rPr>
      </w:pPr>
      <w:r w:rsidRPr="007F63B9">
        <w:rPr>
          <w:rFonts w:ascii="Arial" w:hAnsi="Arial" w:cs="Arial"/>
          <w:szCs w:val="22"/>
        </w:rPr>
        <w:t>Description of the issue under study</w:t>
      </w:r>
    </w:p>
    <w:p w:rsidR="004E28B9" w:rsidRPr="007F63B9" w:rsidRDefault="004E28B9" w:rsidP="007F63B9">
      <w:pPr>
        <w:pStyle w:val="ListParagraph"/>
        <w:ind w:left="1069"/>
        <w:rPr>
          <w:rFonts w:ascii="Arial" w:hAnsi="Arial" w:cs="Arial"/>
          <w:szCs w:val="22"/>
        </w:rPr>
      </w:pPr>
    </w:p>
    <w:p w:rsidR="004E28B9" w:rsidRPr="00EC38BB" w:rsidRDefault="004E28B9" w:rsidP="002673AD">
      <w:pPr>
        <w:ind w:left="709"/>
        <w:rPr>
          <w:rFonts w:ascii="Arial" w:hAnsi="Arial" w:cs="Arial"/>
          <w:szCs w:val="22"/>
        </w:rPr>
      </w:pPr>
      <w:r w:rsidRPr="00EC38BB">
        <w:rPr>
          <w:rFonts w:ascii="Arial" w:hAnsi="Arial" w:cs="Arial"/>
          <w:szCs w:val="22"/>
        </w:rPr>
        <w:t>1.2.1 Initial proposal</w:t>
      </w:r>
    </w:p>
    <w:p w:rsidR="004E28B9" w:rsidRPr="00EC38BB" w:rsidRDefault="004E28B9" w:rsidP="002673AD">
      <w:pPr>
        <w:ind w:left="709"/>
        <w:rPr>
          <w:rFonts w:ascii="Arial" w:hAnsi="Arial" w:cs="Arial"/>
          <w:szCs w:val="22"/>
        </w:rPr>
      </w:pPr>
    </w:p>
    <w:p w:rsidR="004E28B9" w:rsidRPr="00324576" w:rsidRDefault="004E28B9" w:rsidP="00324576">
      <w:pPr>
        <w:rPr>
          <w:rFonts w:ascii="Arial" w:hAnsi="Arial" w:cs="Arial"/>
          <w:i/>
          <w:szCs w:val="22"/>
        </w:rPr>
      </w:pPr>
      <w:r>
        <w:rPr>
          <w:rFonts w:ascii="Arial" w:hAnsi="Arial" w:cs="Arial"/>
          <w:szCs w:val="22"/>
        </w:rPr>
        <w:t xml:space="preserve">Following an input to </w:t>
      </w:r>
      <w:r w:rsidRPr="00EC38BB">
        <w:rPr>
          <w:rFonts w:ascii="Arial" w:hAnsi="Arial" w:cs="Arial"/>
          <w:szCs w:val="22"/>
        </w:rPr>
        <w:t>Working Group FM</w:t>
      </w:r>
      <w:r>
        <w:rPr>
          <w:rFonts w:ascii="Arial" w:hAnsi="Arial" w:cs="Arial"/>
          <w:szCs w:val="22"/>
        </w:rPr>
        <w:t xml:space="preserve"> in</w:t>
      </w:r>
      <w:r w:rsidRPr="00EC38BB">
        <w:rPr>
          <w:rFonts w:ascii="Arial" w:hAnsi="Arial" w:cs="Arial"/>
          <w:szCs w:val="22"/>
        </w:rPr>
        <w:t xml:space="preserve"> September 2010 </w:t>
      </w:r>
      <w:r>
        <w:rPr>
          <w:rFonts w:ascii="Arial" w:hAnsi="Arial" w:cs="Arial"/>
          <w:szCs w:val="22"/>
        </w:rPr>
        <w:t>proposing to harmonise the 1452-1469.5 MHz band for mobile multimedia downlink, Working</w:t>
      </w:r>
      <w:r w:rsidRPr="00EC38BB">
        <w:rPr>
          <w:rFonts w:ascii="Arial" w:hAnsi="Arial" w:cs="Arial"/>
          <w:szCs w:val="22"/>
        </w:rPr>
        <w:t xml:space="preserve"> Group FM</w:t>
      </w:r>
      <w:r>
        <w:rPr>
          <w:rStyle w:val="FootnoteReference"/>
          <w:rFonts w:ascii="Arial" w:hAnsi="Arial" w:cs="Arial"/>
          <w:szCs w:val="22"/>
        </w:rPr>
        <w:footnoteReference w:id="3"/>
      </w:r>
      <w:r w:rsidRPr="00EC38BB">
        <w:rPr>
          <w:rFonts w:ascii="Arial" w:hAnsi="Arial" w:cs="Arial"/>
          <w:szCs w:val="22"/>
        </w:rPr>
        <w:t xml:space="preserve"> </w:t>
      </w:r>
      <w:r>
        <w:rPr>
          <w:rFonts w:ascii="Arial" w:hAnsi="Arial" w:cs="Arial"/>
          <w:szCs w:val="22"/>
        </w:rPr>
        <w:t xml:space="preserve">concluded that </w:t>
      </w:r>
      <w:r w:rsidRPr="00324576">
        <w:rPr>
          <w:rFonts w:ascii="Arial" w:hAnsi="Arial" w:cs="Arial"/>
          <w:i/>
          <w:szCs w:val="22"/>
        </w:rPr>
        <w:t>FM PT45 should:</w:t>
      </w:r>
    </w:p>
    <w:p w:rsidR="004E28B9" w:rsidRPr="00324576" w:rsidRDefault="004E28B9" w:rsidP="00324576">
      <w:pPr>
        <w:rPr>
          <w:rFonts w:ascii="Arial" w:hAnsi="Arial" w:cs="Arial"/>
          <w:i/>
          <w:szCs w:val="22"/>
        </w:rPr>
      </w:pPr>
    </w:p>
    <w:p w:rsidR="004E28B9" w:rsidRPr="00B47306" w:rsidRDefault="004E28B9" w:rsidP="00324576">
      <w:pPr>
        <w:pStyle w:val="ListParagraph"/>
        <w:numPr>
          <w:ilvl w:val="0"/>
          <w:numId w:val="11"/>
        </w:numPr>
        <w:rPr>
          <w:rFonts w:ascii="Arial" w:hAnsi="Arial" w:cs="Arial"/>
          <w:i/>
          <w:szCs w:val="22"/>
        </w:rPr>
      </w:pPr>
      <w:r w:rsidRPr="00B47306">
        <w:rPr>
          <w:rFonts w:ascii="Arial" w:hAnsi="Arial" w:cs="Arial"/>
          <w:i/>
          <w:szCs w:val="22"/>
        </w:rPr>
        <w:t xml:space="preserve">identify the existing primary users of the band which fall within the Special Arrangement (MA02revCO07); </w:t>
      </w:r>
    </w:p>
    <w:p w:rsidR="004E28B9" w:rsidRPr="00B47306" w:rsidRDefault="004E28B9" w:rsidP="00324576">
      <w:pPr>
        <w:pStyle w:val="ListParagraph"/>
        <w:numPr>
          <w:ilvl w:val="0"/>
          <w:numId w:val="11"/>
        </w:numPr>
        <w:rPr>
          <w:rFonts w:ascii="Arial" w:hAnsi="Arial" w:cs="Arial"/>
          <w:i/>
          <w:szCs w:val="22"/>
        </w:rPr>
      </w:pPr>
      <w:r w:rsidRPr="00B47306">
        <w:rPr>
          <w:rFonts w:ascii="Arial" w:hAnsi="Arial" w:cs="Arial"/>
          <w:i/>
          <w:szCs w:val="22"/>
        </w:rPr>
        <w:t xml:space="preserve">consider implications of the proposal on the current regulation; </w:t>
      </w:r>
    </w:p>
    <w:p w:rsidR="004E28B9" w:rsidRPr="00B47306" w:rsidRDefault="004E28B9" w:rsidP="00324576">
      <w:pPr>
        <w:pStyle w:val="ListParagraph"/>
        <w:numPr>
          <w:ilvl w:val="0"/>
          <w:numId w:val="11"/>
        </w:numPr>
        <w:rPr>
          <w:rFonts w:ascii="Arial" w:hAnsi="Arial" w:cs="Arial"/>
          <w:i/>
          <w:szCs w:val="22"/>
        </w:rPr>
      </w:pPr>
      <w:r w:rsidRPr="00B47306">
        <w:rPr>
          <w:rFonts w:ascii="Arial" w:hAnsi="Arial" w:cs="Arial"/>
          <w:i/>
          <w:szCs w:val="22"/>
        </w:rPr>
        <w:t xml:space="preserve">consider the value of taking a service and technology neutral harmonised approach in the band; </w:t>
      </w:r>
    </w:p>
    <w:p w:rsidR="004E28B9" w:rsidRPr="00B47306" w:rsidRDefault="004E28B9" w:rsidP="00324576">
      <w:pPr>
        <w:pStyle w:val="ListParagraph"/>
        <w:numPr>
          <w:ilvl w:val="0"/>
          <w:numId w:val="11"/>
        </w:numPr>
        <w:rPr>
          <w:rFonts w:ascii="Arial" w:hAnsi="Arial" w:cs="Arial"/>
          <w:i/>
          <w:szCs w:val="22"/>
        </w:rPr>
      </w:pPr>
      <w:r w:rsidRPr="00B47306">
        <w:rPr>
          <w:rFonts w:ascii="Arial" w:hAnsi="Arial" w:cs="Arial"/>
          <w:i/>
          <w:szCs w:val="22"/>
        </w:rPr>
        <w:t>report at the next WG FM meeting with conclusions on the above actions.</w:t>
      </w:r>
    </w:p>
    <w:p w:rsidR="004E28B9" w:rsidRPr="00EC38BB" w:rsidRDefault="004E28B9" w:rsidP="002673AD">
      <w:pPr>
        <w:ind w:left="709"/>
        <w:rPr>
          <w:rFonts w:ascii="Arial" w:hAnsi="Arial" w:cs="Arial"/>
          <w:szCs w:val="22"/>
        </w:rPr>
      </w:pPr>
    </w:p>
    <w:p w:rsidR="004E28B9" w:rsidRPr="00EC38BB" w:rsidRDefault="004E28B9" w:rsidP="002673AD">
      <w:pPr>
        <w:ind w:left="709"/>
        <w:rPr>
          <w:rFonts w:ascii="Arial" w:hAnsi="Arial" w:cs="Arial"/>
          <w:szCs w:val="22"/>
        </w:rPr>
      </w:pPr>
      <w:r w:rsidRPr="00EC38BB">
        <w:rPr>
          <w:rFonts w:ascii="Arial" w:hAnsi="Arial" w:cs="Arial"/>
          <w:szCs w:val="22"/>
        </w:rPr>
        <w:t>1.2.2 Extension of the scope of the initial proposal</w:t>
      </w:r>
    </w:p>
    <w:p w:rsidR="004E28B9" w:rsidRPr="00EC38BB" w:rsidRDefault="004E28B9" w:rsidP="002673AD">
      <w:pPr>
        <w:ind w:left="709"/>
        <w:rPr>
          <w:rFonts w:ascii="Arial" w:hAnsi="Arial" w:cs="Arial"/>
          <w:szCs w:val="22"/>
        </w:rPr>
      </w:pPr>
    </w:p>
    <w:p w:rsidR="004E28B9" w:rsidRPr="00032D64" w:rsidRDefault="004E28B9" w:rsidP="00677BC6">
      <w:pPr>
        <w:spacing w:line="276" w:lineRule="auto"/>
        <w:rPr>
          <w:rFonts w:ascii="Arial" w:hAnsi="Arial" w:cs="Arial"/>
          <w:szCs w:val="22"/>
        </w:rPr>
      </w:pPr>
      <w:r w:rsidRPr="00032D64">
        <w:rPr>
          <w:rFonts w:ascii="Arial" w:hAnsi="Arial" w:cs="Arial"/>
          <w:szCs w:val="22"/>
        </w:rPr>
        <w:t>In November 2010</w:t>
      </w:r>
      <w:r>
        <w:rPr>
          <w:rFonts w:ascii="Arial" w:hAnsi="Arial" w:cs="Arial"/>
          <w:szCs w:val="22"/>
        </w:rPr>
        <w:t>, WG FM reported to the ECC on the work it intends to carry out on the L-band. T</w:t>
      </w:r>
      <w:r w:rsidRPr="00032D64">
        <w:rPr>
          <w:rFonts w:ascii="Arial" w:hAnsi="Arial" w:cs="Arial"/>
          <w:szCs w:val="22"/>
        </w:rPr>
        <w:t>he ECC</w:t>
      </w:r>
      <w:r w:rsidRPr="00032D64">
        <w:rPr>
          <w:rStyle w:val="FootnoteReference"/>
          <w:rFonts w:ascii="Arial" w:hAnsi="Arial" w:cs="Arial"/>
          <w:szCs w:val="22"/>
        </w:rPr>
        <w:footnoteReference w:id="4"/>
      </w:r>
      <w:r w:rsidRPr="00032D64">
        <w:rPr>
          <w:rFonts w:ascii="Arial" w:hAnsi="Arial" w:cs="Arial"/>
          <w:szCs w:val="22"/>
        </w:rPr>
        <w:t xml:space="preserve"> decided to extend the scope of the initial proposal to cover the whole band 1452-1492 MHz and tasked WG FM to prepare a generic inventory of candidate applications for the 1452-1492 MHz band. The considerations on the possible implications on the current regulatory agreements (Maastricht Agreement and ECC/DEC(03)02) were postponed to the end of that action.</w:t>
      </w:r>
    </w:p>
    <w:p w:rsidR="004E28B9" w:rsidRPr="00EC38BB" w:rsidRDefault="004E28B9" w:rsidP="002673AD">
      <w:pPr>
        <w:ind w:left="709"/>
        <w:rPr>
          <w:rFonts w:ascii="Arial" w:hAnsi="Arial" w:cs="Arial"/>
          <w:szCs w:val="22"/>
        </w:rPr>
      </w:pPr>
    </w:p>
    <w:p w:rsidR="004E28B9" w:rsidRDefault="004E28B9" w:rsidP="00B47306">
      <w:pPr>
        <w:spacing w:line="276" w:lineRule="auto"/>
        <w:rPr>
          <w:rFonts w:ascii="Arial" w:hAnsi="Arial" w:cs="Arial"/>
          <w:szCs w:val="22"/>
        </w:rPr>
      </w:pPr>
      <w:r>
        <w:rPr>
          <w:rFonts w:ascii="Arial" w:hAnsi="Arial" w:cs="Arial"/>
          <w:szCs w:val="22"/>
        </w:rPr>
        <w:t>WG</w:t>
      </w:r>
      <w:r w:rsidRPr="00B51CA3">
        <w:rPr>
          <w:rFonts w:ascii="Arial" w:hAnsi="Arial" w:cs="Arial"/>
          <w:szCs w:val="22"/>
        </w:rPr>
        <w:t xml:space="preserve"> FM</w:t>
      </w:r>
      <w:r>
        <w:rPr>
          <w:rFonts w:ascii="Arial" w:hAnsi="Arial" w:cs="Arial"/>
          <w:szCs w:val="22"/>
        </w:rPr>
        <w:t>, through its Project Team FM 45,</w:t>
      </w:r>
      <w:r w:rsidRPr="00B51CA3">
        <w:rPr>
          <w:rFonts w:ascii="Arial" w:hAnsi="Arial" w:cs="Arial"/>
          <w:szCs w:val="22"/>
        </w:rPr>
        <w:t xml:space="preserve"> </w:t>
      </w:r>
      <w:r>
        <w:rPr>
          <w:rFonts w:ascii="Arial" w:hAnsi="Arial" w:cs="Arial"/>
          <w:szCs w:val="22"/>
        </w:rPr>
        <w:t>prepared a</w:t>
      </w:r>
      <w:r w:rsidRPr="00B51CA3">
        <w:rPr>
          <w:rFonts w:ascii="Arial" w:hAnsi="Arial" w:cs="Arial"/>
          <w:szCs w:val="22"/>
        </w:rPr>
        <w:t xml:space="preserve"> questionnaire on the generic inventory of candid</w:t>
      </w:r>
      <w:r>
        <w:rPr>
          <w:rFonts w:ascii="Arial" w:hAnsi="Arial" w:cs="Arial"/>
          <w:szCs w:val="22"/>
        </w:rPr>
        <w:t>ate applications for the 1452–</w:t>
      </w:r>
      <w:r w:rsidRPr="00B51CA3">
        <w:rPr>
          <w:rFonts w:ascii="Arial" w:hAnsi="Arial" w:cs="Arial"/>
          <w:szCs w:val="22"/>
        </w:rPr>
        <w:t>1492 MHz band</w:t>
      </w:r>
      <w:r>
        <w:rPr>
          <w:rFonts w:ascii="Arial" w:hAnsi="Arial" w:cs="Arial"/>
          <w:szCs w:val="22"/>
        </w:rPr>
        <w:t xml:space="preserve"> and carried out a survey</w:t>
      </w:r>
      <w:r w:rsidRPr="00B51CA3">
        <w:rPr>
          <w:rFonts w:ascii="Arial" w:hAnsi="Arial" w:cs="Arial"/>
          <w:szCs w:val="22"/>
        </w:rPr>
        <w:t xml:space="preserve">.  </w:t>
      </w:r>
      <w:r>
        <w:rPr>
          <w:rFonts w:ascii="Arial" w:hAnsi="Arial" w:cs="Arial"/>
          <w:szCs w:val="22"/>
        </w:rPr>
        <w:t>Many responses were received from administrations and from the industry. The results of this survey</w:t>
      </w:r>
      <w:r>
        <w:rPr>
          <w:rStyle w:val="FootnoteReference"/>
          <w:rFonts w:ascii="Arial" w:hAnsi="Arial" w:cs="Arial"/>
          <w:szCs w:val="22"/>
        </w:rPr>
        <w:footnoteReference w:id="5"/>
      </w:r>
      <w:r>
        <w:rPr>
          <w:rFonts w:ascii="Arial" w:hAnsi="Arial" w:cs="Arial"/>
          <w:szCs w:val="22"/>
        </w:rPr>
        <w:t xml:space="preserve"> were reviewed by WG FM i</w:t>
      </w:r>
      <w:r w:rsidRPr="006457E1">
        <w:rPr>
          <w:rFonts w:ascii="Arial" w:hAnsi="Arial" w:cs="Arial"/>
          <w:szCs w:val="22"/>
        </w:rPr>
        <w:t xml:space="preserve">n February 2011, and </w:t>
      </w:r>
      <w:r>
        <w:rPr>
          <w:rFonts w:ascii="Arial" w:hAnsi="Arial" w:cs="Arial"/>
          <w:szCs w:val="22"/>
        </w:rPr>
        <w:t xml:space="preserve">WG FM </w:t>
      </w:r>
      <w:r w:rsidRPr="006457E1">
        <w:rPr>
          <w:rFonts w:ascii="Arial" w:hAnsi="Arial" w:cs="Arial"/>
          <w:szCs w:val="22"/>
        </w:rPr>
        <w:t>proposed</w:t>
      </w:r>
      <w:r>
        <w:rPr>
          <w:rStyle w:val="FootnoteReference"/>
          <w:rFonts w:ascii="Arial" w:hAnsi="Arial" w:cs="Arial"/>
          <w:szCs w:val="22"/>
        </w:rPr>
        <w:footnoteReference w:id="6"/>
      </w:r>
      <w:r w:rsidRPr="006457E1">
        <w:rPr>
          <w:rFonts w:ascii="Arial" w:hAnsi="Arial" w:cs="Arial"/>
          <w:szCs w:val="22"/>
        </w:rPr>
        <w:t xml:space="preserve"> to the ECC that a new project team under WGFM be established</w:t>
      </w:r>
      <w:r>
        <w:rPr>
          <w:rFonts w:ascii="Arial" w:hAnsi="Arial" w:cs="Arial"/>
          <w:szCs w:val="22"/>
        </w:rPr>
        <w:t xml:space="preserve"> to carry the work on the future use and harmonisation of the L-band</w:t>
      </w:r>
      <w:r w:rsidRPr="006457E1">
        <w:rPr>
          <w:rFonts w:ascii="Arial" w:hAnsi="Arial" w:cs="Arial"/>
          <w:szCs w:val="22"/>
        </w:rPr>
        <w:t xml:space="preserve">. </w:t>
      </w:r>
    </w:p>
    <w:p w:rsidR="004E28B9" w:rsidRDefault="004E28B9" w:rsidP="00B47306">
      <w:pPr>
        <w:spacing w:line="276" w:lineRule="auto"/>
        <w:rPr>
          <w:rFonts w:ascii="Arial" w:hAnsi="Arial" w:cs="Arial"/>
          <w:szCs w:val="22"/>
        </w:rPr>
      </w:pPr>
    </w:p>
    <w:p w:rsidR="004E28B9" w:rsidRPr="00B47306" w:rsidRDefault="004E28B9" w:rsidP="00B47306">
      <w:pPr>
        <w:spacing w:line="276" w:lineRule="auto"/>
        <w:rPr>
          <w:rFonts w:ascii="Arial" w:hAnsi="Arial" w:cs="Arial"/>
          <w:szCs w:val="22"/>
        </w:rPr>
      </w:pPr>
      <w:r w:rsidRPr="006457E1">
        <w:rPr>
          <w:rFonts w:ascii="Arial" w:hAnsi="Arial" w:cs="Arial"/>
          <w:szCs w:val="22"/>
        </w:rPr>
        <w:t xml:space="preserve">In March 11, the ECC endorsed the proposal elaborated </w:t>
      </w:r>
      <w:r>
        <w:rPr>
          <w:rFonts w:ascii="Arial" w:hAnsi="Arial" w:cs="Arial"/>
          <w:szCs w:val="22"/>
        </w:rPr>
        <w:t>by</w:t>
      </w:r>
      <w:r w:rsidRPr="006457E1">
        <w:rPr>
          <w:rFonts w:ascii="Arial" w:hAnsi="Arial" w:cs="Arial"/>
          <w:szCs w:val="22"/>
        </w:rPr>
        <w:t xml:space="preserve"> WG FM. As a consequence, WG FM </w:t>
      </w:r>
      <w:r>
        <w:rPr>
          <w:rFonts w:ascii="Arial" w:hAnsi="Arial" w:cs="Arial"/>
          <w:szCs w:val="22"/>
        </w:rPr>
        <w:t>established in May 11</w:t>
      </w:r>
      <w:r w:rsidRPr="006457E1">
        <w:rPr>
          <w:rFonts w:ascii="Arial" w:hAnsi="Arial" w:cs="Arial"/>
          <w:szCs w:val="22"/>
        </w:rPr>
        <w:t xml:space="preserve"> the Project Team 50 on the future</w:t>
      </w:r>
      <w:r>
        <w:rPr>
          <w:rFonts w:ascii="Arial" w:hAnsi="Arial" w:cs="Arial"/>
          <w:szCs w:val="22"/>
        </w:rPr>
        <w:t xml:space="preserve"> use of the 1452-1492 MHz band with the aim to determine </w:t>
      </w:r>
      <w:r w:rsidRPr="00032D64">
        <w:rPr>
          <w:rFonts w:ascii="Arial" w:hAnsi="Arial" w:cs="Arial"/>
          <w:szCs w:val="22"/>
        </w:rPr>
        <w:t>which future use(s) of the 1452-1492 MHz band would be the most appropriate for CEPT and, if necessary, which associated regulatory framework may need to be developed</w:t>
      </w:r>
      <w:r>
        <w:rPr>
          <w:rStyle w:val="FootnoteReference"/>
          <w:rFonts w:ascii="Arial" w:hAnsi="Arial"/>
          <w:szCs w:val="22"/>
        </w:rPr>
        <w:footnoteReference w:id="7"/>
      </w:r>
      <w:r w:rsidRPr="00032D64">
        <w:rPr>
          <w:rFonts w:ascii="Arial" w:hAnsi="Arial" w:cs="Arial"/>
          <w:szCs w:val="22"/>
        </w:rPr>
        <w:t>.</w:t>
      </w:r>
    </w:p>
    <w:p w:rsidR="004E28B9" w:rsidRPr="00032D64" w:rsidRDefault="004E28B9" w:rsidP="00032D64">
      <w:pPr>
        <w:rPr>
          <w:rFonts w:ascii="Arial" w:hAnsi="Arial" w:cs="Arial"/>
          <w:szCs w:val="22"/>
        </w:rPr>
      </w:pPr>
    </w:p>
    <w:p w:rsidR="004E28B9" w:rsidRPr="00EC38BB" w:rsidRDefault="004E28B9" w:rsidP="002673AD">
      <w:pPr>
        <w:ind w:left="709"/>
        <w:rPr>
          <w:rFonts w:ascii="Arial" w:hAnsi="Arial" w:cs="Arial"/>
          <w:szCs w:val="22"/>
        </w:rPr>
      </w:pPr>
    </w:p>
    <w:p w:rsidR="004E28B9" w:rsidRPr="00EC38BB" w:rsidRDefault="004E28B9" w:rsidP="002673AD">
      <w:pPr>
        <w:ind w:left="709"/>
        <w:rPr>
          <w:rFonts w:ascii="Arial" w:hAnsi="Arial" w:cs="Arial"/>
          <w:szCs w:val="22"/>
        </w:rPr>
      </w:pPr>
      <w:r w:rsidRPr="00EC38BB">
        <w:rPr>
          <w:rFonts w:ascii="Arial" w:hAnsi="Arial" w:cs="Arial"/>
          <w:szCs w:val="22"/>
        </w:rPr>
        <w:t>1.2.3 Identification and description of the issue and objective of the study</w:t>
      </w:r>
    </w:p>
    <w:p w:rsidR="004E28B9" w:rsidRPr="00EC38BB" w:rsidRDefault="004E28B9" w:rsidP="002673AD">
      <w:pPr>
        <w:ind w:left="709"/>
        <w:rPr>
          <w:rFonts w:ascii="Arial" w:hAnsi="Arial" w:cs="Arial"/>
          <w:szCs w:val="22"/>
        </w:rPr>
      </w:pPr>
    </w:p>
    <w:p w:rsidR="004E28B9" w:rsidRPr="002770D6" w:rsidRDefault="004E28B9" w:rsidP="00DF6687">
      <w:pPr>
        <w:spacing w:line="276" w:lineRule="auto"/>
        <w:rPr>
          <w:rFonts w:ascii="Arial" w:hAnsi="Arial" w:cs="Arial"/>
          <w:szCs w:val="22"/>
        </w:rPr>
      </w:pPr>
      <w:r w:rsidRPr="002770D6">
        <w:rPr>
          <w:rFonts w:ascii="Arial" w:hAnsi="Arial" w:cs="Arial"/>
          <w:szCs w:val="22"/>
        </w:rPr>
        <w:t>The L-band (1452-1492 MHz) is currently allocated for use by terrestrial and satellite digital audio broadcasting (DAB) services in most European countries. None of these services have developed commercially in the band</w:t>
      </w:r>
      <w:r>
        <w:rPr>
          <w:rFonts w:ascii="Arial" w:hAnsi="Arial" w:cs="Arial"/>
          <w:szCs w:val="22"/>
        </w:rPr>
        <w:t xml:space="preserve"> and t</w:t>
      </w:r>
      <w:r w:rsidRPr="002770D6">
        <w:rPr>
          <w:rFonts w:ascii="Arial" w:hAnsi="Arial" w:cs="Arial"/>
          <w:szCs w:val="22"/>
        </w:rPr>
        <w:t xml:space="preserve">he spectrum remains today unused in most countries. The L-band has a considerable </w:t>
      </w:r>
      <w:r>
        <w:rPr>
          <w:rFonts w:ascii="Arial" w:hAnsi="Arial" w:cs="Arial"/>
          <w:szCs w:val="22"/>
        </w:rPr>
        <w:t>harmonisation potential</w:t>
      </w:r>
      <w:r w:rsidRPr="002770D6">
        <w:rPr>
          <w:rFonts w:ascii="Arial" w:hAnsi="Arial" w:cs="Arial"/>
          <w:szCs w:val="22"/>
        </w:rPr>
        <w:t xml:space="preserve"> across CEPT. </w:t>
      </w:r>
    </w:p>
    <w:p w:rsidR="004E28B9" w:rsidRPr="002770D6" w:rsidRDefault="004E28B9" w:rsidP="002673AD">
      <w:pPr>
        <w:ind w:left="709"/>
        <w:rPr>
          <w:rFonts w:ascii="Arial" w:hAnsi="Arial" w:cs="Arial"/>
          <w:szCs w:val="22"/>
        </w:rPr>
      </w:pPr>
    </w:p>
    <w:p w:rsidR="004E28B9" w:rsidRDefault="004E28B9" w:rsidP="00F60137">
      <w:pPr>
        <w:spacing w:line="276" w:lineRule="auto"/>
        <w:rPr>
          <w:rFonts w:ascii="Arial" w:hAnsi="Arial" w:cs="Arial"/>
          <w:szCs w:val="22"/>
        </w:rPr>
      </w:pPr>
      <w:r>
        <w:rPr>
          <w:rFonts w:ascii="Arial" w:hAnsi="Arial" w:cs="Arial"/>
          <w:szCs w:val="22"/>
        </w:rPr>
        <w:t>The objective of the study is</w:t>
      </w:r>
      <w:r w:rsidRPr="002770D6">
        <w:rPr>
          <w:rFonts w:ascii="Arial" w:hAnsi="Arial" w:cs="Arial"/>
          <w:szCs w:val="22"/>
        </w:rPr>
        <w:t xml:space="preserve"> to identify </w:t>
      </w:r>
      <w:r w:rsidRPr="00DF6687">
        <w:rPr>
          <w:rFonts w:ascii="Arial" w:hAnsi="Arial" w:cs="Arial"/>
          <w:szCs w:val="22"/>
        </w:rPr>
        <w:t>which future use(s) of the 1452-1492 MHz band would be the most appropriate for CEPT and, if necessary, which associated regulatory framework may need to be developed.</w:t>
      </w:r>
    </w:p>
    <w:p w:rsidR="004E28B9" w:rsidRDefault="004E28B9" w:rsidP="00F60137">
      <w:pPr>
        <w:spacing w:line="276" w:lineRule="auto"/>
        <w:rPr>
          <w:rFonts w:ascii="Arial" w:hAnsi="Arial" w:cs="Arial"/>
          <w:szCs w:val="22"/>
        </w:rPr>
      </w:pPr>
      <w:r>
        <w:rPr>
          <w:rFonts w:ascii="Arial" w:hAnsi="Arial" w:cs="Arial"/>
          <w:szCs w:val="22"/>
        </w:rPr>
        <w:t>This should be done through various steps:</w:t>
      </w:r>
    </w:p>
    <w:p w:rsidR="004E28B9" w:rsidRDefault="004E28B9" w:rsidP="00F60137">
      <w:pPr>
        <w:spacing w:line="276" w:lineRule="auto"/>
        <w:rPr>
          <w:rFonts w:ascii="Arial" w:hAnsi="Arial" w:cs="Arial"/>
          <w:szCs w:val="22"/>
        </w:rPr>
      </w:pPr>
      <w:r>
        <w:rPr>
          <w:rFonts w:ascii="Arial" w:hAnsi="Arial" w:cs="Arial"/>
          <w:szCs w:val="22"/>
        </w:rPr>
        <w:t xml:space="preserve">- identification of </w:t>
      </w:r>
      <w:r w:rsidRPr="002770D6">
        <w:rPr>
          <w:rFonts w:ascii="Arial" w:hAnsi="Arial" w:cs="Arial"/>
          <w:szCs w:val="22"/>
        </w:rPr>
        <w:t>objective and relevant criteria to assess the impact(s) of an implementation</w:t>
      </w:r>
      <w:r>
        <w:rPr>
          <w:rFonts w:ascii="Arial" w:hAnsi="Arial" w:cs="Arial"/>
          <w:szCs w:val="22"/>
        </w:rPr>
        <w:t>;</w:t>
      </w:r>
      <w:r w:rsidRPr="002770D6">
        <w:rPr>
          <w:rFonts w:ascii="Arial" w:hAnsi="Arial" w:cs="Arial"/>
          <w:szCs w:val="22"/>
        </w:rPr>
        <w:t xml:space="preserve"> </w:t>
      </w:r>
      <w:r>
        <w:rPr>
          <w:rFonts w:ascii="Arial" w:hAnsi="Arial" w:cs="Arial"/>
          <w:szCs w:val="22"/>
        </w:rPr>
        <w:t xml:space="preserve">- </w:t>
      </w:r>
      <w:r w:rsidRPr="00DF6687">
        <w:rPr>
          <w:rFonts w:ascii="Arial" w:hAnsi="Arial" w:cs="Arial"/>
          <w:szCs w:val="22"/>
        </w:rPr>
        <w:t>assess</w:t>
      </w:r>
      <w:r>
        <w:rPr>
          <w:rFonts w:ascii="Arial" w:hAnsi="Arial" w:cs="Arial"/>
          <w:szCs w:val="22"/>
        </w:rPr>
        <w:t>ment of the</w:t>
      </w:r>
      <w:r w:rsidRPr="00DF6687">
        <w:rPr>
          <w:rFonts w:ascii="Arial" w:hAnsi="Arial" w:cs="Arial"/>
          <w:szCs w:val="22"/>
        </w:rPr>
        <w:t xml:space="preserve"> relevant candidate applications according to approved criteria</w:t>
      </w:r>
      <w:r>
        <w:rPr>
          <w:rFonts w:ascii="Arial" w:hAnsi="Arial" w:cs="Arial"/>
          <w:szCs w:val="22"/>
        </w:rPr>
        <w:t>;</w:t>
      </w:r>
    </w:p>
    <w:p w:rsidR="004E28B9" w:rsidRPr="00F60137" w:rsidRDefault="004E28B9" w:rsidP="00F60137">
      <w:pPr>
        <w:spacing w:line="276" w:lineRule="auto"/>
        <w:rPr>
          <w:rFonts w:ascii="Arial" w:hAnsi="Arial" w:cs="Arial"/>
          <w:szCs w:val="22"/>
        </w:rPr>
      </w:pPr>
      <w:r>
        <w:rPr>
          <w:rFonts w:ascii="Arial" w:hAnsi="Arial" w:cs="Arial"/>
          <w:szCs w:val="22"/>
        </w:rPr>
        <w:t>-</w:t>
      </w:r>
      <w:r w:rsidRPr="002770D6">
        <w:rPr>
          <w:rFonts w:ascii="Arial" w:hAnsi="Arial" w:cs="Arial"/>
          <w:szCs w:val="22"/>
        </w:rPr>
        <w:t xml:space="preserve"> </w:t>
      </w:r>
      <w:r w:rsidRPr="00DF6687">
        <w:rPr>
          <w:rFonts w:ascii="Arial" w:hAnsi="Arial" w:cs="Arial"/>
          <w:szCs w:val="22"/>
        </w:rPr>
        <w:t>identif</w:t>
      </w:r>
      <w:r>
        <w:rPr>
          <w:rFonts w:ascii="Arial" w:hAnsi="Arial" w:cs="Arial"/>
          <w:szCs w:val="22"/>
        </w:rPr>
        <w:t>ication</w:t>
      </w:r>
      <w:r w:rsidRPr="00DF6687">
        <w:rPr>
          <w:rFonts w:ascii="Arial" w:hAnsi="Arial" w:cs="Arial"/>
          <w:szCs w:val="22"/>
        </w:rPr>
        <w:t xml:space="preserve"> whether further regulatory measures may be required to acc</w:t>
      </w:r>
      <w:r>
        <w:rPr>
          <w:rFonts w:ascii="Arial" w:hAnsi="Arial" w:cs="Arial"/>
          <w:szCs w:val="22"/>
        </w:rPr>
        <w:t>ommodate candidate applications</w:t>
      </w:r>
      <w:r w:rsidRPr="00DF6687">
        <w:rPr>
          <w:rFonts w:ascii="Arial" w:hAnsi="Arial" w:cs="Arial"/>
          <w:szCs w:val="22"/>
        </w:rPr>
        <w:t>, including the development of the least restrictive technical conditions for the application(s) retained, if appropriate</w:t>
      </w:r>
      <w:r>
        <w:rPr>
          <w:rFonts w:ascii="Arial" w:hAnsi="Arial" w:cs="Arial"/>
          <w:szCs w:val="22"/>
        </w:rPr>
        <w:t>.</w:t>
      </w:r>
    </w:p>
    <w:p w:rsidR="004E28B9" w:rsidRPr="00EC38BB" w:rsidRDefault="004E28B9" w:rsidP="00032D64">
      <w:pPr>
        <w:rPr>
          <w:rFonts w:ascii="Arial" w:hAnsi="Arial" w:cs="Arial"/>
          <w:szCs w:val="22"/>
        </w:rPr>
      </w:pPr>
    </w:p>
    <w:p w:rsidR="004E28B9" w:rsidRDefault="004E28B9" w:rsidP="00C2062E">
      <w:r>
        <w:rPr>
          <w:rFonts w:ascii="Arial" w:hAnsi="Arial" w:cs="Arial"/>
          <w:szCs w:val="22"/>
        </w:rPr>
        <w:br w:type="page"/>
      </w:r>
    </w:p>
    <w:p w:rsidR="004E28B9" w:rsidRDefault="004E28B9" w:rsidP="009251D6">
      <w:pPr>
        <w:jc w:val="center"/>
        <w:rPr>
          <w:b/>
        </w:rPr>
      </w:pPr>
      <w:r>
        <w:rPr>
          <w:b/>
        </w:rPr>
        <w:t>ANNEX I</w:t>
      </w:r>
    </w:p>
    <w:p w:rsidR="004E28B9" w:rsidRPr="009251D6" w:rsidRDefault="004E28B9" w:rsidP="00C2062E">
      <w:pPr>
        <w:rPr>
          <w:rFonts w:ascii="Arial" w:hAnsi="Arial" w:cs="Arial"/>
          <w:b/>
          <w:szCs w:val="22"/>
        </w:rPr>
      </w:pPr>
    </w:p>
    <w:p w:rsidR="004E28B9" w:rsidRPr="009251D6" w:rsidRDefault="004E28B9" w:rsidP="009251D6">
      <w:pPr>
        <w:rPr>
          <w:rFonts w:ascii="Arial" w:hAnsi="Arial" w:cs="Arial"/>
          <w:b/>
          <w:szCs w:val="22"/>
          <w:lang w:val="en-US"/>
        </w:rPr>
      </w:pPr>
      <w:r w:rsidRPr="009251D6">
        <w:rPr>
          <w:rFonts w:ascii="Arial" w:hAnsi="Arial" w:cs="Arial"/>
          <w:b/>
          <w:szCs w:val="22"/>
          <w:lang w:val="en-US"/>
        </w:rPr>
        <w:t>Extract of the Radio Regulations Article 5 for 1452-1492 MHz</w:t>
      </w:r>
    </w:p>
    <w:tbl>
      <w:tblPr>
        <w:tblW w:w="9304" w:type="dxa"/>
        <w:tblLayout w:type="fixed"/>
        <w:tblCellMar>
          <w:left w:w="107" w:type="dxa"/>
          <w:right w:w="107" w:type="dxa"/>
        </w:tblCellMar>
        <w:tblLook w:val="0000"/>
      </w:tblPr>
      <w:tblGrid>
        <w:gridCol w:w="3099"/>
        <w:gridCol w:w="12"/>
        <w:gridCol w:w="3089"/>
        <w:gridCol w:w="3104"/>
      </w:tblGrid>
      <w:tr w:rsidR="004E28B9" w:rsidRPr="009251D6" w:rsidTr="00C07ED9">
        <w:trPr>
          <w:cantSplit/>
        </w:trPr>
        <w:tc>
          <w:tcPr>
            <w:tcW w:w="9304" w:type="dxa"/>
            <w:gridSpan w:val="4"/>
          </w:tcPr>
          <w:p w:rsidR="004E28B9" w:rsidRPr="009251D6" w:rsidRDefault="004E28B9" w:rsidP="00C07ED9">
            <w:pPr>
              <w:pStyle w:val="Tablehead"/>
              <w:framePr w:hSpace="181" w:wrap="around" w:vAnchor="text" w:hAnchor="margin" w:xAlign="center" w:y="1"/>
              <w:spacing w:after="160"/>
              <w:rPr>
                <w:rFonts w:ascii="Arial" w:hAnsi="Arial" w:cs="Arial"/>
                <w:color w:val="000000"/>
                <w:sz w:val="22"/>
                <w:szCs w:val="22"/>
                <w:lang w:val="en-US"/>
              </w:rPr>
            </w:pPr>
          </w:p>
        </w:tc>
      </w:tr>
      <w:tr w:rsidR="004E28B9" w:rsidRPr="009251D6" w:rsidTr="00C07E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304" w:type="dxa"/>
            <w:gridSpan w:val="4"/>
          </w:tcPr>
          <w:p w:rsidR="004E28B9" w:rsidRPr="009251D6" w:rsidRDefault="004E28B9" w:rsidP="00C07ED9">
            <w:pPr>
              <w:pStyle w:val="Tablehead"/>
              <w:framePr w:hSpace="181" w:wrap="around" w:vAnchor="text" w:hAnchor="margin" w:xAlign="center" w:y="1"/>
              <w:rPr>
                <w:rFonts w:ascii="Arial" w:hAnsi="Arial" w:cs="Arial"/>
                <w:color w:val="000000"/>
                <w:sz w:val="22"/>
                <w:szCs w:val="22"/>
              </w:rPr>
            </w:pPr>
            <w:r w:rsidRPr="009251D6">
              <w:rPr>
                <w:rFonts w:ascii="Arial" w:hAnsi="Arial" w:cs="Arial"/>
                <w:color w:val="000000"/>
                <w:sz w:val="22"/>
                <w:szCs w:val="22"/>
              </w:rPr>
              <w:t>Allocation to services</w:t>
            </w:r>
          </w:p>
        </w:tc>
      </w:tr>
      <w:tr w:rsidR="004E28B9" w:rsidRPr="009251D6" w:rsidTr="00C07E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099" w:type="dxa"/>
          </w:tcPr>
          <w:p w:rsidR="004E28B9" w:rsidRPr="009251D6" w:rsidRDefault="004E28B9" w:rsidP="00C07ED9">
            <w:pPr>
              <w:pStyle w:val="Tablehead"/>
              <w:framePr w:hSpace="181" w:wrap="around" w:vAnchor="text" w:hAnchor="margin" w:xAlign="center" w:y="1"/>
              <w:rPr>
                <w:rFonts w:ascii="Arial" w:hAnsi="Arial" w:cs="Arial"/>
                <w:color w:val="000000"/>
                <w:sz w:val="22"/>
                <w:szCs w:val="22"/>
              </w:rPr>
            </w:pPr>
            <w:r w:rsidRPr="009251D6">
              <w:rPr>
                <w:rFonts w:ascii="Arial" w:hAnsi="Arial" w:cs="Arial"/>
                <w:color w:val="000000"/>
                <w:sz w:val="22"/>
                <w:szCs w:val="22"/>
              </w:rPr>
              <w:t>Region 1</w:t>
            </w:r>
          </w:p>
        </w:tc>
        <w:tc>
          <w:tcPr>
            <w:tcW w:w="3101" w:type="dxa"/>
            <w:gridSpan w:val="2"/>
          </w:tcPr>
          <w:p w:rsidR="004E28B9" w:rsidRPr="009251D6" w:rsidRDefault="004E28B9" w:rsidP="00C07ED9">
            <w:pPr>
              <w:pStyle w:val="Tablehead"/>
              <w:framePr w:hSpace="181" w:wrap="around" w:vAnchor="text" w:hAnchor="margin" w:xAlign="center" w:y="1"/>
              <w:rPr>
                <w:rFonts w:ascii="Arial" w:hAnsi="Arial" w:cs="Arial"/>
                <w:color w:val="000000"/>
                <w:sz w:val="22"/>
                <w:szCs w:val="22"/>
              </w:rPr>
            </w:pPr>
            <w:r w:rsidRPr="009251D6">
              <w:rPr>
                <w:rFonts w:ascii="Arial" w:hAnsi="Arial" w:cs="Arial"/>
                <w:color w:val="000000"/>
                <w:sz w:val="22"/>
                <w:szCs w:val="22"/>
              </w:rPr>
              <w:t>Region 2</w:t>
            </w:r>
          </w:p>
        </w:tc>
        <w:tc>
          <w:tcPr>
            <w:tcW w:w="3104" w:type="dxa"/>
          </w:tcPr>
          <w:p w:rsidR="004E28B9" w:rsidRPr="009251D6" w:rsidRDefault="004E28B9" w:rsidP="00C07ED9">
            <w:pPr>
              <w:pStyle w:val="Tablehead"/>
              <w:framePr w:hSpace="181" w:wrap="around" w:vAnchor="text" w:hAnchor="margin" w:xAlign="center" w:y="1"/>
              <w:rPr>
                <w:rFonts w:ascii="Arial" w:hAnsi="Arial" w:cs="Arial"/>
                <w:color w:val="000000"/>
                <w:sz w:val="22"/>
                <w:szCs w:val="22"/>
              </w:rPr>
            </w:pPr>
            <w:r w:rsidRPr="009251D6">
              <w:rPr>
                <w:rFonts w:ascii="Arial" w:hAnsi="Arial" w:cs="Arial"/>
                <w:color w:val="000000"/>
                <w:sz w:val="22"/>
                <w:szCs w:val="22"/>
              </w:rPr>
              <w:t>Region 3</w:t>
            </w:r>
          </w:p>
        </w:tc>
      </w:tr>
      <w:tr w:rsidR="004E28B9" w:rsidRPr="009251D6" w:rsidTr="00C07E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304"/>
        </w:trPr>
        <w:tc>
          <w:tcPr>
            <w:tcW w:w="3111" w:type="dxa"/>
            <w:gridSpan w:val="2"/>
          </w:tcPr>
          <w:p w:rsidR="004E28B9" w:rsidRPr="009251D6" w:rsidRDefault="004E28B9" w:rsidP="00C07ED9">
            <w:pPr>
              <w:pStyle w:val="TableTextS5"/>
              <w:framePr w:hSpace="181" w:wrap="around" w:vAnchor="text" w:hAnchor="margin" w:xAlign="center" w:y="1"/>
              <w:spacing w:line="220" w:lineRule="exact"/>
              <w:rPr>
                <w:rFonts w:ascii="Arial" w:hAnsi="Arial" w:cs="Arial"/>
                <w:color w:val="000000"/>
                <w:sz w:val="22"/>
                <w:szCs w:val="22"/>
                <w:lang w:val="en-US"/>
              </w:rPr>
            </w:pPr>
            <w:r w:rsidRPr="009251D6">
              <w:rPr>
                <w:rStyle w:val="Tablefreq"/>
                <w:rFonts w:ascii="Arial" w:hAnsi="Arial" w:cs="Arial"/>
                <w:color w:val="000000"/>
                <w:sz w:val="22"/>
                <w:szCs w:val="22"/>
                <w:lang w:val="en-US"/>
              </w:rPr>
              <w:t>1 452-1 492</w:t>
            </w:r>
          </w:p>
          <w:p w:rsidR="004E28B9" w:rsidRPr="009251D6" w:rsidRDefault="004E28B9" w:rsidP="00C07ED9">
            <w:pPr>
              <w:pStyle w:val="TableTextS5"/>
              <w:framePr w:hSpace="181" w:wrap="around" w:vAnchor="text" w:hAnchor="margin" w:xAlign="center" w:y="1"/>
              <w:spacing w:line="220" w:lineRule="exact"/>
              <w:rPr>
                <w:rFonts w:ascii="Arial" w:hAnsi="Arial" w:cs="Arial"/>
                <w:color w:val="000000"/>
                <w:sz w:val="22"/>
                <w:szCs w:val="22"/>
                <w:lang w:val="en-US"/>
              </w:rPr>
            </w:pPr>
            <w:r w:rsidRPr="009251D6">
              <w:rPr>
                <w:rFonts w:ascii="Arial" w:hAnsi="Arial" w:cs="Arial"/>
                <w:color w:val="000000"/>
                <w:sz w:val="22"/>
                <w:szCs w:val="22"/>
                <w:lang w:val="en-US"/>
              </w:rPr>
              <w:t>FIXED</w:t>
            </w:r>
          </w:p>
          <w:p w:rsidR="004E28B9" w:rsidRPr="009251D6" w:rsidRDefault="004E28B9" w:rsidP="00C07ED9">
            <w:pPr>
              <w:pStyle w:val="TableTextS5"/>
              <w:framePr w:hSpace="181" w:wrap="around" w:vAnchor="text" w:hAnchor="margin" w:xAlign="center" w:y="1"/>
              <w:spacing w:line="220" w:lineRule="exact"/>
              <w:ind w:left="170" w:hanging="170"/>
              <w:rPr>
                <w:rFonts w:ascii="Arial" w:hAnsi="Arial" w:cs="Arial"/>
                <w:color w:val="000000"/>
                <w:sz w:val="22"/>
                <w:szCs w:val="22"/>
                <w:lang w:val="en-US"/>
              </w:rPr>
            </w:pPr>
            <w:r w:rsidRPr="009251D6">
              <w:rPr>
                <w:rFonts w:ascii="Arial" w:hAnsi="Arial" w:cs="Arial"/>
                <w:color w:val="000000"/>
                <w:sz w:val="22"/>
                <w:szCs w:val="22"/>
                <w:lang w:val="en-US"/>
              </w:rPr>
              <w:t>MOBILE except aeronautical</w:t>
            </w:r>
            <w:r w:rsidRPr="009251D6">
              <w:rPr>
                <w:rFonts w:ascii="Arial" w:hAnsi="Arial" w:cs="Arial"/>
                <w:color w:val="000000"/>
                <w:sz w:val="22"/>
                <w:szCs w:val="22"/>
                <w:lang w:val="en-US"/>
              </w:rPr>
              <w:br/>
              <w:t>mobile</w:t>
            </w:r>
          </w:p>
          <w:p w:rsidR="004E28B9" w:rsidRPr="009251D6" w:rsidRDefault="004E28B9" w:rsidP="00C07ED9">
            <w:pPr>
              <w:pStyle w:val="TableTextS5"/>
              <w:framePr w:hSpace="181" w:wrap="around" w:vAnchor="text" w:hAnchor="margin" w:xAlign="center" w:y="1"/>
              <w:spacing w:line="220" w:lineRule="exact"/>
              <w:ind w:left="170" w:hanging="170"/>
              <w:rPr>
                <w:rFonts w:ascii="Arial" w:hAnsi="Arial" w:cs="Arial"/>
                <w:color w:val="000000"/>
                <w:sz w:val="22"/>
                <w:szCs w:val="22"/>
                <w:lang w:val="en-US"/>
              </w:rPr>
            </w:pPr>
            <w:r w:rsidRPr="009251D6">
              <w:rPr>
                <w:rFonts w:ascii="Arial" w:hAnsi="Arial" w:cs="Arial"/>
                <w:color w:val="000000"/>
                <w:sz w:val="22"/>
                <w:szCs w:val="22"/>
                <w:lang w:val="en-US"/>
              </w:rPr>
              <w:t xml:space="preserve">BROADCASTING  </w:t>
            </w:r>
            <w:r w:rsidRPr="009251D6">
              <w:rPr>
                <w:rStyle w:val="Artref"/>
                <w:rFonts w:ascii="Arial" w:hAnsi="Arial" w:cs="Arial"/>
                <w:color w:val="000000"/>
                <w:sz w:val="22"/>
                <w:szCs w:val="22"/>
                <w:lang w:val="en-US"/>
              </w:rPr>
              <w:t>5.345</w:t>
            </w:r>
          </w:p>
          <w:p w:rsidR="004E28B9" w:rsidRPr="009251D6" w:rsidRDefault="004E28B9" w:rsidP="00C07ED9">
            <w:pPr>
              <w:pStyle w:val="TableTextS5"/>
              <w:framePr w:hSpace="181" w:wrap="around" w:vAnchor="text" w:hAnchor="margin" w:xAlign="center" w:y="1"/>
              <w:spacing w:line="220" w:lineRule="exact"/>
              <w:ind w:left="170" w:hanging="170"/>
              <w:rPr>
                <w:rFonts w:ascii="Arial" w:hAnsi="Arial" w:cs="Arial"/>
                <w:color w:val="000000"/>
                <w:sz w:val="22"/>
                <w:szCs w:val="22"/>
                <w:lang w:val="en-US"/>
              </w:rPr>
            </w:pPr>
            <w:r w:rsidRPr="009251D6">
              <w:rPr>
                <w:rFonts w:ascii="Arial" w:hAnsi="Arial" w:cs="Arial"/>
                <w:color w:val="000000"/>
                <w:sz w:val="22"/>
                <w:szCs w:val="22"/>
                <w:lang w:val="en-US"/>
              </w:rPr>
              <w:t xml:space="preserve">BROADCASTING-SATELLITE  </w:t>
            </w:r>
            <w:r w:rsidRPr="009251D6">
              <w:rPr>
                <w:rStyle w:val="Artref"/>
                <w:rFonts w:ascii="Arial" w:hAnsi="Arial" w:cs="Arial"/>
                <w:color w:val="000000"/>
                <w:sz w:val="22"/>
                <w:szCs w:val="22"/>
                <w:lang w:val="en-US"/>
              </w:rPr>
              <w:t>5.208B  5.345</w:t>
            </w:r>
          </w:p>
          <w:p w:rsidR="004E28B9" w:rsidRPr="009251D6" w:rsidRDefault="004E28B9" w:rsidP="00C07ED9">
            <w:pPr>
              <w:pStyle w:val="TableTextS5"/>
              <w:framePr w:hSpace="181" w:wrap="around" w:vAnchor="text" w:hAnchor="margin" w:xAlign="center" w:y="1"/>
              <w:spacing w:line="220" w:lineRule="exact"/>
              <w:rPr>
                <w:rFonts w:ascii="Arial" w:hAnsi="Arial" w:cs="Arial"/>
                <w:color w:val="000000"/>
                <w:sz w:val="22"/>
                <w:szCs w:val="22"/>
              </w:rPr>
            </w:pPr>
            <w:r w:rsidRPr="009251D6">
              <w:rPr>
                <w:rStyle w:val="Artref"/>
                <w:rFonts w:ascii="Arial" w:hAnsi="Arial" w:cs="Arial"/>
                <w:color w:val="000000"/>
                <w:sz w:val="22"/>
                <w:szCs w:val="22"/>
              </w:rPr>
              <w:t>5.341</w:t>
            </w:r>
            <w:r w:rsidRPr="009251D6">
              <w:rPr>
                <w:rFonts w:ascii="Arial" w:hAnsi="Arial" w:cs="Arial"/>
                <w:sz w:val="22"/>
                <w:szCs w:val="22"/>
              </w:rPr>
              <w:t xml:space="preserve">  </w:t>
            </w:r>
            <w:r w:rsidRPr="009251D6">
              <w:rPr>
                <w:rStyle w:val="Artref"/>
                <w:rFonts w:ascii="Arial" w:hAnsi="Arial" w:cs="Arial"/>
                <w:color w:val="000000"/>
                <w:sz w:val="22"/>
                <w:szCs w:val="22"/>
              </w:rPr>
              <w:t>5.342</w:t>
            </w:r>
          </w:p>
        </w:tc>
        <w:tc>
          <w:tcPr>
            <w:tcW w:w="6193" w:type="dxa"/>
            <w:gridSpan w:val="2"/>
          </w:tcPr>
          <w:p w:rsidR="004E28B9" w:rsidRPr="009251D6" w:rsidRDefault="004E28B9" w:rsidP="00C07ED9">
            <w:pPr>
              <w:pStyle w:val="TableTextS5"/>
              <w:framePr w:hSpace="181" w:wrap="around" w:vAnchor="text" w:hAnchor="margin" w:xAlign="center" w:y="1"/>
              <w:spacing w:line="220" w:lineRule="exact"/>
              <w:rPr>
                <w:rFonts w:ascii="Arial" w:hAnsi="Arial" w:cs="Arial"/>
                <w:color w:val="000000"/>
                <w:sz w:val="22"/>
                <w:szCs w:val="22"/>
                <w:lang w:val="en-US"/>
              </w:rPr>
            </w:pPr>
            <w:r w:rsidRPr="009251D6">
              <w:rPr>
                <w:rStyle w:val="Tablefreq"/>
                <w:rFonts w:ascii="Arial" w:hAnsi="Arial" w:cs="Arial"/>
                <w:color w:val="000000"/>
                <w:sz w:val="22"/>
                <w:szCs w:val="22"/>
                <w:lang w:val="en-US"/>
              </w:rPr>
              <w:t>1 452-1 492</w:t>
            </w:r>
          </w:p>
          <w:p w:rsidR="004E28B9" w:rsidRPr="009251D6" w:rsidRDefault="004E28B9" w:rsidP="00C07ED9">
            <w:pPr>
              <w:pStyle w:val="TableTextS5"/>
              <w:framePr w:hSpace="181" w:wrap="around" w:vAnchor="text" w:hAnchor="margin" w:xAlign="center" w:y="1"/>
              <w:spacing w:line="220" w:lineRule="exact"/>
              <w:ind w:left="907" w:hanging="448"/>
              <w:rPr>
                <w:rFonts w:ascii="Arial" w:hAnsi="Arial" w:cs="Arial"/>
                <w:color w:val="000000"/>
                <w:sz w:val="22"/>
                <w:szCs w:val="22"/>
                <w:lang w:val="en-US"/>
              </w:rPr>
            </w:pPr>
            <w:r w:rsidRPr="009251D6">
              <w:rPr>
                <w:rFonts w:ascii="Arial" w:hAnsi="Arial" w:cs="Arial"/>
                <w:color w:val="000000"/>
                <w:sz w:val="22"/>
                <w:szCs w:val="22"/>
                <w:lang w:val="en-US"/>
              </w:rPr>
              <w:t>FIXED</w:t>
            </w:r>
          </w:p>
          <w:p w:rsidR="004E28B9" w:rsidRPr="009251D6" w:rsidRDefault="004E28B9" w:rsidP="00C07ED9">
            <w:pPr>
              <w:pStyle w:val="TableTextS5"/>
              <w:framePr w:hSpace="181" w:wrap="around" w:vAnchor="text" w:hAnchor="margin" w:xAlign="center" w:y="1"/>
              <w:spacing w:line="220" w:lineRule="exact"/>
              <w:ind w:left="907" w:hanging="448"/>
              <w:rPr>
                <w:rFonts w:ascii="Arial" w:hAnsi="Arial" w:cs="Arial"/>
                <w:color w:val="000000"/>
                <w:sz w:val="22"/>
                <w:szCs w:val="22"/>
                <w:lang w:val="en-US"/>
              </w:rPr>
            </w:pPr>
            <w:r w:rsidRPr="009251D6">
              <w:rPr>
                <w:rFonts w:ascii="Arial" w:hAnsi="Arial" w:cs="Arial"/>
                <w:color w:val="000000"/>
                <w:sz w:val="22"/>
                <w:szCs w:val="22"/>
                <w:lang w:val="en-US"/>
              </w:rPr>
              <w:t xml:space="preserve">MOBILE  </w:t>
            </w:r>
            <w:r w:rsidRPr="009251D6">
              <w:rPr>
                <w:rStyle w:val="Artref"/>
                <w:rFonts w:ascii="Arial" w:hAnsi="Arial" w:cs="Arial"/>
                <w:color w:val="000000"/>
                <w:sz w:val="22"/>
                <w:szCs w:val="22"/>
                <w:lang w:val="en-US"/>
              </w:rPr>
              <w:t>5.343</w:t>
            </w:r>
          </w:p>
          <w:p w:rsidR="004E28B9" w:rsidRPr="009251D6" w:rsidRDefault="004E28B9" w:rsidP="00C07ED9">
            <w:pPr>
              <w:pStyle w:val="TableTextS5"/>
              <w:framePr w:hSpace="181" w:wrap="around" w:vAnchor="text" w:hAnchor="margin" w:xAlign="center" w:y="1"/>
              <w:spacing w:line="220" w:lineRule="exact"/>
              <w:ind w:left="907" w:hanging="448"/>
              <w:rPr>
                <w:rFonts w:ascii="Arial" w:hAnsi="Arial" w:cs="Arial"/>
                <w:color w:val="000000"/>
                <w:sz w:val="22"/>
                <w:szCs w:val="22"/>
                <w:lang w:val="en-US"/>
              </w:rPr>
            </w:pPr>
            <w:r w:rsidRPr="009251D6">
              <w:rPr>
                <w:rFonts w:ascii="Arial" w:hAnsi="Arial" w:cs="Arial"/>
                <w:color w:val="000000"/>
                <w:sz w:val="22"/>
                <w:szCs w:val="22"/>
                <w:lang w:val="en-US"/>
              </w:rPr>
              <w:t xml:space="preserve">BROADCASTING  </w:t>
            </w:r>
            <w:r w:rsidRPr="009251D6">
              <w:rPr>
                <w:rStyle w:val="Artref"/>
                <w:rFonts w:ascii="Arial" w:hAnsi="Arial" w:cs="Arial"/>
                <w:color w:val="000000"/>
                <w:sz w:val="22"/>
                <w:szCs w:val="22"/>
                <w:lang w:val="en-US"/>
              </w:rPr>
              <w:t>5.345</w:t>
            </w:r>
          </w:p>
          <w:p w:rsidR="004E28B9" w:rsidRPr="009251D6" w:rsidRDefault="004E28B9" w:rsidP="00C07ED9">
            <w:pPr>
              <w:pStyle w:val="TableTextS5"/>
              <w:framePr w:hSpace="181" w:wrap="around" w:vAnchor="text" w:hAnchor="margin" w:xAlign="center" w:y="1"/>
              <w:spacing w:line="220" w:lineRule="exact"/>
              <w:ind w:left="907" w:hanging="448"/>
              <w:rPr>
                <w:rFonts w:ascii="Arial" w:hAnsi="Arial" w:cs="Arial"/>
                <w:color w:val="000000"/>
                <w:sz w:val="22"/>
                <w:szCs w:val="22"/>
                <w:lang w:val="en-US"/>
              </w:rPr>
            </w:pPr>
            <w:r w:rsidRPr="009251D6">
              <w:rPr>
                <w:rFonts w:ascii="Arial" w:hAnsi="Arial" w:cs="Arial"/>
                <w:color w:val="000000"/>
                <w:sz w:val="22"/>
                <w:szCs w:val="22"/>
                <w:lang w:val="en-US"/>
              </w:rPr>
              <w:t xml:space="preserve">BROADCASTING-SATELLITE  5.208B  </w:t>
            </w:r>
            <w:r w:rsidRPr="009251D6">
              <w:rPr>
                <w:rStyle w:val="Artref"/>
                <w:rFonts w:ascii="Arial" w:hAnsi="Arial" w:cs="Arial"/>
                <w:color w:val="000000"/>
                <w:sz w:val="22"/>
                <w:szCs w:val="22"/>
                <w:lang w:val="en-US"/>
              </w:rPr>
              <w:t>5.345</w:t>
            </w:r>
          </w:p>
          <w:p w:rsidR="004E28B9" w:rsidRPr="009251D6" w:rsidRDefault="004E28B9" w:rsidP="00C07ED9">
            <w:pPr>
              <w:pStyle w:val="TableTextS5"/>
              <w:framePr w:hSpace="181" w:wrap="around" w:vAnchor="text" w:hAnchor="margin" w:xAlign="center" w:y="1"/>
              <w:spacing w:line="220" w:lineRule="exact"/>
              <w:ind w:left="459"/>
              <w:rPr>
                <w:rFonts w:ascii="Arial" w:hAnsi="Arial" w:cs="Arial"/>
                <w:color w:val="000000"/>
                <w:sz w:val="22"/>
                <w:szCs w:val="22"/>
              </w:rPr>
            </w:pPr>
            <w:r w:rsidRPr="009251D6">
              <w:rPr>
                <w:rStyle w:val="Artref"/>
                <w:rFonts w:ascii="Arial" w:hAnsi="Arial" w:cs="Arial"/>
                <w:color w:val="000000"/>
                <w:sz w:val="22"/>
                <w:szCs w:val="22"/>
                <w:lang w:val="en-US"/>
              </w:rPr>
              <w:br/>
            </w:r>
            <w:r w:rsidRPr="009251D6">
              <w:rPr>
                <w:rStyle w:val="Artref"/>
                <w:rFonts w:ascii="Arial" w:hAnsi="Arial" w:cs="Arial"/>
                <w:color w:val="000000"/>
                <w:sz w:val="22"/>
                <w:szCs w:val="22"/>
                <w:lang w:val="en-US"/>
              </w:rPr>
              <w:br/>
            </w:r>
            <w:r w:rsidRPr="009251D6">
              <w:rPr>
                <w:rStyle w:val="Artref"/>
                <w:rFonts w:ascii="Arial" w:hAnsi="Arial" w:cs="Arial"/>
                <w:color w:val="000000"/>
                <w:sz w:val="22"/>
                <w:szCs w:val="22"/>
              </w:rPr>
              <w:t>5.341</w:t>
            </w:r>
            <w:r w:rsidRPr="009251D6">
              <w:rPr>
                <w:rFonts w:ascii="Arial" w:hAnsi="Arial" w:cs="Arial"/>
                <w:color w:val="000000"/>
                <w:sz w:val="22"/>
                <w:szCs w:val="22"/>
              </w:rPr>
              <w:t xml:space="preserve">  </w:t>
            </w:r>
            <w:r w:rsidRPr="009251D6">
              <w:rPr>
                <w:rStyle w:val="Artref"/>
                <w:rFonts w:ascii="Arial" w:hAnsi="Arial" w:cs="Arial"/>
                <w:color w:val="000000"/>
                <w:sz w:val="22"/>
                <w:szCs w:val="22"/>
              </w:rPr>
              <w:t>5.344</w:t>
            </w:r>
          </w:p>
        </w:tc>
      </w:tr>
    </w:tbl>
    <w:p w:rsidR="004E28B9" w:rsidRPr="009251D6" w:rsidRDefault="004E28B9" w:rsidP="009251D6">
      <w:pPr>
        <w:pStyle w:val="Note0"/>
        <w:tabs>
          <w:tab w:val="left" w:pos="-360"/>
        </w:tabs>
        <w:rPr>
          <w:rFonts w:ascii="Arial" w:hAnsi="Arial" w:cs="Arial"/>
          <w:color w:val="000000"/>
          <w:sz w:val="22"/>
          <w:szCs w:val="22"/>
          <w:lang w:val="nl-NL"/>
        </w:rPr>
      </w:pPr>
      <w:r w:rsidRPr="009251D6">
        <w:rPr>
          <w:rStyle w:val="Artdef"/>
          <w:rFonts w:ascii="Arial" w:hAnsi="Arial" w:cs="Arial"/>
          <w:color w:val="000000"/>
          <w:sz w:val="22"/>
          <w:szCs w:val="22"/>
          <w:lang w:val="nl-NL"/>
        </w:rPr>
        <w:t>5.208B</w:t>
      </w:r>
      <w:r w:rsidRPr="009251D6">
        <w:rPr>
          <w:rStyle w:val="FootnoteReference"/>
          <w:rFonts w:ascii="Arial" w:hAnsi="Arial" w:cs="Arial"/>
          <w:b/>
          <w:color w:val="000000"/>
          <w:sz w:val="22"/>
          <w:szCs w:val="22"/>
          <w:lang w:val="nl-NL"/>
        </w:rPr>
        <w:footnoteReference w:customMarkFollows="1" w:id="8"/>
        <w:t>*</w:t>
      </w:r>
      <w:r w:rsidRPr="009251D6">
        <w:rPr>
          <w:rFonts w:ascii="Arial" w:hAnsi="Arial" w:cs="Arial"/>
          <w:color w:val="000000"/>
          <w:sz w:val="22"/>
          <w:szCs w:val="22"/>
          <w:lang w:val="nl-NL"/>
        </w:rPr>
        <w:tab/>
        <w:t>In the bands:</w:t>
      </w:r>
    </w:p>
    <w:p w:rsidR="004E28B9" w:rsidRPr="009251D6" w:rsidRDefault="004E28B9" w:rsidP="009251D6">
      <w:pPr>
        <w:pStyle w:val="Note0"/>
        <w:tabs>
          <w:tab w:val="clear" w:pos="284"/>
          <w:tab w:val="left" w:pos="-360"/>
        </w:tabs>
        <w:jc w:val="left"/>
        <w:rPr>
          <w:rFonts w:ascii="Arial" w:hAnsi="Arial" w:cs="Arial"/>
          <w:color w:val="000000"/>
          <w:sz w:val="22"/>
          <w:szCs w:val="22"/>
          <w:lang w:val="nl-NL"/>
        </w:rPr>
      </w:pPr>
      <w:r w:rsidRPr="009251D6">
        <w:rPr>
          <w:rFonts w:ascii="Arial" w:hAnsi="Arial" w:cs="Arial"/>
          <w:color w:val="000000"/>
          <w:sz w:val="22"/>
          <w:szCs w:val="22"/>
          <w:lang w:val="nl-NL"/>
        </w:rPr>
        <w:tab/>
        <w:t>137-138 MHz,</w:t>
      </w:r>
      <w:r w:rsidRPr="009251D6">
        <w:rPr>
          <w:rFonts w:ascii="Arial" w:hAnsi="Arial" w:cs="Arial"/>
          <w:color w:val="000000"/>
          <w:sz w:val="22"/>
          <w:szCs w:val="22"/>
          <w:lang w:val="nl-NL"/>
        </w:rPr>
        <w:br/>
      </w:r>
      <w:r w:rsidRPr="009251D6">
        <w:rPr>
          <w:rFonts w:ascii="Arial" w:hAnsi="Arial" w:cs="Arial"/>
          <w:color w:val="000000"/>
          <w:sz w:val="22"/>
          <w:szCs w:val="22"/>
          <w:lang w:val="nl-NL"/>
        </w:rPr>
        <w:tab/>
        <w:t>387-390 MHz,</w:t>
      </w:r>
      <w:r w:rsidRPr="009251D6">
        <w:rPr>
          <w:rFonts w:ascii="Arial" w:hAnsi="Arial" w:cs="Arial"/>
          <w:color w:val="000000"/>
          <w:sz w:val="22"/>
          <w:szCs w:val="22"/>
          <w:lang w:val="nl-NL"/>
        </w:rPr>
        <w:br/>
      </w:r>
      <w:r w:rsidRPr="009251D6">
        <w:rPr>
          <w:rFonts w:ascii="Arial" w:hAnsi="Arial" w:cs="Arial"/>
          <w:color w:val="000000"/>
          <w:sz w:val="22"/>
          <w:szCs w:val="22"/>
          <w:lang w:val="nl-NL"/>
        </w:rPr>
        <w:tab/>
        <w:t>400.15-401 MHz,</w:t>
      </w:r>
      <w:r w:rsidRPr="009251D6">
        <w:rPr>
          <w:rFonts w:ascii="Arial" w:hAnsi="Arial" w:cs="Arial"/>
          <w:color w:val="000000"/>
          <w:sz w:val="22"/>
          <w:szCs w:val="22"/>
          <w:lang w:val="nl-NL"/>
        </w:rPr>
        <w:br/>
      </w:r>
      <w:r w:rsidRPr="009251D6">
        <w:rPr>
          <w:rFonts w:ascii="Arial" w:hAnsi="Arial" w:cs="Arial"/>
          <w:color w:val="000000"/>
          <w:sz w:val="22"/>
          <w:szCs w:val="22"/>
          <w:lang w:val="nl-NL"/>
        </w:rPr>
        <w:tab/>
        <w:t>1 452-1 492 MHz,</w:t>
      </w:r>
      <w:r w:rsidRPr="009251D6">
        <w:rPr>
          <w:rFonts w:ascii="Arial" w:hAnsi="Arial" w:cs="Arial"/>
          <w:color w:val="000000"/>
          <w:sz w:val="22"/>
          <w:szCs w:val="22"/>
          <w:lang w:val="nl-NL"/>
        </w:rPr>
        <w:br/>
      </w:r>
      <w:r w:rsidRPr="009251D6">
        <w:rPr>
          <w:rFonts w:ascii="Arial" w:hAnsi="Arial" w:cs="Arial"/>
          <w:color w:val="000000"/>
          <w:sz w:val="22"/>
          <w:szCs w:val="22"/>
          <w:lang w:val="nl-NL"/>
        </w:rPr>
        <w:tab/>
        <w:t>1 525-1 610 MHz,</w:t>
      </w:r>
      <w:r w:rsidRPr="009251D6">
        <w:rPr>
          <w:rFonts w:ascii="Arial" w:hAnsi="Arial" w:cs="Arial"/>
          <w:color w:val="000000"/>
          <w:sz w:val="22"/>
          <w:szCs w:val="22"/>
          <w:lang w:val="nl-NL"/>
        </w:rPr>
        <w:br/>
      </w:r>
      <w:r w:rsidRPr="009251D6">
        <w:rPr>
          <w:rFonts w:ascii="Arial" w:hAnsi="Arial" w:cs="Arial"/>
          <w:color w:val="000000"/>
          <w:sz w:val="22"/>
          <w:szCs w:val="22"/>
          <w:lang w:val="nl-NL"/>
        </w:rPr>
        <w:tab/>
        <w:t>1 613.8-1 626.5 MHz,</w:t>
      </w:r>
      <w:r w:rsidRPr="009251D6">
        <w:rPr>
          <w:rFonts w:ascii="Arial" w:hAnsi="Arial" w:cs="Arial"/>
          <w:color w:val="000000"/>
          <w:sz w:val="22"/>
          <w:szCs w:val="22"/>
          <w:lang w:val="nl-NL"/>
        </w:rPr>
        <w:br/>
      </w:r>
      <w:r w:rsidRPr="009251D6">
        <w:rPr>
          <w:rFonts w:ascii="Arial" w:hAnsi="Arial" w:cs="Arial"/>
          <w:color w:val="000000"/>
          <w:sz w:val="22"/>
          <w:szCs w:val="22"/>
          <w:lang w:val="nl-NL"/>
        </w:rPr>
        <w:tab/>
        <w:t>2 655-2 690 MHz,</w:t>
      </w:r>
      <w:r w:rsidRPr="009251D6">
        <w:rPr>
          <w:rFonts w:ascii="Arial" w:hAnsi="Arial" w:cs="Arial"/>
          <w:color w:val="000000"/>
          <w:sz w:val="22"/>
          <w:szCs w:val="22"/>
          <w:lang w:val="nl-NL"/>
        </w:rPr>
        <w:br/>
      </w:r>
      <w:r w:rsidRPr="009251D6">
        <w:rPr>
          <w:rFonts w:ascii="Arial" w:hAnsi="Arial" w:cs="Arial"/>
          <w:color w:val="000000"/>
          <w:sz w:val="22"/>
          <w:szCs w:val="22"/>
          <w:lang w:val="nl-NL"/>
        </w:rPr>
        <w:tab/>
        <w:t>21.4-22 GHz,</w:t>
      </w:r>
    </w:p>
    <w:p w:rsidR="004E28B9" w:rsidRDefault="004E28B9" w:rsidP="009251D6">
      <w:pPr>
        <w:pStyle w:val="Note0"/>
        <w:rPr>
          <w:rFonts w:ascii="Arial" w:hAnsi="Arial" w:cs="Arial"/>
          <w:sz w:val="22"/>
          <w:szCs w:val="22"/>
          <w:lang w:val="en-US"/>
        </w:rPr>
      </w:pPr>
      <w:r w:rsidRPr="009251D6">
        <w:rPr>
          <w:rFonts w:ascii="Arial" w:hAnsi="Arial" w:cs="Arial"/>
          <w:sz w:val="22"/>
          <w:szCs w:val="22"/>
          <w:lang w:val="en-US"/>
        </w:rPr>
        <w:t xml:space="preserve">Resolution </w:t>
      </w:r>
      <w:r w:rsidRPr="009251D6">
        <w:rPr>
          <w:rFonts w:ascii="Arial" w:hAnsi="Arial" w:cs="Arial"/>
          <w:b/>
          <w:bCs/>
          <w:sz w:val="22"/>
          <w:szCs w:val="22"/>
          <w:lang w:val="en-US"/>
        </w:rPr>
        <w:t>739</w:t>
      </w:r>
      <w:r w:rsidRPr="009251D6">
        <w:rPr>
          <w:rFonts w:ascii="Arial" w:hAnsi="Arial" w:cs="Arial"/>
          <w:sz w:val="22"/>
          <w:szCs w:val="22"/>
          <w:lang w:val="en-US"/>
        </w:rPr>
        <w:t xml:space="preserve"> </w:t>
      </w:r>
      <w:r w:rsidRPr="009251D6">
        <w:rPr>
          <w:rFonts w:ascii="Arial" w:hAnsi="Arial" w:cs="Arial"/>
          <w:b/>
          <w:bCs/>
          <w:sz w:val="22"/>
          <w:szCs w:val="22"/>
          <w:lang w:val="en-US"/>
        </w:rPr>
        <w:t>(Rev.WRC-07)</w:t>
      </w:r>
      <w:r w:rsidRPr="009251D6">
        <w:rPr>
          <w:rFonts w:ascii="Arial" w:hAnsi="Arial" w:cs="Arial"/>
          <w:sz w:val="22"/>
          <w:szCs w:val="22"/>
          <w:lang w:val="en-US"/>
        </w:rPr>
        <w:t xml:space="preserve"> applies.     (WRC-07)</w:t>
      </w:r>
    </w:p>
    <w:p w:rsidR="004E28B9" w:rsidRPr="009251D6" w:rsidRDefault="004E28B9" w:rsidP="009251D6">
      <w:pPr>
        <w:pStyle w:val="Note0"/>
        <w:rPr>
          <w:rFonts w:ascii="Arial" w:hAnsi="Arial" w:cs="Arial"/>
          <w:color w:val="000000"/>
          <w:sz w:val="22"/>
          <w:szCs w:val="22"/>
          <w:lang w:val="en-AU"/>
        </w:rPr>
      </w:pPr>
      <w:r w:rsidRPr="009251D6">
        <w:rPr>
          <w:rStyle w:val="Artdef"/>
          <w:rFonts w:ascii="Arial" w:hAnsi="Arial" w:cs="Arial"/>
          <w:color w:val="000000"/>
          <w:sz w:val="22"/>
          <w:szCs w:val="22"/>
          <w:lang w:val="en-AU"/>
        </w:rPr>
        <w:t>5.341</w:t>
      </w:r>
      <w:r w:rsidRPr="009251D6">
        <w:rPr>
          <w:rStyle w:val="Artdef"/>
          <w:rFonts w:ascii="Arial" w:hAnsi="Arial" w:cs="Arial"/>
          <w:color w:val="000000"/>
          <w:sz w:val="22"/>
          <w:szCs w:val="22"/>
          <w:lang w:val="en-AU"/>
        </w:rPr>
        <w:tab/>
      </w:r>
      <w:r w:rsidRPr="009251D6">
        <w:rPr>
          <w:rFonts w:ascii="Arial" w:hAnsi="Arial" w:cs="Arial"/>
          <w:color w:val="000000"/>
          <w:sz w:val="22"/>
          <w:szCs w:val="22"/>
          <w:lang w:val="en-AU"/>
        </w:rPr>
        <w:t>In the bands 1 400-1 727 MHz, 101-120 GHz and 197-220 GHz, passive research is being conducted by some countries in a programme for the search for intentional emissions of extraterrestrial origin.</w:t>
      </w:r>
    </w:p>
    <w:p w:rsidR="004E28B9" w:rsidRPr="009251D6" w:rsidRDefault="004E28B9" w:rsidP="009251D6">
      <w:pPr>
        <w:pStyle w:val="Note0"/>
        <w:rPr>
          <w:rFonts w:ascii="Arial" w:hAnsi="Arial" w:cs="Arial"/>
          <w:color w:val="000000"/>
          <w:sz w:val="22"/>
          <w:szCs w:val="22"/>
          <w:lang w:val="en-AU"/>
        </w:rPr>
      </w:pPr>
      <w:r w:rsidRPr="009251D6">
        <w:rPr>
          <w:rStyle w:val="Artdef"/>
          <w:rFonts w:ascii="Arial" w:hAnsi="Arial" w:cs="Arial"/>
          <w:color w:val="000000"/>
          <w:sz w:val="22"/>
          <w:szCs w:val="22"/>
          <w:lang w:val="en-AU"/>
        </w:rPr>
        <w:t>5.342</w:t>
      </w:r>
      <w:r w:rsidRPr="009251D6">
        <w:rPr>
          <w:rStyle w:val="Artdef"/>
          <w:rFonts w:ascii="Arial" w:hAnsi="Arial" w:cs="Arial"/>
          <w:color w:val="000000"/>
          <w:sz w:val="22"/>
          <w:szCs w:val="22"/>
          <w:lang w:val="en-AU"/>
        </w:rPr>
        <w:tab/>
      </w:r>
      <w:r w:rsidRPr="009251D6">
        <w:rPr>
          <w:rFonts w:ascii="Arial" w:hAnsi="Arial" w:cs="Arial"/>
          <w:i/>
          <w:iCs/>
          <w:color w:val="000000"/>
          <w:sz w:val="22"/>
          <w:szCs w:val="22"/>
          <w:lang w:val="en-AU"/>
        </w:rPr>
        <w:t>Additional allocation:  </w:t>
      </w:r>
      <w:r w:rsidRPr="009251D6">
        <w:rPr>
          <w:rFonts w:ascii="Arial" w:hAnsi="Arial" w:cs="Arial"/>
          <w:color w:val="000000"/>
          <w:sz w:val="22"/>
          <w:szCs w:val="22"/>
          <w:lang w:val="en-AU"/>
        </w:rPr>
        <w:t xml:space="preserve">in Armenia, Azerbaijan, Belarus, Bulgaria, the Russian Federation, Uzbekistan, Kyrgystan and Ukraine, the band 1 429-1 535 MHz is also allocated to the aeronautical mobile service on a primary basis exclusively for the purposes of aeronautical telemetry within the national territory. As of 1 April 2007, the use of the band 1 452-1 492 MHz is subject to agreement between the administrations concerned. </w:t>
      </w:r>
      <w:r w:rsidRPr="009251D6">
        <w:rPr>
          <w:rFonts w:ascii="Arial" w:hAnsi="Arial" w:cs="Arial"/>
          <w:color w:val="000000"/>
          <w:sz w:val="22"/>
          <w:szCs w:val="22"/>
          <w:lang w:val="en-US"/>
        </w:rPr>
        <w:t>(WRC</w:t>
      </w:r>
      <w:r w:rsidRPr="009251D6">
        <w:rPr>
          <w:rFonts w:ascii="Arial" w:hAnsi="Arial" w:cs="Arial"/>
          <w:color w:val="000000"/>
          <w:sz w:val="22"/>
          <w:szCs w:val="22"/>
          <w:lang w:val="en-US"/>
        </w:rPr>
        <w:noBreakHyphen/>
        <w:t>2000)</w:t>
      </w:r>
    </w:p>
    <w:p w:rsidR="004E28B9" w:rsidRPr="009251D6" w:rsidRDefault="004E28B9" w:rsidP="009251D6">
      <w:pPr>
        <w:pStyle w:val="Note0"/>
        <w:rPr>
          <w:rFonts w:ascii="Arial" w:hAnsi="Arial" w:cs="Arial"/>
          <w:color w:val="000000"/>
          <w:sz w:val="22"/>
          <w:szCs w:val="22"/>
          <w:lang w:val="en-AU"/>
        </w:rPr>
      </w:pPr>
      <w:r w:rsidRPr="009251D6">
        <w:rPr>
          <w:rStyle w:val="Artdef"/>
          <w:rFonts w:ascii="Arial" w:hAnsi="Arial" w:cs="Arial"/>
          <w:color w:val="000000"/>
          <w:sz w:val="22"/>
          <w:szCs w:val="22"/>
          <w:lang w:val="en-AU"/>
        </w:rPr>
        <w:t>5.343</w:t>
      </w:r>
      <w:r w:rsidRPr="009251D6">
        <w:rPr>
          <w:rStyle w:val="Artdef"/>
          <w:rFonts w:ascii="Arial" w:hAnsi="Arial" w:cs="Arial"/>
          <w:color w:val="000000"/>
          <w:sz w:val="22"/>
          <w:szCs w:val="22"/>
          <w:lang w:val="en-AU"/>
        </w:rPr>
        <w:tab/>
      </w:r>
      <w:r w:rsidRPr="009251D6">
        <w:rPr>
          <w:rFonts w:ascii="Arial" w:hAnsi="Arial" w:cs="Arial"/>
          <w:color w:val="000000"/>
          <w:sz w:val="22"/>
          <w:szCs w:val="22"/>
          <w:lang w:val="en-AU"/>
        </w:rPr>
        <w:t>In Region 2, the use of the band 1 435-1 535 MHz by the aeronautical mobile service for telemetry has priority over other uses by the mobile service.</w:t>
      </w:r>
    </w:p>
    <w:p w:rsidR="004E28B9" w:rsidRPr="009251D6" w:rsidRDefault="004E28B9" w:rsidP="009251D6">
      <w:pPr>
        <w:pStyle w:val="Note0"/>
        <w:rPr>
          <w:rFonts w:ascii="Arial" w:hAnsi="Arial" w:cs="Arial"/>
          <w:color w:val="000000"/>
          <w:sz w:val="22"/>
          <w:szCs w:val="22"/>
          <w:lang w:val="en-AU"/>
        </w:rPr>
      </w:pPr>
      <w:r w:rsidRPr="009251D6">
        <w:rPr>
          <w:rStyle w:val="Artdef"/>
          <w:rFonts w:ascii="Arial" w:hAnsi="Arial" w:cs="Arial"/>
          <w:color w:val="000000"/>
          <w:sz w:val="22"/>
          <w:szCs w:val="22"/>
          <w:lang w:val="en-AU"/>
        </w:rPr>
        <w:t>5.344</w:t>
      </w:r>
      <w:r w:rsidRPr="009251D6">
        <w:rPr>
          <w:rStyle w:val="Artdef"/>
          <w:rFonts w:ascii="Arial" w:hAnsi="Arial" w:cs="Arial"/>
          <w:color w:val="000000"/>
          <w:sz w:val="22"/>
          <w:szCs w:val="22"/>
          <w:lang w:val="en-AU"/>
        </w:rPr>
        <w:tab/>
      </w:r>
      <w:r w:rsidRPr="009251D6">
        <w:rPr>
          <w:rFonts w:ascii="Arial" w:hAnsi="Arial" w:cs="Arial"/>
          <w:i/>
          <w:color w:val="000000"/>
          <w:sz w:val="22"/>
          <w:szCs w:val="22"/>
          <w:lang w:val="en-AU"/>
        </w:rPr>
        <w:t>Alternative allocation:  </w:t>
      </w:r>
      <w:r w:rsidRPr="009251D6">
        <w:rPr>
          <w:rFonts w:ascii="Arial" w:hAnsi="Arial" w:cs="Arial"/>
          <w:color w:val="000000"/>
          <w:sz w:val="22"/>
          <w:szCs w:val="22"/>
          <w:lang w:val="en-AU"/>
        </w:rPr>
        <w:t>in the United States, the band 1 452-1 525 MHz is allocated to the fixed and mobile services on a primary basis (see also No. </w:t>
      </w:r>
      <w:r w:rsidRPr="009251D6">
        <w:rPr>
          <w:rStyle w:val="Artref"/>
          <w:rFonts w:ascii="Arial" w:hAnsi="Arial" w:cs="Arial"/>
          <w:b/>
          <w:color w:val="000000"/>
          <w:sz w:val="22"/>
          <w:szCs w:val="22"/>
          <w:lang w:val="en-AU"/>
        </w:rPr>
        <w:t>5.343</w:t>
      </w:r>
      <w:r w:rsidRPr="009251D6">
        <w:rPr>
          <w:rFonts w:ascii="Arial" w:hAnsi="Arial" w:cs="Arial"/>
          <w:color w:val="000000"/>
          <w:sz w:val="22"/>
          <w:szCs w:val="22"/>
          <w:lang w:val="en-AU"/>
        </w:rPr>
        <w:t>).</w:t>
      </w:r>
    </w:p>
    <w:p w:rsidR="004E28B9" w:rsidRPr="009251D6" w:rsidRDefault="004E28B9" w:rsidP="009251D6">
      <w:pPr>
        <w:pStyle w:val="Note0"/>
        <w:rPr>
          <w:rFonts w:ascii="Arial" w:hAnsi="Arial" w:cs="Arial"/>
          <w:color w:val="000000"/>
          <w:sz w:val="22"/>
          <w:szCs w:val="22"/>
          <w:lang w:val="en-AU"/>
        </w:rPr>
      </w:pPr>
      <w:r w:rsidRPr="009251D6">
        <w:rPr>
          <w:rStyle w:val="Artdef"/>
          <w:rFonts w:ascii="Arial" w:hAnsi="Arial" w:cs="Arial"/>
          <w:color w:val="000000"/>
          <w:sz w:val="22"/>
          <w:szCs w:val="22"/>
          <w:lang w:val="en-AU"/>
        </w:rPr>
        <w:t>5.345</w:t>
      </w:r>
      <w:r w:rsidRPr="009251D6">
        <w:rPr>
          <w:rStyle w:val="Artdef"/>
          <w:rFonts w:ascii="Arial" w:hAnsi="Arial" w:cs="Arial"/>
          <w:color w:val="000000"/>
          <w:sz w:val="22"/>
          <w:szCs w:val="22"/>
          <w:lang w:val="en-AU"/>
        </w:rPr>
        <w:tab/>
      </w:r>
      <w:r w:rsidRPr="009251D6">
        <w:rPr>
          <w:rFonts w:ascii="Arial" w:hAnsi="Arial" w:cs="Arial"/>
          <w:color w:val="000000"/>
          <w:sz w:val="22"/>
          <w:szCs w:val="22"/>
          <w:lang w:val="en-AU"/>
        </w:rPr>
        <w:t>Use of the band 1 452-1 492 MHz by the broadcasting-satellite service, and by the broadcasting service, is limited to digital audio broadcasting and is subject to the provisions of Resolution </w:t>
      </w:r>
      <w:r w:rsidRPr="009251D6">
        <w:rPr>
          <w:rStyle w:val="Resref"/>
          <w:rFonts w:ascii="Arial" w:hAnsi="Arial" w:cs="Arial"/>
          <w:b/>
          <w:color w:val="000000"/>
          <w:sz w:val="22"/>
          <w:szCs w:val="22"/>
          <w:lang w:val="en-AU"/>
        </w:rPr>
        <w:t>528</w:t>
      </w:r>
      <w:r w:rsidRPr="009251D6">
        <w:rPr>
          <w:rFonts w:ascii="Arial" w:hAnsi="Arial" w:cs="Arial"/>
          <w:b/>
          <w:color w:val="000000"/>
          <w:sz w:val="22"/>
          <w:szCs w:val="22"/>
          <w:lang w:val="en-AU"/>
        </w:rPr>
        <w:t xml:space="preserve"> (WARC</w:t>
      </w:r>
      <w:r w:rsidRPr="009251D6">
        <w:rPr>
          <w:rFonts w:ascii="Arial" w:hAnsi="Arial" w:cs="Arial"/>
          <w:b/>
          <w:color w:val="000000"/>
          <w:sz w:val="22"/>
          <w:szCs w:val="22"/>
          <w:lang w:val="en-AU"/>
        </w:rPr>
        <w:noBreakHyphen/>
        <w:t>92)</w:t>
      </w:r>
      <w:r w:rsidRPr="009251D6">
        <w:rPr>
          <w:rFonts w:ascii="Arial" w:hAnsi="Arial" w:cs="Arial"/>
          <w:color w:val="000000"/>
          <w:sz w:val="22"/>
          <w:szCs w:val="22"/>
          <w:lang w:val="en-AU"/>
        </w:rPr>
        <w:t>.</w:t>
      </w:r>
    </w:p>
    <w:p w:rsidR="004E28B9" w:rsidRPr="009251D6" w:rsidRDefault="004E28B9" w:rsidP="00C2062E">
      <w:pPr>
        <w:rPr>
          <w:rFonts w:ascii="Arial" w:hAnsi="Arial" w:cs="Arial"/>
          <w:b/>
          <w:szCs w:val="22"/>
        </w:rPr>
      </w:pPr>
    </w:p>
    <w:sectPr w:rsidR="004E28B9" w:rsidRPr="009251D6" w:rsidSect="005357FB">
      <w:footerReference w:type="default" r:id="rId10"/>
      <w:pgSz w:w="11906" w:h="16838"/>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28B9" w:rsidRDefault="004E28B9">
      <w:r>
        <w:separator/>
      </w:r>
    </w:p>
  </w:endnote>
  <w:endnote w:type="continuationSeparator" w:id="0">
    <w:p w:rsidR="004E28B9" w:rsidRDefault="004E28B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28B9" w:rsidRDefault="004E28B9">
    <w:pPr>
      <w:pStyle w:val="Footer"/>
      <w:rPr>
        <w:sz w:val="20"/>
        <w:szCs w:val="20"/>
        <w:lang w:val="fr-FR"/>
      </w:rPr>
    </w:pPr>
    <w:r>
      <w:rPr>
        <w:sz w:val="20"/>
        <w:szCs w:val="20"/>
        <w:lang w:val="fr-FR"/>
      </w:rPr>
      <w:tab/>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noProof/>
        <w:sz w:val="20"/>
        <w:szCs w:val="20"/>
      </w:rPr>
      <w:t>1</w:t>
    </w:r>
    <w:r>
      <w:rPr>
        <w:rStyle w:val="PageNumber"/>
        <w:sz w:val="20"/>
        <w:szCs w:val="20"/>
      </w:rPr>
      <w:fldChar w:fldCharType="end"/>
    </w:r>
    <w:r>
      <w:rPr>
        <w:rStyle w:val="PageNumber"/>
        <w:sz w:val="20"/>
        <w:szCs w:val="20"/>
      </w:rPr>
      <w:t>/</w:t>
    </w:r>
    <w:r>
      <w:rPr>
        <w:rStyle w:val="PageNumber"/>
        <w:sz w:val="20"/>
        <w:szCs w:val="20"/>
      </w:rPr>
      <w:fldChar w:fldCharType="begin"/>
    </w:r>
    <w:r>
      <w:rPr>
        <w:rStyle w:val="PageNumber"/>
        <w:sz w:val="20"/>
        <w:szCs w:val="20"/>
      </w:rPr>
      <w:instrText xml:space="preserve"> NUMPAGES </w:instrText>
    </w:r>
    <w:r>
      <w:rPr>
        <w:rStyle w:val="PageNumber"/>
        <w:sz w:val="20"/>
        <w:szCs w:val="20"/>
      </w:rPr>
      <w:fldChar w:fldCharType="separate"/>
    </w:r>
    <w:r>
      <w:rPr>
        <w:rStyle w:val="PageNumber"/>
        <w:noProof/>
        <w:sz w:val="20"/>
        <w:szCs w:val="20"/>
      </w:rPr>
      <w:t>5</w:t>
    </w:r>
    <w:r>
      <w:rPr>
        <w:rStyle w:val="PageNumbe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28B9" w:rsidRDefault="004E28B9">
      <w:r>
        <w:separator/>
      </w:r>
    </w:p>
  </w:footnote>
  <w:footnote w:type="continuationSeparator" w:id="0">
    <w:p w:rsidR="004E28B9" w:rsidRDefault="004E28B9">
      <w:r>
        <w:continuationSeparator/>
      </w:r>
    </w:p>
  </w:footnote>
  <w:footnote w:id="1">
    <w:p w:rsidR="004E28B9" w:rsidRDefault="004E28B9">
      <w:pPr>
        <w:pStyle w:val="FootnoteText"/>
      </w:pPr>
      <w:r w:rsidRPr="003F3BD5">
        <w:rPr>
          <w:rStyle w:val="FootnoteReference"/>
          <w:rFonts w:ascii="Arial" w:hAnsi="Arial" w:cs="Arial"/>
          <w:sz w:val="20"/>
          <w:szCs w:val="20"/>
        </w:rPr>
        <w:footnoteRef/>
      </w:r>
      <w:r w:rsidRPr="003F3BD5">
        <w:rPr>
          <w:rFonts w:ascii="Arial" w:hAnsi="Arial" w:cs="Arial"/>
          <w:sz w:val="20"/>
          <w:szCs w:val="20"/>
        </w:rPr>
        <w:t xml:space="preserve"> http://rspg.groups.eu.int/consultations/consultation_futradio/rspg10_349_annex.pdf</w:t>
      </w:r>
    </w:p>
  </w:footnote>
  <w:footnote w:id="2">
    <w:p w:rsidR="004E28B9" w:rsidRDefault="004E28B9">
      <w:pPr>
        <w:pStyle w:val="FootnoteText"/>
      </w:pPr>
      <w:r>
        <w:rPr>
          <w:rStyle w:val="FootnoteReference"/>
        </w:rPr>
        <w:footnoteRef/>
      </w:r>
      <w:r>
        <w:t xml:space="preserve"> See FM(11)038 Rev2.</w:t>
      </w:r>
    </w:p>
  </w:footnote>
  <w:footnote w:id="3">
    <w:p w:rsidR="004E28B9" w:rsidRDefault="004E28B9">
      <w:pPr>
        <w:pStyle w:val="FootnoteText"/>
      </w:pPr>
      <w:r w:rsidRPr="00032D64">
        <w:rPr>
          <w:rStyle w:val="FootnoteReference"/>
          <w:sz w:val="18"/>
          <w:szCs w:val="18"/>
        </w:rPr>
        <w:footnoteRef/>
      </w:r>
      <w:r w:rsidRPr="00032D64">
        <w:rPr>
          <w:sz w:val="18"/>
          <w:szCs w:val="18"/>
        </w:rPr>
        <w:t xml:space="preserve"> </w:t>
      </w:r>
      <w:r w:rsidRPr="00032D64">
        <w:rPr>
          <w:rFonts w:ascii="Arial" w:hAnsi="Arial" w:cs="Arial"/>
          <w:sz w:val="18"/>
          <w:szCs w:val="18"/>
        </w:rPr>
        <w:t>FM(10)140, Minutes of the 70th WG FM  Meeting</w:t>
      </w:r>
    </w:p>
  </w:footnote>
  <w:footnote w:id="4">
    <w:p w:rsidR="004E28B9" w:rsidRDefault="004E28B9">
      <w:pPr>
        <w:pStyle w:val="FootnoteText"/>
      </w:pPr>
      <w:r w:rsidRPr="00032D64">
        <w:rPr>
          <w:rStyle w:val="FootnoteReference"/>
          <w:sz w:val="18"/>
          <w:szCs w:val="18"/>
        </w:rPr>
        <w:footnoteRef/>
      </w:r>
      <w:r w:rsidRPr="00032D64">
        <w:rPr>
          <w:sz w:val="18"/>
          <w:szCs w:val="18"/>
        </w:rPr>
        <w:t xml:space="preserve"> </w:t>
      </w:r>
      <w:r w:rsidRPr="00032D64">
        <w:rPr>
          <w:rFonts w:ascii="Arial" w:hAnsi="Arial" w:cs="Arial"/>
          <w:sz w:val="18"/>
          <w:szCs w:val="18"/>
        </w:rPr>
        <w:t>ECC(10)098, Minutes of the 27</w:t>
      </w:r>
      <w:r w:rsidRPr="00032D64">
        <w:rPr>
          <w:rFonts w:ascii="Arial" w:hAnsi="Arial" w:cs="Arial"/>
          <w:sz w:val="18"/>
          <w:szCs w:val="18"/>
          <w:vertAlign w:val="superscript"/>
        </w:rPr>
        <w:t>th</w:t>
      </w:r>
      <w:r w:rsidRPr="00032D64">
        <w:rPr>
          <w:rFonts w:ascii="Arial" w:hAnsi="Arial" w:cs="Arial"/>
          <w:sz w:val="18"/>
          <w:szCs w:val="18"/>
        </w:rPr>
        <w:t xml:space="preserve"> ECC Meeting</w:t>
      </w:r>
    </w:p>
  </w:footnote>
  <w:footnote w:id="5">
    <w:p w:rsidR="004E28B9" w:rsidRDefault="004E28B9" w:rsidP="00B47306">
      <w:pPr>
        <w:pStyle w:val="FootnoteText"/>
      </w:pPr>
      <w:r w:rsidRPr="00032D64">
        <w:rPr>
          <w:rStyle w:val="FootnoteReference"/>
          <w:sz w:val="18"/>
          <w:szCs w:val="18"/>
        </w:rPr>
        <w:footnoteRef/>
      </w:r>
      <w:r w:rsidRPr="00032D64">
        <w:rPr>
          <w:sz w:val="18"/>
          <w:szCs w:val="18"/>
        </w:rPr>
        <w:t xml:space="preserve"> </w:t>
      </w:r>
      <w:r w:rsidRPr="00032D64">
        <w:rPr>
          <w:rFonts w:ascii="Arial" w:hAnsi="Arial" w:cs="Arial"/>
          <w:sz w:val="18"/>
          <w:szCs w:val="18"/>
        </w:rPr>
        <w:t>FM(11)062 Annex 18</w:t>
      </w:r>
    </w:p>
  </w:footnote>
  <w:footnote w:id="6">
    <w:p w:rsidR="004E28B9" w:rsidRDefault="004E28B9" w:rsidP="00B47306">
      <w:pPr>
        <w:pStyle w:val="FootnoteText"/>
      </w:pPr>
      <w:r w:rsidRPr="00032D64">
        <w:rPr>
          <w:rStyle w:val="FootnoteReference"/>
          <w:sz w:val="18"/>
          <w:szCs w:val="18"/>
        </w:rPr>
        <w:footnoteRef/>
      </w:r>
      <w:r w:rsidRPr="00032D64">
        <w:rPr>
          <w:sz w:val="18"/>
          <w:szCs w:val="18"/>
        </w:rPr>
        <w:t xml:space="preserve"> </w:t>
      </w:r>
      <w:r w:rsidRPr="00032D64">
        <w:rPr>
          <w:rFonts w:ascii="Arial" w:hAnsi="Arial" w:cs="Arial"/>
          <w:sz w:val="18"/>
          <w:szCs w:val="18"/>
        </w:rPr>
        <w:t>FM(11)062, Minutes of the 71st WG FM  Meeting</w:t>
      </w:r>
    </w:p>
  </w:footnote>
  <w:footnote w:id="7">
    <w:p w:rsidR="004E28B9" w:rsidRDefault="004E28B9">
      <w:pPr>
        <w:pStyle w:val="FootnoteText"/>
      </w:pPr>
      <w:r>
        <w:rPr>
          <w:rStyle w:val="FootnoteReference"/>
        </w:rPr>
        <w:footnoteRef/>
      </w:r>
      <w:r>
        <w:t xml:space="preserve"> </w:t>
      </w:r>
      <w:hyperlink r:id="rId1" w:history="1">
        <w:r w:rsidRPr="00565C04">
          <w:rPr>
            <w:rStyle w:val="Hyperlink"/>
          </w:rPr>
          <w:t>http://www.cept.org/ecc/groups/ecc/wg-fm/fm-50/page/terms-of-reference</w:t>
        </w:r>
      </w:hyperlink>
      <w:r>
        <w:t xml:space="preserve"> </w:t>
      </w:r>
    </w:p>
  </w:footnote>
  <w:footnote w:id="8">
    <w:p w:rsidR="004E28B9" w:rsidRDefault="004E28B9" w:rsidP="009251D6">
      <w:pPr>
        <w:pStyle w:val="FootnoteText"/>
        <w:spacing w:before="120"/>
      </w:pPr>
      <w:r w:rsidRPr="004F2D3D">
        <w:rPr>
          <w:rStyle w:val="FootnoteReference"/>
          <w:rFonts w:ascii="Arial" w:hAnsi="Arial" w:cs="Arial"/>
          <w:sz w:val="20"/>
          <w:szCs w:val="20"/>
          <w:lang w:val="en-US"/>
        </w:rPr>
        <w:t>*</w:t>
      </w:r>
      <w:r>
        <w:rPr>
          <w:rFonts w:ascii="Arial" w:hAnsi="Arial" w:cs="Arial"/>
          <w:sz w:val="20"/>
          <w:szCs w:val="20"/>
          <w:lang w:val="en-US"/>
        </w:rPr>
        <w:t xml:space="preserve"> </w:t>
      </w:r>
      <w:r w:rsidRPr="004F2D3D">
        <w:rPr>
          <w:rFonts w:ascii="Arial" w:hAnsi="Arial" w:cs="Arial"/>
          <w:sz w:val="20"/>
          <w:szCs w:val="20"/>
          <w:lang w:val="en-US"/>
        </w:rPr>
        <w:t xml:space="preserve">This provision was previously numbered as No. </w:t>
      </w:r>
      <w:r w:rsidRPr="004F2D3D">
        <w:rPr>
          <w:rFonts w:ascii="Arial" w:hAnsi="Arial" w:cs="Arial"/>
          <w:b/>
          <w:sz w:val="20"/>
          <w:szCs w:val="20"/>
          <w:lang w:val="en-US"/>
        </w:rPr>
        <w:t>5.347A</w:t>
      </w:r>
      <w:r w:rsidRPr="004F2D3D">
        <w:rPr>
          <w:rFonts w:ascii="Arial" w:hAnsi="Arial" w:cs="Arial"/>
          <w:sz w:val="20"/>
          <w:szCs w:val="20"/>
          <w:lang w:val="en-US"/>
        </w:rPr>
        <w:t>. It was renumbered to preserve the sequential order.</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C27AFF"/>
    <w:multiLevelType w:val="hybridMultilevel"/>
    <w:tmpl w:val="DCBA78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50B0AE6"/>
    <w:multiLevelType w:val="multilevel"/>
    <w:tmpl w:val="8BC4877C"/>
    <w:lvl w:ilvl="0">
      <w:start w:val="1"/>
      <w:numFmt w:val="decimal"/>
      <w:lvlText w:val="%1"/>
      <w:lvlJc w:val="left"/>
      <w:pPr>
        <w:ind w:left="360" w:hanging="360"/>
      </w:pPr>
      <w:rPr>
        <w:rFonts w:cs="Times New Roman" w:hint="default"/>
      </w:rPr>
    </w:lvl>
    <w:lvl w:ilvl="1">
      <w:start w:val="1"/>
      <w:numFmt w:val="decimal"/>
      <w:lvlText w:val="%1.%2"/>
      <w:lvlJc w:val="left"/>
      <w:pPr>
        <w:ind w:left="1069" w:hanging="36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112" w:hanging="1440"/>
      </w:pPr>
      <w:rPr>
        <w:rFonts w:cs="Times New Roman" w:hint="default"/>
      </w:rPr>
    </w:lvl>
  </w:abstractNum>
  <w:abstractNum w:abstractNumId="2">
    <w:nsid w:val="245E6CBF"/>
    <w:multiLevelType w:val="hybridMultilevel"/>
    <w:tmpl w:val="4A668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71874F6"/>
    <w:multiLevelType w:val="hybridMultilevel"/>
    <w:tmpl w:val="744630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7354806"/>
    <w:multiLevelType w:val="hybridMultilevel"/>
    <w:tmpl w:val="B4360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BD41BC3"/>
    <w:multiLevelType w:val="multilevel"/>
    <w:tmpl w:val="4F8AEF6A"/>
    <w:lvl w:ilvl="0">
      <w:start w:val="1"/>
      <w:numFmt w:val="decimal"/>
      <w:pStyle w:val="Heading1"/>
      <w:lvlText w:val="%1"/>
      <w:lvlJc w:val="left"/>
      <w:pPr>
        <w:tabs>
          <w:tab w:val="num" w:pos="432"/>
        </w:tabs>
        <w:ind w:left="432" w:hanging="432"/>
      </w:pPr>
      <w:rPr>
        <w:rFonts w:cs="Times New Roman" w:hint="default"/>
      </w:rPr>
    </w:lvl>
    <w:lvl w:ilvl="1">
      <w:start w:val="1"/>
      <w:numFmt w:val="decimal"/>
      <w:pStyle w:val="Heading2"/>
      <w:lvlText w:val="%1.%2"/>
      <w:lvlJc w:val="left"/>
      <w:pPr>
        <w:tabs>
          <w:tab w:val="num" w:pos="576"/>
        </w:tabs>
        <w:ind w:left="576" w:hanging="576"/>
      </w:pPr>
      <w:rPr>
        <w:rFonts w:cs="Times New Roman" w:hint="default"/>
      </w:rPr>
    </w:lvl>
    <w:lvl w:ilvl="2">
      <w:start w:val="1"/>
      <w:numFmt w:val="decimal"/>
      <w:pStyle w:val="Heading3"/>
      <w:lvlText w:val="%1.%2.%3"/>
      <w:lvlJc w:val="left"/>
      <w:pPr>
        <w:tabs>
          <w:tab w:val="num" w:pos="720"/>
        </w:tabs>
        <w:ind w:left="720" w:hanging="720"/>
      </w:pPr>
      <w:rPr>
        <w:rFonts w:cs="Times New Roman" w:hint="default"/>
      </w:rPr>
    </w:lvl>
    <w:lvl w:ilvl="3">
      <w:start w:val="1"/>
      <w:numFmt w:val="decimal"/>
      <w:pStyle w:val="Heading4"/>
      <w:lvlText w:val="%1.%2.%3.%4"/>
      <w:lvlJc w:val="left"/>
      <w:pPr>
        <w:tabs>
          <w:tab w:val="num" w:pos="864"/>
        </w:tabs>
        <w:ind w:left="864" w:hanging="864"/>
      </w:pPr>
      <w:rPr>
        <w:rFonts w:cs="Times New Roman" w:hint="default"/>
      </w:rPr>
    </w:lvl>
    <w:lvl w:ilvl="4">
      <w:start w:val="1"/>
      <w:numFmt w:val="decimal"/>
      <w:pStyle w:val="Heading5"/>
      <w:lvlText w:val="%1.%2.%3.%4.%5"/>
      <w:lvlJc w:val="left"/>
      <w:pPr>
        <w:tabs>
          <w:tab w:val="num" w:pos="1008"/>
        </w:tabs>
        <w:ind w:left="1008" w:hanging="1008"/>
      </w:pPr>
      <w:rPr>
        <w:rFonts w:cs="Times New Roman" w:hint="default"/>
      </w:rPr>
    </w:lvl>
    <w:lvl w:ilvl="5">
      <w:start w:val="1"/>
      <w:numFmt w:val="decimal"/>
      <w:pStyle w:val="Heading6"/>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7">
    <w:nsid w:val="3FB967F4"/>
    <w:multiLevelType w:val="hybridMultilevel"/>
    <w:tmpl w:val="B78CF874"/>
    <w:lvl w:ilvl="0" w:tplc="04CC5256">
      <w:start w:val="13"/>
      <w:numFmt w:val="bullet"/>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nsid w:val="452F57ED"/>
    <w:multiLevelType w:val="hybridMultilevel"/>
    <w:tmpl w:val="D47C1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F71085B"/>
    <w:multiLevelType w:val="hybridMultilevel"/>
    <w:tmpl w:val="835036E6"/>
    <w:lvl w:ilvl="0" w:tplc="04CC5256">
      <w:start w:val="13"/>
      <w:numFmt w:val="bullet"/>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nsid w:val="705B11ED"/>
    <w:multiLevelType w:val="hybridMultilevel"/>
    <w:tmpl w:val="A7060ADA"/>
    <w:lvl w:ilvl="0" w:tplc="69485FD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5"/>
  </w:num>
  <w:num w:numId="3">
    <w:abstractNumId w:val="10"/>
  </w:num>
  <w:num w:numId="4">
    <w:abstractNumId w:val="2"/>
  </w:num>
  <w:num w:numId="5">
    <w:abstractNumId w:val="9"/>
  </w:num>
  <w:num w:numId="6">
    <w:abstractNumId w:val="7"/>
  </w:num>
  <w:num w:numId="7">
    <w:abstractNumId w:val="8"/>
  </w:num>
  <w:num w:numId="8">
    <w:abstractNumId w:val="4"/>
  </w:num>
  <w:num w:numId="9">
    <w:abstractNumId w:val="3"/>
  </w:num>
  <w:num w:numId="10">
    <w:abstractNumId w:val="1"/>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9"/>
  <w:hyphenationZone w:val="425"/>
  <w:drawingGridHorizontalSpacing w:val="110"/>
  <w:drawingGridVerticalSpacing w:val="136"/>
  <w:displayHorizontalDrawingGridEvery w:val="0"/>
  <w:displayVerticalDrawingGridEvery w:val="2"/>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F58FE"/>
    <w:rsid w:val="00007D9B"/>
    <w:rsid w:val="00013802"/>
    <w:rsid w:val="00026B04"/>
    <w:rsid w:val="00032D64"/>
    <w:rsid w:val="00035F52"/>
    <w:rsid w:val="0003651F"/>
    <w:rsid w:val="00037C8D"/>
    <w:rsid w:val="00041884"/>
    <w:rsid w:val="00045405"/>
    <w:rsid w:val="00051F86"/>
    <w:rsid w:val="000734EB"/>
    <w:rsid w:val="00073518"/>
    <w:rsid w:val="00086109"/>
    <w:rsid w:val="000920C6"/>
    <w:rsid w:val="0009446F"/>
    <w:rsid w:val="000969D5"/>
    <w:rsid w:val="000B564E"/>
    <w:rsid w:val="000C0535"/>
    <w:rsid w:val="000C3505"/>
    <w:rsid w:val="000C3777"/>
    <w:rsid w:val="000C54D3"/>
    <w:rsid w:val="000D6F6C"/>
    <w:rsid w:val="000E15B4"/>
    <w:rsid w:val="000E2358"/>
    <w:rsid w:val="000F0C2D"/>
    <w:rsid w:val="000F2686"/>
    <w:rsid w:val="00101FF9"/>
    <w:rsid w:val="00104033"/>
    <w:rsid w:val="00104456"/>
    <w:rsid w:val="00130A72"/>
    <w:rsid w:val="00132FDE"/>
    <w:rsid w:val="00136F1F"/>
    <w:rsid w:val="001522F5"/>
    <w:rsid w:val="00152582"/>
    <w:rsid w:val="0015331D"/>
    <w:rsid w:val="00157BB9"/>
    <w:rsid w:val="00163FFF"/>
    <w:rsid w:val="00166E08"/>
    <w:rsid w:val="00167FF5"/>
    <w:rsid w:val="00173E16"/>
    <w:rsid w:val="00180FBA"/>
    <w:rsid w:val="00182B10"/>
    <w:rsid w:val="00184CE8"/>
    <w:rsid w:val="00184F63"/>
    <w:rsid w:val="001861AA"/>
    <w:rsid w:val="00191C17"/>
    <w:rsid w:val="00195C6E"/>
    <w:rsid w:val="001C28EB"/>
    <w:rsid w:val="001D0E3D"/>
    <w:rsid w:val="001E401B"/>
    <w:rsid w:val="001E7254"/>
    <w:rsid w:val="001F4F9B"/>
    <w:rsid w:val="002106E4"/>
    <w:rsid w:val="0021643A"/>
    <w:rsid w:val="00217B86"/>
    <w:rsid w:val="0023006E"/>
    <w:rsid w:val="0024294F"/>
    <w:rsid w:val="00243910"/>
    <w:rsid w:val="00243B25"/>
    <w:rsid w:val="002475DE"/>
    <w:rsid w:val="00251649"/>
    <w:rsid w:val="00263AD8"/>
    <w:rsid w:val="00265949"/>
    <w:rsid w:val="002673AD"/>
    <w:rsid w:val="00267FA7"/>
    <w:rsid w:val="002715B7"/>
    <w:rsid w:val="002770D6"/>
    <w:rsid w:val="00280329"/>
    <w:rsid w:val="00283540"/>
    <w:rsid w:val="002848E5"/>
    <w:rsid w:val="0028493E"/>
    <w:rsid w:val="002908B3"/>
    <w:rsid w:val="00292900"/>
    <w:rsid w:val="002A1764"/>
    <w:rsid w:val="002A1795"/>
    <w:rsid w:val="002B1891"/>
    <w:rsid w:val="002C329C"/>
    <w:rsid w:val="002C60D2"/>
    <w:rsid w:val="002F3AD3"/>
    <w:rsid w:val="0030119D"/>
    <w:rsid w:val="0031494C"/>
    <w:rsid w:val="00324576"/>
    <w:rsid w:val="00334BD7"/>
    <w:rsid w:val="003540CE"/>
    <w:rsid w:val="00357567"/>
    <w:rsid w:val="003604BD"/>
    <w:rsid w:val="003608DA"/>
    <w:rsid w:val="003630F5"/>
    <w:rsid w:val="003720B7"/>
    <w:rsid w:val="0038645B"/>
    <w:rsid w:val="00387DF1"/>
    <w:rsid w:val="003924A6"/>
    <w:rsid w:val="00396C00"/>
    <w:rsid w:val="003A2158"/>
    <w:rsid w:val="003A56F7"/>
    <w:rsid w:val="003A7701"/>
    <w:rsid w:val="003A7C98"/>
    <w:rsid w:val="003C519C"/>
    <w:rsid w:val="003D1896"/>
    <w:rsid w:val="003D5C6B"/>
    <w:rsid w:val="003D6CD6"/>
    <w:rsid w:val="003E2CE8"/>
    <w:rsid w:val="003E6B6E"/>
    <w:rsid w:val="003E7A62"/>
    <w:rsid w:val="003F117C"/>
    <w:rsid w:val="003F1ED8"/>
    <w:rsid w:val="003F3BD5"/>
    <w:rsid w:val="003F4580"/>
    <w:rsid w:val="003F56AE"/>
    <w:rsid w:val="003F73CA"/>
    <w:rsid w:val="00400119"/>
    <w:rsid w:val="00405264"/>
    <w:rsid w:val="00406EDE"/>
    <w:rsid w:val="00413D65"/>
    <w:rsid w:val="00432A10"/>
    <w:rsid w:val="004431C2"/>
    <w:rsid w:val="00446050"/>
    <w:rsid w:val="004467A7"/>
    <w:rsid w:val="00473434"/>
    <w:rsid w:val="00493C2D"/>
    <w:rsid w:val="004978F2"/>
    <w:rsid w:val="004B0309"/>
    <w:rsid w:val="004B3224"/>
    <w:rsid w:val="004B545E"/>
    <w:rsid w:val="004C7FEC"/>
    <w:rsid w:val="004D56F6"/>
    <w:rsid w:val="004E28B9"/>
    <w:rsid w:val="004E40AB"/>
    <w:rsid w:val="004E7C69"/>
    <w:rsid w:val="004F2D3D"/>
    <w:rsid w:val="004F4457"/>
    <w:rsid w:val="00513191"/>
    <w:rsid w:val="0052567F"/>
    <w:rsid w:val="005269F8"/>
    <w:rsid w:val="00533467"/>
    <w:rsid w:val="00535496"/>
    <w:rsid w:val="005357E1"/>
    <w:rsid w:val="005357FB"/>
    <w:rsid w:val="005456C4"/>
    <w:rsid w:val="00552128"/>
    <w:rsid w:val="00554A1A"/>
    <w:rsid w:val="0055578A"/>
    <w:rsid w:val="00560319"/>
    <w:rsid w:val="00565C04"/>
    <w:rsid w:val="005672A3"/>
    <w:rsid w:val="00585AD3"/>
    <w:rsid w:val="00592179"/>
    <w:rsid w:val="00593F5E"/>
    <w:rsid w:val="0059718C"/>
    <w:rsid w:val="005974E1"/>
    <w:rsid w:val="005A4073"/>
    <w:rsid w:val="005A74E6"/>
    <w:rsid w:val="005B6EE9"/>
    <w:rsid w:val="005B7CD5"/>
    <w:rsid w:val="005D7C6B"/>
    <w:rsid w:val="005F04B7"/>
    <w:rsid w:val="005F0669"/>
    <w:rsid w:val="0060565C"/>
    <w:rsid w:val="00623050"/>
    <w:rsid w:val="00625A14"/>
    <w:rsid w:val="0063092C"/>
    <w:rsid w:val="0063301A"/>
    <w:rsid w:val="00635496"/>
    <w:rsid w:val="00635649"/>
    <w:rsid w:val="00641DCB"/>
    <w:rsid w:val="00645780"/>
    <w:rsid w:val="006457E1"/>
    <w:rsid w:val="00646380"/>
    <w:rsid w:val="006464C9"/>
    <w:rsid w:val="00670D0E"/>
    <w:rsid w:val="006737BC"/>
    <w:rsid w:val="00677BC6"/>
    <w:rsid w:val="006A4066"/>
    <w:rsid w:val="006B0348"/>
    <w:rsid w:val="006B0481"/>
    <w:rsid w:val="006C0134"/>
    <w:rsid w:val="006C2283"/>
    <w:rsid w:val="006C7BDA"/>
    <w:rsid w:val="006D09BF"/>
    <w:rsid w:val="006D55CA"/>
    <w:rsid w:val="006E5D62"/>
    <w:rsid w:val="006F34DB"/>
    <w:rsid w:val="006F3CAB"/>
    <w:rsid w:val="006F4853"/>
    <w:rsid w:val="006F5098"/>
    <w:rsid w:val="007165C1"/>
    <w:rsid w:val="00733609"/>
    <w:rsid w:val="007344C4"/>
    <w:rsid w:val="0074642E"/>
    <w:rsid w:val="007606FF"/>
    <w:rsid w:val="00764E20"/>
    <w:rsid w:val="007750C1"/>
    <w:rsid w:val="00784688"/>
    <w:rsid w:val="007875BD"/>
    <w:rsid w:val="00791C71"/>
    <w:rsid w:val="007A5D12"/>
    <w:rsid w:val="007B39C9"/>
    <w:rsid w:val="007C0D27"/>
    <w:rsid w:val="007F63B9"/>
    <w:rsid w:val="007F6913"/>
    <w:rsid w:val="00806DD1"/>
    <w:rsid w:val="00812116"/>
    <w:rsid w:val="008133C7"/>
    <w:rsid w:val="00815E5A"/>
    <w:rsid w:val="00823943"/>
    <w:rsid w:val="0083063C"/>
    <w:rsid w:val="00830C41"/>
    <w:rsid w:val="00836EF6"/>
    <w:rsid w:val="00841D97"/>
    <w:rsid w:val="008422F9"/>
    <w:rsid w:val="00842D3F"/>
    <w:rsid w:val="00853A47"/>
    <w:rsid w:val="00873D28"/>
    <w:rsid w:val="0087497D"/>
    <w:rsid w:val="00875AFF"/>
    <w:rsid w:val="00876F55"/>
    <w:rsid w:val="008928CA"/>
    <w:rsid w:val="008B6969"/>
    <w:rsid w:val="008C24A7"/>
    <w:rsid w:val="008C2A43"/>
    <w:rsid w:val="008C46B2"/>
    <w:rsid w:val="008E5A59"/>
    <w:rsid w:val="008F3EC9"/>
    <w:rsid w:val="008F5B63"/>
    <w:rsid w:val="00910D4F"/>
    <w:rsid w:val="00920E14"/>
    <w:rsid w:val="00923C5C"/>
    <w:rsid w:val="009251D6"/>
    <w:rsid w:val="00936F9B"/>
    <w:rsid w:val="0093781C"/>
    <w:rsid w:val="0094519C"/>
    <w:rsid w:val="009474BE"/>
    <w:rsid w:val="00960772"/>
    <w:rsid w:val="009646A9"/>
    <w:rsid w:val="00967BC6"/>
    <w:rsid w:val="0097424D"/>
    <w:rsid w:val="00986356"/>
    <w:rsid w:val="00992499"/>
    <w:rsid w:val="00995A69"/>
    <w:rsid w:val="009B4341"/>
    <w:rsid w:val="009B60EF"/>
    <w:rsid w:val="009B6890"/>
    <w:rsid w:val="009B7315"/>
    <w:rsid w:val="009C26FE"/>
    <w:rsid w:val="009C3C20"/>
    <w:rsid w:val="009C75A6"/>
    <w:rsid w:val="009E414C"/>
    <w:rsid w:val="00A03F5D"/>
    <w:rsid w:val="00A24DD0"/>
    <w:rsid w:val="00A303EE"/>
    <w:rsid w:val="00A30DAB"/>
    <w:rsid w:val="00A33771"/>
    <w:rsid w:val="00A449D3"/>
    <w:rsid w:val="00A4507C"/>
    <w:rsid w:val="00A50BD9"/>
    <w:rsid w:val="00A5355A"/>
    <w:rsid w:val="00A662F2"/>
    <w:rsid w:val="00A73265"/>
    <w:rsid w:val="00A73C12"/>
    <w:rsid w:val="00A8284C"/>
    <w:rsid w:val="00A82CF5"/>
    <w:rsid w:val="00A94D8F"/>
    <w:rsid w:val="00A979D5"/>
    <w:rsid w:val="00AA0A61"/>
    <w:rsid w:val="00AA0EAC"/>
    <w:rsid w:val="00AC11A6"/>
    <w:rsid w:val="00AD5088"/>
    <w:rsid w:val="00AD561B"/>
    <w:rsid w:val="00AE2639"/>
    <w:rsid w:val="00AE4CCA"/>
    <w:rsid w:val="00AF74D1"/>
    <w:rsid w:val="00B0404B"/>
    <w:rsid w:val="00B15E57"/>
    <w:rsid w:val="00B17697"/>
    <w:rsid w:val="00B17F91"/>
    <w:rsid w:val="00B24226"/>
    <w:rsid w:val="00B253EA"/>
    <w:rsid w:val="00B26C9E"/>
    <w:rsid w:val="00B42E2A"/>
    <w:rsid w:val="00B47306"/>
    <w:rsid w:val="00B47783"/>
    <w:rsid w:val="00B51420"/>
    <w:rsid w:val="00B51CA3"/>
    <w:rsid w:val="00B912FF"/>
    <w:rsid w:val="00B92756"/>
    <w:rsid w:val="00BA0A55"/>
    <w:rsid w:val="00BB0EB9"/>
    <w:rsid w:val="00BC25CF"/>
    <w:rsid w:val="00BC3D40"/>
    <w:rsid w:val="00BC7B45"/>
    <w:rsid w:val="00BE5836"/>
    <w:rsid w:val="00C0132F"/>
    <w:rsid w:val="00C07ED9"/>
    <w:rsid w:val="00C120AC"/>
    <w:rsid w:val="00C2062E"/>
    <w:rsid w:val="00C22763"/>
    <w:rsid w:val="00C25463"/>
    <w:rsid w:val="00C266C4"/>
    <w:rsid w:val="00C4553C"/>
    <w:rsid w:val="00C52D34"/>
    <w:rsid w:val="00C544CA"/>
    <w:rsid w:val="00C5644A"/>
    <w:rsid w:val="00C60DC0"/>
    <w:rsid w:val="00C61470"/>
    <w:rsid w:val="00C67A07"/>
    <w:rsid w:val="00C714EB"/>
    <w:rsid w:val="00C76F55"/>
    <w:rsid w:val="00C83B1A"/>
    <w:rsid w:val="00C95EEE"/>
    <w:rsid w:val="00CA61D0"/>
    <w:rsid w:val="00CA6B0F"/>
    <w:rsid w:val="00CB40AB"/>
    <w:rsid w:val="00CC210D"/>
    <w:rsid w:val="00CC7D73"/>
    <w:rsid w:val="00CD55BD"/>
    <w:rsid w:val="00CE041C"/>
    <w:rsid w:val="00CE266A"/>
    <w:rsid w:val="00CF2BCB"/>
    <w:rsid w:val="00CF3E8C"/>
    <w:rsid w:val="00CF597D"/>
    <w:rsid w:val="00D26BC3"/>
    <w:rsid w:val="00D42073"/>
    <w:rsid w:val="00D55625"/>
    <w:rsid w:val="00D60F12"/>
    <w:rsid w:val="00D64461"/>
    <w:rsid w:val="00D64ED6"/>
    <w:rsid w:val="00D66585"/>
    <w:rsid w:val="00D703F4"/>
    <w:rsid w:val="00D7207B"/>
    <w:rsid w:val="00D81DF1"/>
    <w:rsid w:val="00DA1D5F"/>
    <w:rsid w:val="00DB2A7C"/>
    <w:rsid w:val="00DB5471"/>
    <w:rsid w:val="00DB7D53"/>
    <w:rsid w:val="00DC2D53"/>
    <w:rsid w:val="00DC577F"/>
    <w:rsid w:val="00DD7EAC"/>
    <w:rsid w:val="00DE3331"/>
    <w:rsid w:val="00DE4785"/>
    <w:rsid w:val="00DE7F28"/>
    <w:rsid w:val="00DF0180"/>
    <w:rsid w:val="00DF289A"/>
    <w:rsid w:val="00DF4426"/>
    <w:rsid w:val="00DF58FE"/>
    <w:rsid w:val="00DF5F34"/>
    <w:rsid w:val="00DF6687"/>
    <w:rsid w:val="00E042D1"/>
    <w:rsid w:val="00E113A5"/>
    <w:rsid w:val="00E24FC9"/>
    <w:rsid w:val="00E26CD6"/>
    <w:rsid w:val="00E276E3"/>
    <w:rsid w:val="00E329B1"/>
    <w:rsid w:val="00E368C0"/>
    <w:rsid w:val="00E53C2F"/>
    <w:rsid w:val="00E7304B"/>
    <w:rsid w:val="00E93F5C"/>
    <w:rsid w:val="00E97D84"/>
    <w:rsid w:val="00EA6CE3"/>
    <w:rsid w:val="00EB0C91"/>
    <w:rsid w:val="00EC1253"/>
    <w:rsid w:val="00EC38BB"/>
    <w:rsid w:val="00EC6120"/>
    <w:rsid w:val="00ED576A"/>
    <w:rsid w:val="00EF3543"/>
    <w:rsid w:val="00EF69C2"/>
    <w:rsid w:val="00F035C6"/>
    <w:rsid w:val="00F07C36"/>
    <w:rsid w:val="00F10DA6"/>
    <w:rsid w:val="00F237CC"/>
    <w:rsid w:val="00F36C7D"/>
    <w:rsid w:val="00F463AF"/>
    <w:rsid w:val="00F60137"/>
    <w:rsid w:val="00F621BD"/>
    <w:rsid w:val="00F64262"/>
    <w:rsid w:val="00F75A86"/>
    <w:rsid w:val="00F829B8"/>
    <w:rsid w:val="00F9074D"/>
    <w:rsid w:val="00F91E57"/>
    <w:rsid w:val="00F93FE0"/>
    <w:rsid w:val="00FA040B"/>
    <w:rsid w:val="00FB179D"/>
    <w:rsid w:val="00FB51A4"/>
    <w:rsid w:val="00FC0BED"/>
    <w:rsid w:val="00FC3542"/>
    <w:rsid w:val="00FC51F0"/>
    <w:rsid w:val="00FD37CE"/>
    <w:rsid w:val="00FD77F5"/>
    <w:rsid w:val="00FE457E"/>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8422F9"/>
    <w:pPr>
      <w:jc w:val="both"/>
    </w:pPr>
    <w:rPr>
      <w:szCs w:val="24"/>
      <w:lang w:val="en-GB" w:eastAsia="de-DE"/>
    </w:rPr>
  </w:style>
  <w:style w:type="paragraph" w:styleId="Heading1">
    <w:name w:val="heading 1"/>
    <w:basedOn w:val="Normal"/>
    <w:next w:val="Normal"/>
    <w:link w:val="Heading1Char"/>
    <w:uiPriority w:val="99"/>
    <w:qFormat/>
    <w:rsid w:val="00C2062E"/>
    <w:pPr>
      <w:keepNext/>
      <w:numPr>
        <w:numId w:val="1"/>
      </w:numPr>
      <w:spacing w:before="120"/>
      <w:ind w:left="431" w:hanging="431"/>
      <w:outlineLvl w:val="0"/>
    </w:pPr>
    <w:rPr>
      <w:rFonts w:ascii="Arial" w:hAnsi="Arial" w:cs="Arial"/>
      <w:b/>
      <w:bCs/>
      <w:caps/>
      <w:kern w:val="32"/>
    </w:rPr>
  </w:style>
  <w:style w:type="paragraph" w:styleId="Heading2">
    <w:name w:val="heading 2"/>
    <w:basedOn w:val="Normal"/>
    <w:next w:val="Normal"/>
    <w:link w:val="Heading2Char"/>
    <w:uiPriority w:val="99"/>
    <w:qFormat/>
    <w:rsid w:val="00C2062E"/>
    <w:pPr>
      <w:keepNext/>
      <w:numPr>
        <w:ilvl w:val="1"/>
        <w:numId w:val="1"/>
      </w:numPr>
      <w:ind w:left="578" w:hanging="578"/>
      <w:outlineLvl w:val="1"/>
    </w:pPr>
    <w:rPr>
      <w:rFonts w:cs="Arial"/>
      <w:b/>
      <w:bCs/>
      <w:iCs/>
      <w:szCs w:val="28"/>
    </w:rPr>
  </w:style>
  <w:style w:type="paragraph" w:styleId="Heading3">
    <w:name w:val="heading 3"/>
    <w:basedOn w:val="Normal"/>
    <w:next w:val="Normal"/>
    <w:link w:val="Heading3Char"/>
    <w:uiPriority w:val="99"/>
    <w:qFormat/>
    <w:rsid w:val="00C2062E"/>
    <w:pPr>
      <w:keepNext/>
      <w:numPr>
        <w:ilvl w:val="2"/>
        <w:numId w:val="1"/>
      </w:numPr>
      <w:outlineLvl w:val="2"/>
    </w:pPr>
    <w:rPr>
      <w:b/>
    </w:rPr>
  </w:style>
  <w:style w:type="paragraph" w:styleId="Heading4">
    <w:name w:val="heading 4"/>
    <w:basedOn w:val="Normal"/>
    <w:next w:val="Normal"/>
    <w:link w:val="Heading4Char"/>
    <w:uiPriority w:val="99"/>
    <w:qFormat/>
    <w:rsid w:val="00C2062E"/>
    <w:pPr>
      <w:keepNext/>
      <w:numPr>
        <w:ilvl w:val="3"/>
        <w:numId w:val="1"/>
      </w:numPr>
      <w:ind w:left="862" w:hanging="862"/>
      <w:outlineLvl w:val="3"/>
    </w:pPr>
    <w:rPr>
      <w:b/>
      <w:szCs w:val="22"/>
    </w:rPr>
  </w:style>
  <w:style w:type="paragraph" w:styleId="Heading5">
    <w:name w:val="heading 5"/>
    <w:basedOn w:val="Normal"/>
    <w:next w:val="Normal"/>
    <w:link w:val="Heading5Char"/>
    <w:uiPriority w:val="99"/>
    <w:qFormat/>
    <w:rsid w:val="00C2062E"/>
    <w:pPr>
      <w:numPr>
        <w:ilvl w:val="4"/>
        <w:numId w:val="1"/>
      </w:numPr>
      <w:spacing w:before="240" w:after="60"/>
      <w:outlineLvl w:val="4"/>
    </w:pPr>
    <w:rPr>
      <w:b/>
      <w:bCs/>
      <w:iCs/>
      <w:szCs w:val="26"/>
    </w:rPr>
  </w:style>
  <w:style w:type="paragraph" w:styleId="Heading6">
    <w:name w:val="heading 6"/>
    <w:basedOn w:val="Normal"/>
    <w:next w:val="Normal"/>
    <w:link w:val="Heading6Char"/>
    <w:uiPriority w:val="99"/>
    <w:qFormat/>
    <w:rsid w:val="00C2062E"/>
    <w:pPr>
      <w:numPr>
        <w:ilvl w:val="5"/>
        <w:numId w:val="1"/>
      </w:numPr>
      <w:spacing w:after="60"/>
      <w:ind w:left="1151" w:hanging="1151"/>
      <w:outlineLvl w:val="5"/>
    </w:pPr>
    <w:rPr>
      <w:rFonts w:ascii="Verdana" w:hAnsi="Verdana"/>
      <w:bCs/>
      <w:sz w:val="20"/>
      <w:szCs w:val="22"/>
    </w:rPr>
  </w:style>
  <w:style w:type="paragraph" w:styleId="Heading7">
    <w:name w:val="heading 7"/>
    <w:basedOn w:val="Normal"/>
    <w:next w:val="Normal"/>
    <w:link w:val="Heading7Char"/>
    <w:uiPriority w:val="99"/>
    <w:qFormat/>
    <w:rsid w:val="00DE4785"/>
    <w:pPr>
      <w:numPr>
        <w:ilvl w:val="6"/>
        <w:numId w:val="1"/>
      </w:numPr>
      <w:spacing w:before="240" w:after="60"/>
      <w:outlineLvl w:val="6"/>
    </w:pPr>
    <w:rPr>
      <w:rFonts w:ascii="Arial" w:hAnsi="Arial"/>
    </w:rPr>
  </w:style>
  <w:style w:type="paragraph" w:styleId="Heading8">
    <w:name w:val="heading 8"/>
    <w:basedOn w:val="Normal"/>
    <w:next w:val="Normal"/>
    <w:link w:val="Heading8Char"/>
    <w:uiPriority w:val="99"/>
    <w:qFormat/>
    <w:rsid w:val="00DE4785"/>
    <w:pPr>
      <w:numPr>
        <w:ilvl w:val="7"/>
        <w:numId w:val="1"/>
      </w:numPr>
      <w:spacing w:before="240" w:after="60"/>
      <w:outlineLvl w:val="7"/>
    </w:pPr>
    <w:rPr>
      <w:rFonts w:ascii="Arial" w:hAnsi="Arial"/>
      <w:i/>
      <w:iCs/>
    </w:rPr>
  </w:style>
  <w:style w:type="paragraph" w:styleId="Heading9">
    <w:name w:val="heading 9"/>
    <w:basedOn w:val="Normal"/>
    <w:next w:val="Normal"/>
    <w:link w:val="Heading9Char"/>
    <w:uiPriority w:val="99"/>
    <w:qFormat/>
    <w:rsid w:val="00DE4785"/>
    <w:pPr>
      <w:numPr>
        <w:ilvl w:val="8"/>
        <w:numId w:val="1"/>
      </w:numPr>
      <w:spacing w:before="240" w:after="60"/>
      <w:outlineLvl w:val="8"/>
    </w:pPr>
    <w:rPr>
      <w:rFonts w:ascii="Arial" w:hAnsi="Arial" w:cs="Arial"/>
      <w:szCs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253EA"/>
    <w:rPr>
      <w:rFonts w:ascii="Cambria" w:hAnsi="Cambria" w:cs="Times New Roman"/>
      <w:b/>
      <w:bCs/>
      <w:kern w:val="32"/>
      <w:sz w:val="32"/>
      <w:szCs w:val="32"/>
      <w:lang w:val="en-GB" w:eastAsia="de-DE"/>
    </w:rPr>
  </w:style>
  <w:style w:type="character" w:customStyle="1" w:styleId="Heading2Char">
    <w:name w:val="Heading 2 Char"/>
    <w:basedOn w:val="DefaultParagraphFont"/>
    <w:link w:val="Heading2"/>
    <w:uiPriority w:val="99"/>
    <w:semiHidden/>
    <w:locked/>
    <w:rsid w:val="00B253EA"/>
    <w:rPr>
      <w:rFonts w:ascii="Cambria" w:hAnsi="Cambria" w:cs="Times New Roman"/>
      <w:b/>
      <w:bCs/>
      <w:i/>
      <w:iCs/>
      <w:sz w:val="28"/>
      <w:szCs w:val="28"/>
      <w:lang w:val="en-GB" w:eastAsia="de-DE"/>
    </w:rPr>
  </w:style>
  <w:style w:type="character" w:customStyle="1" w:styleId="Heading3Char">
    <w:name w:val="Heading 3 Char"/>
    <w:basedOn w:val="DefaultParagraphFont"/>
    <w:link w:val="Heading3"/>
    <w:uiPriority w:val="99"/>
    <w:semiHidden/>
    <w:locked/>
    <w:rsid w:val="00B253EA"/>
    <w:rPr>
      <w:rFonts w:ascii="Cambria" w:hAnsi="Cambria" w:cs="Times New Roman"/>
      <w:b/>
      <w:bCs/>
      <w:sz w:val="26"/>
      <w:szCs w:val="26"/>
      <w:lang w:val="en-GB" w:eastAsia="de-DE"/>
    </w:rPr>
  </w:style>
  <w:style w:type="character" w:customStyle="1" w:styleId="Heading4Char">
    <w:name w:val="Heading 4 Char"/>
    <w:basedOn w:val="DefaultParagraphFont"/>
    <w:link w:val="Heading4"/>
    <w:uiPriority w:val="99"/>
    <w:semiHidden/>
    <w:locked/>
    <w:rsid w:val="00B253EA"/>
    <w:rPr>
      <w:rFonts w:ascii="Calibri" w:hAnsi="Calibri" w:cs="Times New Roman"/>
      <w:b/>
      <w:bCs/>
      <w:sz w:val="28"/>
      <w:szCs w:val="28"/>
      <w:lang w:val="en-GB" w:eastAsia="de-DE"/>
    </w:rPr>
  </w:style>
  <w:style w:type="character" w:customStyle="1" w:styleId="Heading5Char">
    <w:name w:val="Heading 5 Char"/>
    <w:basedOn w:val="DefaultParagraphFont"/>
    <w:link w:val="Heading5"/>
    <w:uiPriority w:val="99"/>
    <w:semiHidden/>
    <w:locked/>
    <w:rsid w:val="00B253EA"/>
    <w:rPr>
      <w:rFonts w:ascii="Calibri" w:hAnsi="Calibri" w:cs="Times New Roman"/>
      <w:b/>
      <w:bCs/>
      <w:i/>
      <w:iCs/>
      <w:sz w:val="26"/>
      <w:szCs w:val="26"/>
      <w:lang w:val="en-GB" w:eastAsia="de-DE"/>
    </w:rPr>
  </w:style>
  <w:style w:type="character" w:customStyle="1" w:styleId="Heading6Char">
    <w:name w:val="Heading 6 Char"/>
    <w:basedOn w:val="DefaultParagraphFont"/>
    <w:link w:val="Heading6"/>
    <w:uiPriority w:val="99"/>
    <w:semiHidden/>
    <w:locked/>
    <w:rsid w:val="00B253EA"/>
    <w:rPr>
      <w:rFonts w:ascii="Calibri" w:hAnsi="Calibri" w:cs="Times New Roman"/>
      <w:b/>
      <w:bCs/>
      <w:lang w:val="en-GB" w:eastAsia="de-DE"/>
    </w:rPr>
  </w:style>
  <w:style w:type="character" w:customStyle="1" w:styleId="Heading7Char">
    <w:name w:val="Heading 7 Char"/>
    <w:basedOn w:val="DefaultParagraphFont"/>
    <w:link w:val="Heading7"/>
    <w:uiPriority w:val="99"/>
    <w:semiHidden/>
    <w:locked/>
    <w:rsid w:val="00B253EA"/>
    <w:rPr>
      <w:rFonts w:ascii="Calibri" w:hAnsi="Calibri" w:cs="Times New Roman"/>
      <w:sz w:val="24"/>
      <w:szCs w:val="24"/>
      <w:lang w:val="en-GB" w:eastAsia="de-DE"/>
    </w:rPr>
  </w:style>
  <w:style w:type="character" w:customStyle="1" w:styleId="Heading8Char">
    <w:name w:val="Heading 8 Char"/>
    <w:basedOn w:val="DefaultParagraphFont"/>
    <w:link w:val="Heading8"/>
    <w:uiPriority w:val="99"/>
    <w:semiHidden/>
    <w:locked/>
    <w:rsid w:val="00B253EA"/>
    <w:rPr>
      <w:rFonts w:ascii="Calibri" w:hAnsi="Calibri" w:cs="Times New Roman"/>
      <w:i/>
      <w:iCs/>
      <w:sz w:val="24"/>
      <w:szCs w:val="24"/>
      <w:lang w:val="en-GB" w:eastAsia="de-DE"/>
    </w:rPr>
  </w:style>
  <w:style w:type="character" w:customStyle="1" w:styleId="Heading9Char">
    <w:name w:val="Heading 9 Char"/>
    <w:basedOn w:val="DefaultParagraphFont"/>
    <w:link w:val="Heading9"/>
    <w:uiPriority w:val="99"/>
    <w:semiHidden/>
    <w:locked/>
    <w:rsid w:val="00B253EA"/>
    <w:rPr>
      <w:rFonts w:ascii="Cambria" w:hAnsi="Cambria" w:cs="Times New Roman"/>
      <w:lang w:val="en-GB" w:eastAsia="de-DE"/>
    </w:rPr>
  </w:style>
  <w:style w:type="paragraph" w:styleId="Footer">
    <w:name w:val="footer"/>
    <w:basedOn w:val="Normal"/>
    <w:link w:val="FooterChar"/>
    <w:uiPriority w:val="99"/>
    <w:rsid w:val="00DE4785"/>
    <w:pPr>
      <w:tabs>
        <w:tab w:val="center" w:pos="4153"/>
        <w:tab w:val="right" w:pos="8306"/>
      </w:tabs>
    </w:pPr>
  </w:style>
  <w:style w:type="character" w:customStyle="1" w:styleId="FooterChar">
    <w:name w:val="Footer Char"/>
    <w:basedOn w:val="DefaultParagraphFont"/>
    <w:link w:val="Footer"/>
    <w:uiPriority w:val="99"/>
    <w:semiHidden/>
    <w:locked/>
    <w:rsid w:val="00B253EA"/>
    <w:rPr>
      <w:rFonts w:cs="Times New Roman"/>
      <w:sz w:val="24"/>
      <w:szCs w:val="24"/>
      <w:lang w:val="en-GB" w:eastAsia="de-DE"/>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FT"/>
    <w:basedOn w:val="Normal"/>
    <w:link w:val="FootnoteTextChar2"/>
    <w:uiPriority w:val="99"/>
    <w:semiHidden/>
    <w:rsid w:val="00DE4785"/>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
    <w:basedOn w:val="DefaultParagraphFont"/>
    <w:link w:val="FootnoteText"/>
    <w:uiPriority w:val="99"/>
    <w:semiHidden/>
    <w:locked/>
    <w:rsid w:val="00B253EA"/>
    <w:rPr>
      <w:rFonts w:cs="Times New Roman"/>
      <w:sz w:val="20"/>
      <w:szCs w:val="20"/>
      <w:lang w:val="en-GB" w:eastAsia="de-DE"/>
    </w:rPr>
  </w:style>
  <w:style w:type="paragraph" w:styleId="Header">
    <w:name w:val="header"/>
    <w:basedOn w:val="Normal"/>
    <w:link w:val="HeaderChar"/>
    <w:uiPriority w:val="99"/>
    <w:rsid w:val="00DE4785"/>
    <w:pPr>
      <w:tabs>
        <w:tab w:val="center" w:pos="4536"/>
        <w:tab w:val="right" w:pos="9072"/>
      </w:tabs>
    </w:pPr>
  </w:style>
  <w:style w:type="character" w:customStyle="1" w:styleId="HeaderChar">
    <w:name w:val="Header Char"/>
    <w:basedOn w:val="DefaultParagraphFont"/>
    <w:link w:val="Header"/>
    <w:uiPriority w:val="99"/>
    <w:semiHidden/>
    <w:locked/>
    <w:rsid w:val="00B253EA"/>
    <w:rPr>
      <w:rFonts w:cs="Times New Roman"/>
      <w:sz w:val="24"/>
      <w:szCs w:val="24"/>
      <w:lang w:val="en-GB" w:eastAsia="de-DE"/>
    </w:rPr>
  </w:style>
  <w:style w:type="character" w:styleId="PageNumber">
    <w:name w:val="page number"/>
    <w:basedOn w:val="DefaultParagraphFont"/>
    <w:uiPriority w:val="99"/>
    <w:rsid w:val="00DE4785"/>
    <w:rPr>
      <w:rFonts w:cs="Times New Roman"/>
    </w:rPr>
  </w:style>
  <w:style w:type="table" w:styleId="TableGrid">
    <w:name w:val="Table Grid"/>
    <w:basedOn w:val="TableNormal"/>
    <w:uiPriority w:val="99"/>
    <w:rsid w:val="006C228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DE478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253EA"/>
    <w:rPr>
      <w:rFonts w:cs="Times New Roman"/>
      <w:sz w:val="2"/>
      <w:lang w:val="en-GB" w:eastAsia="de-DE"/>
    </w:rPr>
  </w:style>
  <w:style w:type="paragraph" w:customStyle="1" w:styleId="Texte">
    <w:name w:val="Texte"/>
    <w:basedOn w:val="Normal"/>
    <w:uiPriority w:val="99"/>
    <w:rsid w:val="00DE4785"/>
    <w:pPr>
      <w:spacing w:before="120"/>
    </w:pPr>
  </w:style>
  <w:style w:type="paragraph" w:customStyle="1" w:styleId="B1">
    <w:name w:val="B1+"/>
    <w:basedOn w:val="Normal"/>
    <w:uiPriority w:val="99"/>
    <w:rsid w:val="00DE4785"/>
    <w:pPr>
      <w:numPr>
        <w:numId w:val="2"/>
      </w:numPr>
      <w:overflowPunct w:val="0"/>
      <w:autoSpaceDE w:val="0"/>
      <w:autoSpaceDN w:val="0"/>
      <w:adjustRightInd w:val="0"/>
      <w:spacing w:after="180"/>
      <w:jc w:val="left"/>
      <w:textAlignment w:val="baseline"/>
    </w:pPr>
    <w:rPr>
      <w:sz w:val="20"/>
      <w:szCs w:val="20"/>
      <w:lang w:eastAsia="en-US"/>
    </w:rPr>
  </w:style>
  <w:style w:type="character" w:styleId="FootnoteReference">
    <w:name w:val="footnote reference"/>
    <w:aliases w:val="Appel note de bas de p,Footnote Reference/"/>
    <w:basedOn w:val="DefaultParagraphFont"/>
    <w:uiPriority w:val="99"/>
    <w:semiHidden/>
    <w:rsid w:val="00DE4785"/>
    <w:rPr>
      <w:rFonts w:cs="Times New Roman"/>
      <w:vertAlign w:val="superscript"/>
    </w:rPr>
  </w:style>
  <w:style w:type="character" w:styleId="Hyperlink">
    <w:name w:val="Hyperlink"/>
    <w:basedOn w:val="DefaultParagraphFont"/>
    <w:uiPriority w:val="99"/>
    <w:rsid w:val="00DE4785"/>
    <w:rPr>
      <w:rFonts w:cs="Times New Roman"/>
      <w:color w:val="0000FF"/>
      <w:u w:val="single"/>
    </w:rPr>
  </w:style>
  <w:style w:type="character" w:styleId="FollowedHyperlink">
    <w:name w:val="FollowedHyperlink"/>
    <w:basedOn w:val="DefaultParagraphFont"/>
    <w:uiPriority w:val="99"/>
    <w:rsid w:val="00DE4785"/>
    <w:rPr>
      <w:rFonts w:cs="Times New Roman"/>
      <w:color w:val="800080"/>
      <w:u w:val="single"/>
    </w:rPr>
  </w:style>
  <w:style w:type="paragraph" w:customStyle="1" w:styleId="NOTE">
    <w:name w:val="NOTE"/>
    <w:basedOn w:val="Normal"/>
    <w:uiPriority w:val="99"/>
    <w:rsid w:val="00243B25"/>
    <w:pPr>
      <w:tabs>
        <w:tab w:val="left" w:pos="709"/>
        <w:tab w:val="center" w:pos="4536"/>
        <w:tab w:val="right" w:pos="9072"/>
      </w:tabs>
      <w:overflowPunct w:val="0"/>
      <w:autoSpaceDE w:val="0"/>
      <w:autoSpaceDN w:val="0"/>
      <w:adjustRightInd w:val="0"/>
      <w:spacing w:after="100"/>
      <w:textAlignment w:val="baseline"/>
    </w:pPr>
    <w:rPr>
      <w:rFonts w:ascii="Arial" w:hAnsi="Arial"/>
      <w:spacing w:val="8"/>
      <w:sz w:val="16"/>
      <w:szCs w:val="20"/>
    </w:rPr>
  </w:style>
  <w:style w:type="paragraph" w:customStyle="1" w:styleId="ZT">
    <w:name w:val="ZT"/>
    <w:uiPriority w:val="99"/>
    <w:rsid w:val="00243B25"/>
    <w:pPr>
      <w:spacing w:after="96" w:line="240" w:lineRule="atLeast"/>
      <w:jc w:val="center"/>
    </w:pPr>
    <w:rPr>
      <w:rFonts w:ascii="Arial" w:hAnsi="Arial"/>
      <w:b/>
      <w:sz w:val="32"/>
      <w:szCs w:val="20"/>
      <w:lang w:val="en-GB" w:eastAsia="en-US"/>
    </w:rPr>
  </w:style>
  <w:style w:type="paragraph" w:styleId="ListParagraph">
    <w:name w:val="List Paragraph"/>
    <w:basedOn w:val="Normal"/>
    <w:uiPriority w:val="99"/>
    <w:qFormat/>
    <w:rsid w:val="00EC38BB"/>
    <w:pPr>
      <w:ind w:left="720"/>
      <w:contextualSpacing/>
    </w:pPr>
  </w:style>
  <w:style w:type="character" w:customStyle="1" w:styleId="FootnoteTextChar2">
    <w:name w:val="Footnote Text Char2"/>
    <w:aliases w:val="ALTS FOOTNOTE Char1,Footnote Text Char1 Char1,Footnote Text Char Char1 Char1,Footnote Text Char4 Char Char Char1,Footnote Text Char1 Char1 Char1 Char Char1,Footnote Text Char Char1 Char1 Char Char Char1,DNV-FT Char1"/>
    <w:basedOn w:val="DefaultParagraphFont"/>
    <w:link w:val="FootnoteText"/>
    <w:uiPriority w:val="99"/>
    <w:semiHidden/>
    <w:locked/>
    <w:rsid w:val="008B6969"/>
    <w:rPr>
      <w:rFonts w:cs="Times New Roman"/>
      <w:sz w:val="24"/>
      <w:szCs w:val="24"/>
      <w:lang w:val="en-GB" w:eastAsia="de-DE"/>
    </w:rPr>
  </w:style>
  <w:style w:type="paragraph" w:customStyle="1" w:styleId="Note0">
    <w:name w:val="Note"/>
    <w:basedOn w:val="Normal"/>
    <w:link w:val="NoteChar"/>
    <w:uiPriority w:val="99"/>
    <w:rsid w:val="008B6969"/>
    <w:pPr>
      <w:tabs>
        <w:tab w:val="left" w:pos="284"/>
        <w:tab w:val="left" w:pos="1134"/>
        <w:tab w:val="left" w:pos="1871"/>
        <w:tab w:val="left" w:pos="2268"/>
      </w:tabs>
      <w:overflowPunct w:val="0"/>
      <w:autoSpaceDE w:val="0"/>
      <w:autoSpaceDN w:val="0"/>
      <w:adjustRightInd w:val="0"/>
      <w:spacing w:before="160"/>
      <w:textAlignment w:val="baseline"/>
    </w:pPr>
    <w:rPr>
      <w:sz w:val="20"/>
      <w:szCs w:val="20"/>
      <w:lang w:val="fr-FR" w:eastAsia="en-US"/>
    </w:rPr>
  </w:style>
  <w:style w:type="character" w:customStyle="1" w:styleId="NoteChar">
    <w:name w:val="Note Char"/>
    <w:basedOn w:val="DefaultParagraphFont"/>
    <w:link w:val="Note0"/>
    <w:uiPriority w:val="99"/>
    <w:locked/>
    <w:rsid w:val="008B6969"/>
    <w:rPr>
      <w:rFonts w:cs="Times New Roman"/>
      <w:lang w:val="fr-FR"/>
    </w:rPr>
  </w:style>
  <w:style w:type="character" w:customStyle="1" w:styleId="Tablefreq">
    <w:name w:val="Table_freq"/>
    <w:basedOn w:val="DefaultParagraphFont"/>
    <w:uiPriority w:val="99"/>
    <w:rsid w:val="008B6969"/>
    <w:rPr>
      <w:rFonts w:cs="Times New Roman"/>
      <w:b/>
      <w:color w:val="FFCC00"/>
    </w:rPr>
  </w:style>
  <w:style w:type="paragraph" w:customStyle="1" w:styleId="TableTextS5">
    <w:name w:val="Table_TextS5"/>
    <w:basedOn w:val="Normal"/>
    <w:uiPriority w:val="99"/>
    <w:rsid w:val="008B6969"/>
    <w:pPr>
      <w:tabs>
        <w:tab w:val="left" w:pos="170"/>
        <w:tab w:val="left" w:pos="567"/>
        <w:tab w:val="left" w:pos="737"/>
        <w:tab w:val="left" w:pos="2977"/>
        <w:tab w:val="left" w:pos="3266"/>
      </w:tabs>
      <w:overflowPunct w:val="0"/>
      <w:autoSpaceDE w:val="0"/>
      <w:autoSpaceDN w:val="0"/>
      <w:adjustRightInd w:val="0"/>
      <w:spacing w:before="40" w:after="40"/>
      <w:jc w:val="left"/>
      <w:textAlignment w:val="baseline"/>
    </w:pPr>
    <w:rPr>
      <w:sz w:val="20"/>
      <w:szCs w:val="20"/>
      <w:lang w:val="fr-FR" w:eastAsia="en-US"/>
    </w:rPr>
  </w:style>
  <w:style w:type="character" w:customStyle="1" w:styleId="Artref">
    <w:name w:val="Art_ref"/>
    <w:basedOn w:val="DefaultParagraphFont"/>
    <w:uiPriority w:val="99"/>
    <w:rsid w:val="008B6969"/>
    <w:rPr>
      <w:rFonts w:cs="Times New Roman"/>
      <w:color w:val="3366FF"/>
    </w:rPr>
  </w:style>
  <w:style w:type="character" w:customStyle="1" w:styleId="Artdef">
    <w:name w:val="Art_def"/>
    <w:basedOn w:val="DefaultParagraphFont"/>
    <w:uiPriority w:val="99"/>
    <w:rsid w:val="008B6969"/>
    <w:rPr>
      <w:rFonts w:cs="Times New Roman"/>
      <w:b/>
      <w:color w:val="FFCC00"/>
    </w:rPr>
  </w:style>
  <w:style w:type="paragraph" w:customStyle="1" w:styleId="Tablehead">
    <w:name w:val="Table_head"/>
    <w:basedOn w:val="Normal"/>
    <w:next w:val="Normal"/>
    <w:uiPriority w:val="99"/>
    <w:rsid w:val="008B6969"/>
    <w:pPr>
      <w:overflowPunct w:val="0"/>
      <w:autoSpaceDE w:val="0"/>
      <w:autoSpaceDN w:val="0"/>
      <w:adjustRightInd w:val="0"/>
      <w:spacing w:before="80" w:after="80"/>
      <w:jc w:val="center"/>
      <w:textAlignment w:val="baseline"/>
    </w:pPr>
    <w:rPr>
      <w:b/>
      <w:sz w:val="20"/>
      <w:szCs w:val="20"/>
      <w:lang w:val="fr-FR" w:eastAsia="en-US"/>
    </w:rPr>
  </w:style>
  <w:style w:type="character" w:customStyle="1" w:styleId="Resref">
    <w:name w:val="Res_ref"/>
    <w:basedOn w:val="DefaultParagraphFont"/>
    <w:uiPriority w:val="99"/>
    <w:rsid w:val="008B6969"/>
    <w:rPr>
      <w:rFonts w:cs="Times New Roman"/>
      <w:color w:val="3366FF"/>
    </w:rPr>
  </w:style>
  <w:style w:type="paragraph" w:styleId="NormalWeb">
    <w:name w:val="Normal (Web)"/>
    <w:basedOn w:val="Normal"/>
    <w:uiPriority w:val="99"/>
    <w:rsid w:val="003F3BD5"/>
    <w:pPr>
      <w:spacing w:before="100" w:beforeAutospacing="1" w:after="100" w:afterAutospacing="1"/>
      <w:jc w:val="left"/>
    </w:pPr>
    <w:rPr>
      <w:rFonts w:ascii="Verdana" w:hAnsi="Verdana"/>
      <w:sz w:val="24"/>
      <w:lang w:val="en-US" w:eastAsia="en-US"/>
    </w:rPr>
  </w:style>
  <w:style w:type="character" w:customStyle="1" w:styleId="nowrap">
    <w:name w:val="nowrap"/>
    <w:basedOn w:val="DefaultParagraphFont"/>
    <w:uiPriority w:val="99"/>
    <w:rsid w:val="002C60D2"/>
    <w:rPr>
      <w:rFonts w:cs="Times New Roman"/>
    </w:rPr>
  </w:style>
  <w:style w:type="character" w:styleId="HTMLAcronym">
    <w:name w:val="HTML Acronym"/>
    <w:basedOn w:val="DefaultParagraphFont"/>
    <w:uiPriority w:val="99"/>
    <w:rsid w:val="002C60D2"/>
    <w:rPr>
      <w:rFonts w:cs="Times New Roman"/>
    </w:rPr>
  </w:style>
  <w:style w:type="paragraph" w:customStyle="1" w:styleId="Default">
    <w:name w:val="Default"/>
    <w:uiPriority w:val="99"/>
    <w:rsid w:val="00DC577F"/>
    <w:pPr>
      <w:autoSpaceDE w:val="0"/>
      <w:autoSpaceDN w:val="0"/>
      <w:adjustRightInd w:val="0"/>
    </w:pPr>
    <w:rPr>
      <w:rFonts w:ascii="Arial" w:hAnsi="Arial" w:cs="Arial"/>
      <w:color w:val="000000"/>
      <w:sz w:val="24"/>
      <w:szCs w:val="24"/>
      <w:lang w:val="en-US" w:eastAsia="en-US"/>
    </w:rPr>
  </w:style>
</w:styles>
</file>

<file path=word/webSettings.xml><?xml version="1.0" encoding="utf-8"?>
<w:webSettings xmlns:r="http://schemas.openxmlformats.org/officeDocument/2006/relationships" xmlns:w="http://schemas.openxmlformats.org/wordprocessingml/2006/main">
  <w:divs>
    <w:div w:id="1496409211">
      <w:marLeft w:val="0"/>
      <w:marRight w:val="0"/>
      <w:marTop w:val="0"/>
      <w:marBottom w:val="0"/>
      <w:divBdr>
        <w:top w:val="none" w:sz="0" w:space="0" w:color="auto"/>
        <w:left w:val="none" w:sz="0" w:space="0" w:color="auto"/>
        <w:bottom w:val="none" w:sz="0" w:space="0" w:color="auto"/>
        <w:right w:val="none" w:sz="0" w:space="0" w:color="auto"/>
      </w:divBdr>
      <w:divsChild>
        <w:div w:id="1496409208">
          <w:marLeft w:val="0"/>
          <w:marRight w:val="0"/>
          <w:marTop w:val="0"/>
          <w:marBottom w:val="0"/>
          <w:divBdr>
            <w:top w:val="none" w:sz="0" w:space="0" w:color="auto"/>
            <w:left w:val="none" w:sz="0" w:space="0" w:color="auto"/>
            <w:bottom w:val="none" w:sz="0" w:space="0" w:color="auto"/>
            <w:right w:val="none" w:sz="0" w:space="0" w:color="auto"/>
          </w:divBdr>
          <w:divsChild>
            <w:div w:id="1496409224">
              <w:marLeft w:val="0"/>
              <w:marRight w:val="0"/>
              <w:marTop w:val="0"/>
              <w:marBottom w:val="0"/>
              <w:divBdr>
                <w:top w:val="none" w:sz="0" w:space="0" w:color="auto"/>
                <w:left w:val="none" w:sz="0" w:space="0" w:color="auto"/>
                <w:bottom w:val="none" w:sz="0" w:space="0" w:color="auto"/>
                <w:right w:val="none" w:sz="0" w:space="0" w:color="auto"/>
              </w:divBdr>
              <w:divsChild>
                <w:div w:id="1496409207">
                  <w:marLeft w:val="0"/>
                  <w:marRight w:val="0"/>
                  <w:marTop w:val="0"/>
                  <w:marBottom w:val="0"/>
                  <w:divBdr>
                    <w:top w:val="none" w:sz="0" w:space="0" w:color="auto"/>
                    <w:left w:val="none" w:sz="0" w:space="0" w:color="auto"/>
                    <w:bottom w:val="none" w:sz="0" w:space="0" w:color="auto"/>
                    <w:right w:val="none" w:sz="0" w:space="0" w:color="auto"/>
                  </w:divBdr>
                  <w:divsChild>
                    <w:div w:id="1496409225">
                      <w:marLeft w:val="2250"/>
                      <w:marRight w:val="0"/>
                      <w:marTop w:val="0"/>
                      <w:marBottom w:val="0"/>
                      <w:divBdr>
                        <w:top w:val="none" w:sz="0" w:space="0" w:color="auto"/>
                        <w:left w:val="none" w:sz="0" w:space="0" w:color="auto"/>
                        <w:bottom w:val="none" w:sz="0" w:space="0" w:color="auto"/>
                        <w:right w:val="none" w:sz="0" w:space="0" w:color="auto"/>
                      </w:divBdr>
                      <w:divsChild>
                        <w:div w:id="1496409221">
                          <w:marLeft w:val="0"/>
                          <w:marRight w:val="0"/>
                          <w:marTop w:val="0"/>
                          <w:marBottom w:val="0"/>
                          <w:divBdr>
                            <w:top w:val="single" w:sz="6" w:space="0" w:color="000000"/>
                            <w:left w:val="single" w:sz="6" w:space="0" w:color="000000"/>
                            <w:bottom w:val="single" w:sz="6" w:space="0" w:color="000000"/>
                            <w:right w:val="single" w:sz="6" w:space="0" w:color="000000"/>
                          </w:divBdr>
                        </w:div>
                      </w:divsChild>
                    </w:div>
                  </w:divsChild>
                </w:div>
              </w:divsChild>
            </w:div>
          </w:divsChild>
        </w:div>
      </w:divsChild>
    </w:div>
    <w:div w:id="1496409212">
      <w:marLeft w:val="0"/>
      <w:marRight w:val="0"/>
      <w:marTop w:val="0"/>
      <w:marBottom w:val="0"/>
      <w:divBdr>
        <w:top w:val="none" w:sz="0" w:space="0" w:color="auto"/>
        <w:left w:val="none" w:sz="0" w:space="0" w:color="auto"/>
        <w:bottom w:val="none" w:sz="0" w:space="0" w:color="auto"/>
        <w:right w:val="none" w:sz="0" w:space="0" w:color="auto"/>
      </w:divBdr>
    </w:div>
    <w:div w:id="1496409213">
      <w:marLeft w:val="0"/>
      <w:marRight w:val="0"/>
      <w:marTop w:val="0"/>
      <w:marBottom w:val="0"/>
      <w:divBdr>
        <w:top w:val="none" w:sz="0" w:space="0" w:color="auto"/>
        <w:left w:val="none" w:sz="0" w:space="0" w:color="auto"/>
        <w:bottom w:val="none" w:sz="0" w:space="0" w:color="auto"/>
        <w:right w:val="none" w:sz="0" w:space="0" w:color="auto"/>
      </w:divBdr>
    </w:div>
    <w:div w:id="1496409215">
      <w:marLeft w:val="0"/>
      <w:marRight w:val="0"/>
      <w:marTop w:val="0"/>
      <w:marBottom w:val="0"/>
      <w:divBdr>
        <w:top w:val="none" w:sz="0" w:space="0" w:color="auto"/>
        <w:left w:val="none" w:sz="0" w:space="0" w:color="auto"/>
        <w:bottom w:val="none" w:sz="0" w:space="0" w:color="auto"/>
        <w:right w:val="none" w:sz="0" w:space="0" w:color="auto"/>
      </w:divBdr>
    </w:div>
    <w:div w:id="1496409216">
      <w:marLeft w:val="0"/>
      <w:marRight w:val="0"/>
      <w:marTop w:val="0"/>
      <w:marBottom w:val="0"/>
      <w:divBdr>
        <w:top w:val="none" w:sz="0" w:space="0" w:color="auto"/>
        <w:left w:val="none" w:sz="0" w:space="0" w:color="auto"/>
        <w:bottom w:val="none" w:sz="0" w:space="0" w:color="auto"/>
        <w:right w:val="none" w:sz="0" w:space="0" w:color="auto"/>
      </w:divBdr>
    </w:div>
    <w:div w:id="1496409223">
      <w:marLeft w:val="0"/>
      <w:marRight w:val="0"/>
      <w:marTop w:val="0"/>
      <w:marBottom w:val="0"/>
      <w:divBdr>
        <w:top w:val="none" w:sz="0" w:space="0" w:color="auto"/>
        <w:left w:val="none" w:sz="0" w:space="0" w:color="auto"/>
        <w:bottom w:val="none" w:sz="0" w:space="0" w:color="auto"/>
        <w:right w:val="none" w:sz="0" w:space="0" w:color="auto"/>
      </w:divBdr>
    </w:div>
    <w:div w:id="1496409228">
      <w:marLeft w:val="0"/>
      <w:marRight w:val="0"/>
      <w:marTop w:val="0"/>
      <w:marBottom w:val="0"/>
      <w:divBdr>
        <w:top w:val="none" w:sz="0" w:space="0" w:color="auto"/>
        <w:left w:val="none" w:sz="0" w:space="0" w:color="auto"/>
        <w:bottom w:val="none" w:sz="0" w:space="0" w:color="auto"/>
        <w:right w:val="none" w:sz="0" w:space="0" w:color="auto"/>
      </w:divBdr>
    </w:div>
    <w:div w:id="1496409229">
      <w:marLeft w:val="0"/>
      <w:marRight w:val="0"/>
      <w:marTop w:val="0"/>
      <w:marBottom w:val="0"/>
      <w:divBdr>
        <w:top w:val="none" w:sz="0" w:space="0" w:color="auto"/>
        <w:left w:val="none" w:sz="0" w:space="0" w:color="auto"/>
        <w:bottom w:val="none" w:sz="0" w:space="0" w:color="auto"/>
        <w:right w:val="none" w:sz="0" w:space="0" w:color="auto"/>
      </w:divBdr>
    </w:div>
    <w:div w:id="1496409230">
      <w:marLeft w:val="0"/>
      <w:marRight w:val="0"/>
      <w:marTop w:val="38"/>
      <w:marBottom w:val="38"/>
      <w:divBdr>
        <w:top w:val="none" w:sz="0" w:space="0" w:color="auto"/>
        <w:left w:val="none" w:sz="0" w:space="0" w:color="auto"/>
        <w:bottom w:val="none" w:sz="0" w:space="0" w:color="auto"/>
        <w:right w:val="none" w:sz="0" w:space="0" w:color="auto"/>
      </w:divBdr>
      <w:divsChild>
        <w:div w:id="1496409210">
          <w:marLeft w:val="0"/>
          <w:marRight w:val="0"/>
          <w:marTop w:val="0"/>
          <w:marBottom w:val="0"/>
          <w:divBdr>
            <w:top w:val="none" w:sz="0" w:space="0" w:color="auto"/>
            <w:left w:val="none" w:sz="0" w:space="0" w:color="auto"/>
            <w:bottom w:val="none" w:sz="0" w:space="0" w:color="auto"/>
            <w:right w:val="none" w:sz="0" w:space="0" w:color="auto"/>
          </w:divBdr>
          <w:divsChild>
            <w:div w:id="1496409226">
              <w:marLeft w:val="0"/>
              <w:marRight w:val="0"/>
              <w:marTop w:val="0"/>
              <w:marBottom w:val="0"/>
              <w:divBdr>
                <w:top w:val="none" w:sz="0" w:space="0" w:color="auto"/>
                <w:left w:val="none" w:sz="0" w:space="0" w:color="auto"/>
                <w:bottom w:val="none" w:sz="0" w:space="0" w:color="auto"/>
                <w:right w:val="none" w:sz="0" w:space="0" w:color="auto"/>
              </w:divBdr>
              <w:divsChild>
                <w:div w:id="1496409222">
                  <w:marLeft w:val="0"/>
                  <w:marRight w:val="0"/>
                  <w:marTop w:val="0"/>
                  <w:marBottom w:val="0"/>
                  <w:divBdr>
                    <w:top w:val="none" w:sz="0" w:space="0" w:color="auto"/>
                    <w:left w:val="none" w:sz="0" w:space="0" w:color="auto"/>
                    <w:bottom w:val="none" w:sz="0" w:space="0" w:color="auto"/>
                    <w:right w:val="none" w:sz="0" w:space="0" w:color="auto"/>
                  </w:divBdr>
                  <w:divsChild>
                    <w:div w:id="1496409219">
                      <w:marLeft w:val="0"/>
                      <w:marRight w:val="0"/>
                      <w:marTop w:val="0"/>
                      <w:marBottom w:val="0"/>
                      <w:divBdr>
                        <w:top w:val="none" w:sz="0" w:space="0" w:color="auto"/>
                        <w:left w:val="none" w:sz="0" w:space="0" w:color="auto"/>
                        <w:bottom w:val="none" w:sz="0" w:space="0" w:color="auto"/>
                        <w:right w:val="none" w:sz="0" w:space="0" w:color="auto"/>
                      </w:divBdr>
                      <w:divsChild>
                        <w:div w:id="1496409214">
                          <w:marLeft w:val="2166"/>
                          <w:marRight w:val="3181"/>
                          <w:marTop w:val="0"/>
                          <w:marBottom w:val="0"/>
                          <w:divBdr>
                            <w:top w:val="none" w:sz="0" w:space="0" w:color="auto"/>
                            <w:left w:val="single" w:sz="4" w:space="0" w:color="D3E1F9"/>
                            <w:bottom w:val="none" w:sz="0" w:space="0" w:color="auto"/>
                            <w:right w:val="none" w:sz="0" w:space="0" w:color="auto"/>
                          </w:divBdr>
                          <w:divsChild>
                            <w:div w:id="1496409217">
                              <w:marLeft w:val="0"/>
                              <w:marRight w:val="0"/>
                              <w:marTop w:val="0"/>
                              <w:marBottom w:val="0"/>
                              <w:divBdr>
                                <w:top w:val="none" w:sz="0" w:space="0" w:color="auto"/>
                                <w:left w:val="none" w:sz="0" w:space="0" w:color="auto"/>
                                <w:bottom w:val="none" w:sz="0" w:space="0" w:color="auto"/>
                                <w:right w:val="none" w:sz="0" w:space="0" w:color="auto"/>
                              </w:divBdr>
                              <w:divsChild>
                                <w:div w:id="1496409209">
                                  <w:marLeft w:val="0"/>
                                  <w:marRight w:val="0"/>
                                  <w:marTop w:val="0"/>
                                  <w:marBottom w:val="0"/>
                                  <w:divBdr>
                                    <w:top w:val="none" w:sz="0" w:space="0" w:color="auto"/>
                                    <w:left w:val="none" w:sz="0" w:space="0" w:color="auto"/>
                                    <w:bottom w:val="none" w:sz="0" w:space="0" w:color="auto"/>
                                    <w:right w:val="none" w:sz="0" w:space="0" w:color="auto"/>
                                  </w:divBdr>
                                  <w:divsChild>
                                    <w:div w:id="1496409218">
                                      <w:marLeft w:val="0"/>
                                      <w:marRight w:val="0"/>
                                      <w:marTop w:val="0"/>
                                      <w:marBottom w:val="0"/>
                                      <w:divBdr>
                                        <w:top w:val="none" w:sz="0" w:space="0" w:color="auto"/>
                                        <w:left w:val="none" w:sz="0" w:space="0" w:color="auto"/>
                                        <w:bottom w:val="none" w:sz="0" w:space="0" w:color="auto"/>
                                        <w:right w:val="none" w:sz="0" w:space="0" w:color="auto"/>
                                      </w:divBdr>
                                      <w:divsChild>
                                        <w:div w:id="1496409227">
                                          <w:marLeft w:val="0"/>
                                          <w:marRight w:val="0"/>
                                          <w:marTop w:val="0"/>
                                          <w:marBottom w:val="0"/>
                                          <w:divBdr>
                                            <w:top w:val="none" w:sz="0" w:space="0" w:color="auto"/>
                                            <w:left w:val="none" w:sz="0" w:space="0" w:color="auto"/>
                                            <w:bottom w:val="none" w:sz="0" w:space="0" w:color="auto"/>
                                            <w:right w:val="none" w:sz="0" w:space="0" w:color="auto"/>
                                          </w:divBdr>
                                          <w:divsChild>
                                            <w:div w:id="1496409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c.gc.ca/eic/site/smt-gst.nsf/eng/sf09751.html"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crasa.org/download.php?doc=doc_pub_eng64.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cept.org/ecc/groups/ecc/wg-fm/fm-50/page/terms-of-refere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5</Pages>
  <Words>1772</Words>
  <Characters>9751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L-band Background</dc:title>
  <dc:subject/>
  <dc:creator>ANFR</dc:creator>
  <cp:keywords/>
  <dc:description/>
  <cp:lastModifiedBy>deschamps</cp:lastModifiedBy>
  <cp:revision>2</cp:revision>
  <cp:lastPrinted>2009-05-27T08:20:00Z</cp:lastPrinted>
  <dcterms:created xsi:type="dcterms:W3CDTF">2011-07-15T07:34:00Z</dcterms:created>
  <dcterms:modified xsi:type="dcterms:W3CDTF">2011-07-15T07:34:00Z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-1194451952</vt:i4>
  </property>
  <property fmtid="{D5CDD505-2E9C-101B-9397-08002B2CF9AE}" pid="3" name="_NewReviewCycle">
    <vt:lpwstr/>
  </property>
  <property fmtid="{D5CDD505-2E9C-101B-9397-08002B2CF9AE}" pid="4" name="_EmailSubject">
    <vt:lpwstr>Submission of Plum study findings to FM50</vt:lpwstr>
  </property>
  <property fmtid="{D5CDD505-2E9C-101B-9397-08002B2CF9AE}" pid="5" name="_AuthorEmail">
    <vt:lpwstr>glebrun@qualcomm.com</vt:lpwstr>
  </property>
  <property fmtid="{D5CDD505-2E9C-101B-9397-08002B2CF9AE}" pid="6" name="_AuthorEmailDisplayName">
    <vt:lpwstr>Lebrun, Guillaume</vt:lpwstr>
  </property>
  <property fmtid="{D5CDD505-2E9C-101B-9397-08002B2CF9AE}" pid="7" name="_ReviewingToolsShownOnce">
    <vt:lpwstr/>
  </property>
</Properties>
</file>