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351" w:rsidRDefault="00236351">
      <w:pPr>
        <w:rPr>
          <w:b/>
        </w:rPr>
      </w:pPr>
    </w:p>
    <w:p w:rsidR="00236351" w:rsidRPr="00236351" w:rsidRDefault="00236351" w:rsidP="00236351">
      <w:pPr>
        <w:jc w:val="right"/>
        <w:rPr>
          <w:b/>
        </w:rPr>
      </w:pPr>
      <w:r>
        <w:rPr>
          <w:b/>
        </w:rPr>
        <w:t>Temp 02</w:t>
      </w:r>
    </w:p>
    <w:p w:rsidR="000C6710" w:rsidRPr="000C6710" w:rsidRDefault="000C6710">
      <w:pPr>
        <w:rPr>
          <w:b/>
        </w:rPr>
      </w:pPr>
      <w:r w:rsidRPr="000C6710">
        <w:rPr>
          <w:b/>
        </w:rPr>
        <w:t xml:space="preserve">Framework for item 2 of the </w:t>
      </w:r>
      <w:proofErr w:type="spellStart"/>
      <w:r w:rsidRPr="000C6710">
        <w:rPr>
          <w:b/>
        </w:rPr>
        <w:t>ToR</w:t>
      </w:r>
      <w:proofErr w:type="spellEnd"/>
    </w:p>
    <w:p w:rsidR="000C6710" w:rsidRPr="000C6710" w:rsidRDefault="000C6710" w:rsidP="000C6710">
      <w:pPr>
        <w:pStyle w:val="NormalWeb"/>
        <w:rPr>
          <w:rFonts w:asciiTheme="minorHAnsi" w:hAnsiTheme="minorHAnsi" w:cstheme="minorHAnsi"/>
          <w:sz w:val="22"/>
          <w:szCs w:val="22"/>
          <w:lang w:eastAsia="en-GB"/>
        </w:rPr>
      </w:pPr>
      <w:r w:rsidRPr="000C6710">
        <w:rPr>
          <w:rFonts w:asciiTheme="minorHAnsi" w:hAnsiTheme="minorHAnsi" w:cstheme="minorHAnsi"/>
          <w:sz w:val="22"/>
          <w:szCs w:val="22"/>
          <w:lang w:eastAsia="en-GB"/>
        </w:rPr>
        <w:t>“</w:t>
      </w:r>
    </w:p>
    <w:p w:rsidR="000C6710" w:rsidRPr="000C6710" w:rsidRDefault="000C6710" w:rsidP="000C6710">
      <w:pPr>
        <w:pStyle w:val="NormalWeb"/>
        <w:rPr>
          <w:rFonts w:asciiTheme="minorHAnsi" w:hAnsiTheme="minorHAnsi" w:cstheme="minorHAnsi"/>
          <w:sz w:val="22"/>
          <w:szCs w:val="22"/>
          <w:lang w:eastAsia="en-GB"/>
        </w:rPr>
      </w:pPr>
      <w:r w:rsidRPr="000C6710">
        <w:rPr>
          <w:rFonts w:asciiTheme="minorHAnsi" w:hAnsiTheme="minorHAnsi" w:cstheme="minorHAnsi"/>
          <w:sz w:val="22"/>
          <w:szCs w:val="22"/>
          <w:lang w:eastAsia="en-GB"/>
        </w:rPr>
        <w:t>2.   Collate, summarise and analyse the regulatory procedures used by administrations in granting access to spectrum for PMSE and incorporate the results into the ECC deliverables;</w:t>
      </w:r>
    </w:p>
    <w:p w:rsidR="000C6710" w:rsidRPr="000C6710" w:rsidRDefault="000C6710">
      <w:pPr>
        <w:rPr>
          <w:rFonts w:cstheme="minorHAnsi"/>
          <w:lang w:val="en-GB"/>
        </w:rPr>
      </w:pPr>
      <w:r w:rsidRPr="000C6710">
        <w:rPr>
          <w:rFonts w:cstheme="minorHAnsi"/>
          <w:lang w:val="en-GB"/>
        </w:rPr>
        <w:t>“</w:t>
      </w:r>
    </w:p>
    <w:p w:rsidR="000C6710" w:rsidRPr="000C6710" w:rsidRDefault="000C6710">
      <w:pPr>
        <w:rPr>
          <w:b/>
        </w:rPr>
      </w:pPr>
      <w:r w:rsidRPr="000C6710">
        <w:rPr>
          <w:b/>
        </w:rPr>
        <w:t>Background information</w:t>
      </w:r>
    </w:p>
    <w:p w:rsidR="00C331B0" w:rsidRDefault="00182EC2">
      <w:r>
        <w:t xml:space="preserve">Check TG4 </w:t>
      </w:r>
      <w:r w:rsidRPr="000C6710">
        <w:rPr>
          <w:rFonts w:cstheme="minorHAnsi"/>
        </w:rPr>
        <w:t>Questionnaire</w:t>
      </w:r>
      <w:r w:rsidR="000C6710" w:rsidRPr="000C6710">
        <w:rPr>
          <w:rFonts w:cstheme="minorHAnsi"/>
        </w:rPr>
        <w:t xml:space="preserve"> (</w:t>
      </w:r>
      <w:proofErr w:type="gramStart"/>
      <w:r w:rsidR="000C6710" w:rsidRPr="000C6710">
        <w:rPr>
          <w:rFonts w:cstheme="minorHAnsi"/>
        </w:rPr>
        <w:t>TG4(</w:t>
      </w:r>
      <w:proofErr w:type="gramEnd"/>
      <w:r w:rsidR="000C6710" w:rsidRPr="000C6710">
        <w:rPr>
          <w:rFonts w:cstheme="minorHAnsi"/>
        </w:rPr>
        <w:t>08)221 rev2)</w:t>
      </w:r>
      <w:r w:rsidRPr="000C6710">
        <w:rPr>
          <w:rFonts w:cstheme="minorHAnsi"/>
        </w:rPr>
        <w:t xml:space="preserve"> and</w:t>
      </w:r>
      <w:r>
        <w:t xml:space="preserve"> Replies </w:t>
      </w:r>
      <w:r w:rsidR="000C6710">
        <w:t xml:space="preserve">– </w:t>
      </w:r>
      <w:hyperlink r:id="rId5" w:history="1">
        <w:r w:rsidR="000C6710" w:rsidRPr="000C6710">
          <w:rPr>
            <w:rStyle w:val="Hyperlink"/>
          </w:rPr>
          <w:t>CEPT Report 032</w:t>
        </w:r>
      </w:hyperlink>
    </w:p>
    <w:p w:rsidR="00182EC2" w:rsidRDefault="00182EC2">
      <w:r>
        <w:t xml:space="preserve">Check EBU </w:t>
      </w:r>
      <w:r w:rsidR="000C6710">
        <w:t xml:space="preserve">Questionnaire and </w:t>
      </w:r>
      <w:r w:rsidR="000C6710" w:rsidRPr="002F521E">
        <w:rPr>
          <w:rFonts w:cstheme="minorHAnsi"/>
        </w:rPr>
        <w:t>Replies</w:t>
      </w:r>
      <w:r w:rsidR="002F521E" w:rsidRPr="002F521E">
        <w:rPr>
          <w:rFonts w:cstheme="minorHAnsi"/>
        </w:rPr>
        <w:t xml:space="preserve"> (</w:t>
      </w:r>
      <w:proofErr w:type="gramStart"/>
      <w:r w:rsidR="002F521E" w:rsidRPr="002F521E">
        <w:rPr>
          <w:rFonts w:cstheme="minorHAnsi"/>
        </w:rPr>
        <w:t>TG4(</w:t>
      </w:r>
      <w:proofErr w:type="gramEnd"/>
      <w:r w:rsidR="002F521E" w:rsidRPr="002F521E">
        <w:rPr>
          <w:rFonts w:cstheme="minorHAnsi"/>
        </w:rPr>
        <w:t>08)225).</w:t>
      </w:r>
    </w:p>
    <w:p w:rsidR="00182EC2" w:rsidRDefault="00182EC2">
      <w:r>
        <w:t xml:space="preserve">Contact </w:t>
      </w:r>
      <w:proofErr w:type="gramStart"/>
      <w:r>
        <w:t>1.5 coordinator to get information on how the informat</w:t>
      </w:r>
      <w:r w:rsidR="002F521E">
        <w:t xml:space="preserve">ion on the different bands was </w:t>
      </w:r>
      <w:r>
        <w:t>collected</w:t>
      </w:r>
      <w:proofErr w:type="gramEnd"/>
      <w:r>
        <w:t>.</w:t>
      </w:r>
      <w:r w:rsidR="00236351">
        <w:t xml:space="preserve"> (Info010)</w:t>
      </w:r>
    </w:p>
    <w:p w:rsidR="00182EC2" w:rsidRDefault="00182EC2">
      <w:r>
        <w:t xml:space="preserve">Contact B. </w:t>
      </w:r>
      <w:proofErr w:type="spellStart"/>
      <w:r>
        <w:t>Deschamps</w:t>
      </w:r>
      <w:proofErr w:type="spellEnd"/>
      <w:r>
        <w:t xml:space="preserve"> CG CRS</w:t>
      </w:r>
      <w:r w:rsidR="00236351">
        <w:t xml:space="preserve"> (Info009)</w:t>
      </w:r>
    </w:p>
    <w:p w:rsidR="00182EC2" w:rsidRDefault="00182EC2">
      <w:r>
        <w:t>Fixed Service trends – new ECC Report under PC</w:t>
      </w:r>
    </w:p>
    <w:p w:rsidR="00D178E2" w:rsidRDefault="00D178E2">
      <w:r>
        <w:t>Document on the EU Mandate (Info002)</w:t>
      </w:r>
    </w:p>
    <w:p w:rsidR="00182EC2" w:rsidRPr="00771A0C" w:rsidRDefault="000C6710">
      <w:pPr>
        <w:rPr>
          <w:b/>
        </w:rPr>
      </w:pPr>
      <w:r w:rsidRPr="00771A0C">
        <w:rPr>
          <w:b/>
        </w:rPr>
        <w:t>Questionnaire</w:t>
      </w:r>
    </w:p>
    <w:p w:rsidR="00FD4EB4" w:rsidRDefault="00FD4EB4" w:rsidP="000C6710">
      <w:pPr>
        <w:pStyle w:val="ListParagraph"/>
        <w:numPr>
          <w:ilvl w:val="0"/>
          <w:numId w:val="1"/>
        </w:numPr>
      </w:pPr>
      <w:r>
        <w:t xml:space="preserve">Introduction: </w:t>
      </w:r>
    </w:p>
    <w:p w:rsidR="00FD4EB4" w:rsidRDefault="00FD4EB4" w:rsidP="00FD4EB4">
      <w:pPr>
        <w:pStyle w:val="ListParagraph"/>
        <w:numPr>
          <w:ilvl w:val="1"/>
          <w:numId w:val="1"/>
        </w:numPr>
      </w:pPr>
      <w:r>
        <w:t>D</w:t>
      </w:r>
      <w:r w:rsidR="000C6710">
        <w:t>efinition</w:t>
      </w:r>
      <w:r w:rsidR="002F521E">
        <w:t xml:space="preserve"> of PMSE</w:t>
      </w:r>
    </w:p>
    <w:p w:rsidR="00FD4EB4" w:rsidRDefault="00FD4EB4" w:rsidP="00FD4EB4">
      <w:pPr>
        <w:pStyle w:val="ListParagraph"/>
        <w:numPr>
          <w:ilvl w:val="1"/>
          <w:numId w:val="1"/>
        </w:numPr>
      </w:pPr>
      <w:r>
        <w:t>B</w:t>
      </w:r>
      <w:r w:rsidR="006765B2">
        <w:t xml:space="preserve">ackground </w:t>
      </w:r>
    </w:p>
    <w:p w:rsidR="00FD4EB4" w:rsidRDefault="00FD4EB4" w:rsidP="00FD4EB4">
      <w:pPr>
        <w:pStyle w:val="ListParagraph"/>
        <w:numPr>
          <w:ilvl w:val="2"/>
          <w:numId w:val="1"/>
        </w:numPr>
      </w:pPr>
      <w:r>
        <w:t>F</w:t>
      </w:r>
      <w:r w:rsidR="006765B2">
        <w:t>ollow up of TG4 activities – CEPT Report 32</w:t>
      </w:r>
    </w:p>
    <w:p w:rsidR="00FD4EB4" w:rsidRDefault="00FD4EB4" w:rsidP="00FD4EB4">
      <w:pPr>
        <w:pStyle w:val="ListParagraph"/>
        <w:numPr>
          <w:ilvl w:val="2"/>
          <w:numId w:val="1"/>
        </w:numPr>
      </w:pPr>
      <w:r>
        <w:t>R</w:t>
      </w:r>
      <w:r w:rsidR="006765B2">
        <w:t>eview of ECC deliverable (ECC Rec. 002…)</w:t>
      </w:r>
      <w:r w:rsidR="00E62030">
        <w:t xml:space="preserve"> (see </w:t>
      </w:r>
      <w:proofErr w:type="spellStart"/>
      <w:r w:rsidR="00E62030">
        <w:t>ToR</w:t>
      </w:r>
      <w:proofErr w:type="spellEnd"/>
      <w:r w:rsidR="00E62030">
        <w:t xml:space="preserve"> of FM51)</w:t>
      </w:r>
    </w:p>
    <w:p w:rsidR="00FD4EB4" w:rsidRDefault="00FD4EB4" w:rsidP="00FD4EB4">
      <w:pPr>
        <w:pStyle w:val="ListParagraph"/>
        <w:numPr>
          <w:ilvl w:val="2"/>
          <w:numId w:val="1"/>
        </w:numPr>
      </w:pPr>
      <w:r>
        <w:t>Report to WG FM in order to consider developing ECC deliverables as appropriate</w:t>
      </w:r>
    </w:p>
    <w:p w:rsidR="006765B2" w:rsidRDefault="006765B2" w:rsidP="000C6710">
      <w:pPr>
        <w:pStyle w:val="ListParagraph"/>
        <w:numPr>
          <w:ilvl w:val="0"/>
          <w:numId w:val="1"/>
        </w:numPr>
      </w:pPr>
      <w:r>
        <w:t>Existing use (Par</w:t>
      </w:r>
      <w:r w:rsidR="00236351">
        <w:t>t</w:t>
      </w:r>
      <w:r>
        <w:t xml:space="preserve"> 1):</w:t>
      </w:r>
    </w:p>
    <w:p w:rsidR="002B4400" w:rsidRDefault="000C6710" w:rsidP="006765B2">
      <w:pPr>
        <w:pStyle w:val="ListParagraph"/>
        <w:numPr>
          <w:ilvl w:val="1"/>
          <w:numId w:val="1"/>
        </w:numPr>
      </w:pPr>
      <w:r>
        <w:t xml:space="preserve">Bands </w:t>
      </w:r>
    </w:p>
    <w:p w:rsidR="002B4400" w:rsidRDefault="002B4400" w:rsidP="002B4400">
      <w:pPr>
        <w:pStyle w:val="ListParagraph"/>
        <w:numPr>
          <w:ilvl w:val="2"/>
          <w:numId w:val="1"/>
        </w:numPr>
      </w:pPr>
      <w:r>
        <w:t>A</w:t>
      </w:r>
      <w:r w:rsidR="000C6710">
        <w:t xml:space="preserve">s given in Rec. 25-10 </w:t>
      </w:r>
      <w:r w:rsidR="00D178E2">
        <w:t>– Table 4</w:t>
      </w:r>
      <w:r>
        <w:t xml:space="preserve"> - ECC Report 002</w:t>
      </w:r>
    </w:p>
    <w:p w:rsidR="002B4400" w:rsidRDefault="002B4400" w:rsidP="002B4400">
      <w:pPr>
        <w:pStyle w:val="ListParagraph"/>
        <w:numPr>
          <w:ilvl w:val="2"/>
          <w:numId w:val="1"/>
        </w:numPr>
      </w:pPr>
      <w:r>
        <w:t>For the additional bands internal feedback -</w:t>
      </w:r>
      <w:r w:rsidR="000C6710">
        <w:t xml:space="preserve"> check output of CPG</w:t>
      </w:r>
      <w:r w:rsidR="00771A0C">
        <w:t xml:space="preserve"> – </w:t>
      </w:r>
      <w:r>
        <w:t>if no information add in the list</w:t>
      </w:r>
    </w:p>
    <w:p w:rsidR="000C6710" w:rsidRDefault="002B4400" w:rsidP="002B4400">
      <w:pPr>
        <w:pStyle w:val="ListParagraph"/>
        <w:numPr>
          <w:ilvl w:val="2"/>
          <w:numId w:val="1"/>
        </w:numPr>
      </w:pPr>
      <w:r>
        <w:t>P</w:t>
      </w:r>
      <w:r w:rsidR="00771A0C">
        <w:t xml:space="preserve">robably all questions for each band in order to gather as many information as </w:t>
      </w:r>
      <w:bookmarkStart w:id="0" w:name="_GoBack"/>
      <w:bookmarkEnd w:id="0"/>
      <w:r w:rsidR="00771A0C">
        <w:t>possible</w:t>
      </w:r>
    </w:p>
    <w:p w:rsidR="00D178E2" w:rsidRDefault="002B4400" w:rsidP="006765B2">
      <w:pPr>
        <w:pStyle w:val="ListParagraph"/>
        <w:numPr>
          <w:ilvl w:val="1"/>
          <w:numId w:val="1"/>
        </w:numPr>
      </w:pPr>
      <w:r>
        <w:t>Are this</w:t>
      </w:r>
      <w:r w:rsidR="00982930">
        <w:t xml:space="preserve"> bands i</w:t>
      </w:r>
      <w:r w:rsidR="000C6710">
        <w:t>dentified for PMSE (refer to definition)?</w:t>
      </w:r>
    </w:p>
    <w:p w:rsidR="00D178E2" w:rsidRPr="00D178E2" w:rsidRDefault="00D178E2" w:rsidP="006765B2">
      <w:pPr>
        <w:pStyle w:val="ListParagraph"/>
        <w:numPr>
          <w:ilvl w:val="2"/>
          <w:numId w:val="1"/>
        </w:numPr>
      </w:pPr>
      <w:r w:rsidRPr="00D178E2">
        <w:lastRenderedPageBreak/>
        <w:t xml:space="preserve">If yes, for which applications/links (In-ear monitors, Radio micro-phones, Professional radio micro-phones, Portable audio links, Mobile (incl. airborne) audio links, SAB/SAP, ENG-OG, Cordless Camera, Portable Link, Mobile Airborne, </w:t>
      </w:r>
      <w:r w:rsidRPr="00D178E2">
        <w:rPr>
          <w:lang w:val="de-DE"/>
        </w:rPr>
        <w:t xml:space="preserve">Mobile Vehicular, </w:t>
      </w:r>
      <w:r w:rsidRPr="00D178E2">
        <w:t>Temporary Point-to-point links…)</w:t>
      </w:r>
    </w:p>
    <w:p w:rsidR="00E62030" w:rsidRDefault="00E62030" w:rsidP="006765B2">
      <w:pPr>
        <w:pStyle w:val="ListParagraph"/>
        <w:numPr>
          <w:ilvl w:val="1"/>
          <w:numId w:val="1"/>
        </w:numPr>
      </w:pPr>
      <w:r>
        <w:t xml:space="preserve">Regulatory regime </w:t>
      </w:r>
    </w:p>
    <w:p w:rsidR="00E62030" w:rsidRDefault="000C6710" w:rsidP="00E62030">
      <w:pPr>
        <w:pStyle w:val="ListParagraph"/>
        <w:numPr>
          <w:ilvl w:val="2"/>
          <w:numId w:val="1"/>
        </w:numPr>
      </w:pPr>
      <w:r>
        <w:t>License (No / Yes)</w:t>
      </w:r>
    </w:p>
    <w:p w:rsidR="00E62030" w:rsidRDefault="00E62030" w:rsidP="00E62030">
      <w:pPr>
        <w:pStyle w:val="ListParagraph"/>
        <w:numPr>
          <w:ilvl w:val="3"/>
          <w:numId w:val="1"/>
        </w:numPr>
      </w:pPr>
      <w:r>
        <w:t>Individual</w:t>
      </w:r>
    </w:p>
    <w:p w:rsidR="00E62030" w:rsidRDefault="00E62030" w:rsidP="00E62030">
      <w:pPr>
        <w:pStyle w:val="ListParagraph"/>
        <w:numPr>
          <w:ilvl w:val="3"/>
          <w:numId w:val="1"/>
        </w:numPr>
      </w:pPr>
      <w:r>
        <w:t>Global</w:t>
      </w:r>
    </w:p>
    <w:p w:rsidR="000C6710" w:rsidRDefault="006765B2" w:rsidP="00E62030">
      <w:pPr>
        <w:pStyle w:val="ListParagraph"/>
        <w:numPr>
          <w:ilvl w:val="2"/>
          <w:numId w:val="1"/>
        </w:numPr>
      </w:pPr>
      <w:r>
        <w:t>Protection afforded in the deployment of PMSE / Coordination</w:t>
      </w:r>
    </w:p>
    <w:p w:rsidR="00E62030" w:rsidRDefault="00E62030" w:rsidP="006765B2">
      <w:pPr>
        <w:pStyle w:val="ListParagraph"/>
        <w:numPr>
          <w:ilvl w:val="1"/>
          <w:numId w:val="1"/>
        </w:numPr>
      </w:pPr>
      <w:r>
        <w:t>Additional information?</w:t>
      </w:r>
    </w:p>
    <w:p w:rsidR="006765B2" w:rsidRPr="006765B2" w:rsidRDefault="006765B2" w:rsidP="000C6710">
      <w:pPr>
        <w:pStyle w:val="ListParagraph"/>
        <w:numPr>
          <w:ilvl w:val="0"/>
          <w:numId w:val="1"/>
        </w:numPr>
        <w:rPr>
          <w:rFonts w:cstheme="minorHAnsi"/>
        </w:rPr>
      </w:pPr>
      <w:r w:rsidRPr="006765B2">
        <w:rPr>
          <w:rFonts w:cstheme="minorHAnsi"/>
        </w:rPr>
        <w:t>Future use (Part 2):</w:t>
      </w:r>
    </w:p>
    <w:p w:rsidR="006765B2" w:rsidRPr="006765B2" w:rsidRDefault="006765B2" w:rsidP="006765B2">
      <w:pPr>
        <w:pStyle w:val="ListParagraph"/>
        <w:numPr>
          <w:ilvl w:val="1"/>
          <w:numId w:val="1"/>
        </w:numPr>
        <w:rPr>
          <w:rFonts w:cstheme="minorHAnsi"/>
        </w:rPr>
      </w:pPr>
      <w:r w:rsidRPr="006765B2">
        <w:rPr>
          <w:rFonts w:cstheme="minorHAnsi"/>
        </w:rPr>
        <w:t>Do you expect any change in PMSE use in the bands identified in Part 1?</w:t>
      </w:r>
    </w:p>
    <w:p w:rsidR="006765B2" w:rsidRPr="006765B2" w:rsidRDefault="006765B2" w:rsidP="006765B2">
      <w:pPr>
        <w:pStyle w:val="ListParagraph"/>
        <w:numPr>
          <w:ilvl w:val="1"/>
          <w:numId w:val="1"/>
        </w:numPr>
        <w:rPr>
          <w:rFonts w:cstheme="minorHAnsi"/>
        </w:rPr>
      </w:pPr>
      <w:r w:rsidRPr="006765B2">
        <w:rPr>
          <w:rFonts w:cstheme="minorHAnsi"/>
        </w:rPr>
        <w:t>What is your expectation in terms of digitalization of PMSE and new technological developments?</w:t>
      </w:r>
      <w:r w:rsidRPr="006765B2">
        <w:rPr>
          <w:rFonts w:cstheme="minorHAnsi"/>
        </w:rPr>
        <w:br/>
        <w:t>(Please provide relevant information)</w:t>
      </w:r>
    </w:p>
    <w:p w:rsidR="006765B2" w:rsidRPr="006765B2" w:rsidRDefault="006765B2" w:rsidP="006765B2">
      <w:pPr>
        <w:pStyle w:val="ListParagraph"/>
        <w:numPr>
          <w:ilvl w:val="1"/>
          <w:numId w:val="1"/>
        </w:numPr>
        <w:rPr>
          <w:rFonts w:cstheme="minorHAnsi"/>
        </w:rPr>
      </w:pPr>
      <w:r w:rsidRPr="006765B2">
        <w:rPr>
          <w:rFonts w:cstheme="minorHAnsi"/>
        </w:rPr>
        <w:t>What is your assessment of the PMSE spectrum needs for the future?</w:t>
      </w:r>
      <w:r w:rsidRPr="006765B2">
        <w:rPr>
          <w:rFonts w:cstheme="minorHAnsi"/>
        </w:rPr>
        <w:br/>
        <w:t>(Please provide relevant information)</w:t>
      </w:r>
    </w:p>
    <w:p w:rsidR="006765B2" w:rsidRPr="006765B2" w:rsidRDefault="006765B2" w:rsidP="006765B2">
      <w:pPr>
        <w:pStyle w:val="ListParagraph"/>
        <w:numPr>
          <w:ilvl w:val="1"/>
          <w:numId w:val="1"/>
        </w:numPr>
        <w:rPr>
          <w:rFonts w:cstheme="minorHAnsi"/>
        </w:rPr>
      </w:pPr>
      <w:r w:rsidRPr="006765B2">
        <w:rPr>
          <w:rFonts w:cstheme="minorHAnsi"/>
        </w:rPr>
        <w:t>Do you foresee any need for alternative bands compared to your current usage (see part 1) to accommodate these needs?</w:t>
      </w:r>
    </w:p>
    <w:p w:rsidR="006765B2" w:rsidRPr="006765B2" w:rsidRDefault="006765B2" w:rsidP="006765B2">
      <w:pPr>
        <w:pStyle w:val="Default"/>
        <w:keepNext/>
        <w:numPr>
          <w:ilvl w:val="2"/>
          <w:numId w:val="1"/>
        </w:numPr>
        <w:tabs>
          <w:tab w:val="num" w:pos="109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765B2">
        <w:rPr>
          <w:rFonts w:asciiTheme="minorHAnsi" w:hAnsiTheme="minorHAnsi" w:cstheme="minorHAnsi"/>
          <w:sz w:val="22"/>
          <w:szCs w:val="22"/>
        </w:rPr>
        <w:t xml:space="preserve">If “Yes” or “Under consideration”, </w:t>
      </w:r>
      <w:r w:rsidRPr="006765B2">
        <w:rPr>
          <w:rFonts w:asciiTheme="minorHAnsi" w:hAnsiTheme="minorHAnsi" w:cstheme="minorHAnsi"/>
          <w:sz w:val="22"/>
          <w:szCs w:val="22"/>
          <w:lang w:val="en-IE"/>
        </w:rPr>
        <w:t>which are the frequency bands considered and the rationale?</w:t>
      </w:r>
    </w:p>
    <w:p w:rsidR="006765B2" w:rsidRPr="006765B2" w:rsidRDefault="006765B2" w:rsidP="006765B2">
      <w:pPr>
        <w:pStyle w:val="ListParagraph"/>
        <w:numPr>
          <w:ilvl w:val="2"/>
          <w:numId w:val="1"/>
        </w:numPr>
        <w:rPr>
          <w:rFonts w:cstheme="minorHAnsi"/>
        </w:rPr>
      </w:pPr>
      <w:r w:rsidRPr="006765B2">
        <w:rPr>
          <w:rFonts w:cstheme="minorHAnsi"/>
          <w:lang w:val="en-IE"/>
        </w:rPr>
        <w:t>If “Yes” or “Under consideration”, please provide a list of services/systems and time schedule.</w:t>
      </w:r>
    </w:p>
    <w:p w:rsidR="006765B2" w:rsidRPr="006765B2" w:rsidRDefault="006765B2" w:rsidP="006765B2">
      <w:pPr>
        <w:pStyle w:val="ListParagraph"/>
        <w:numPr>
          <w:ilvl w:val="1"/>
          <w:numId w:val="1"/>
        </w:numPr>
        <w:rPr>
          <w:rFonts w:cstheme="minorHAnsi"/>
        </w:rPr>
      </w:pPr>
      <w:r w:rsidRPr="006765B2">
        <w:rPr>
          <w:rFonts w:cstheme="minorHAnsi"/>
        </w:rPr>
        <w:t>Do you foresee any need for additional frequency bands to accommodate these needs in the future compared to those listed in part 1 (i.e.  1900-1920 MHz, 2010-2025 MHz)?</w:t>
      </w:r>
    </w:p>
    <w:p w:rsidR="006765B2" w:rsidRPr="006765B2" w:rsidRDefault="006765B2" w:rsidP="006765B2">
      <w:pPr>
        <w:pStyle w:val="ListParagraph"/>
        <w:numPr>
          <w:ilvl w:val="2"/>
          <w:numId w:val="1"/>
        </w:numPr>
        <w:rPr>
          <w:rFonts w:cstheme="minorHAnsi"/>
        </w:rPr>
      </w:pPr>
      <w:r w:rsidRPr="006765B2">
        <w:rPr>
          <w:rFonts w:cstheme="minorHAnsi"/>
        </w:rPr>
        <w:t xml:space="preserve">If “Yes” or “Under consideration”, </w:t>
      </w:r>
      <w:r w:rsidRPr="006765B2">
        <w:rPr>
          <w:rFonts w:cstheme="minorHAnsi"/>
          <w:lang w:val="en-IE"/>
        </w:rPr>
        <w:t>which are the frequency bands considered and the rationale?</w:t>
      </w:r>
    </w:p>
    <w:p w:rsidR="006765B2" w:rsidRPr="006765B2" w:rsidRDefault="006765B2" w:rsidP="006765B2">
      <w:pPr>
        <w:pStyle w:val="ListParagraph"/>
        <w:numPr>
          <w:ilvl w:val="2"/>
          <w:numId w:val="1"/>
        </w:numPr>
        <w:rPr>
          <w:rFonts w:cstheme="minorHAnsi"/>
        </w:rPr>
      </w:pPr>
      <w:r w:rsidRPr="006765B2">
        <w:rPr>
          <w:rFonts w:cstheme="minorHAnsi"/>
          <w:lang w:val="en-IE"/>
        </w:rPr>
        <w:t>If “Yes” or “Under consideration”, please provide a list of services/systems and time schedule.</w:t>
      </w:r>
    </w:p>
    <w:p w:rsidR="00771A0C" w:rsidRPr="006765B2" w:rsidRDefault="00771A0C" w:rsidP="00E62030">
      <w:pPr>
        <w:pStyle w:val="ListParagraph"/>
        <w:numPr>
          <w:ilvl w:val="1"/>
          <w:numId w:val="1"/>
        </w:numPr>
        <w:rPr>
          <w:rFonts w:cstheme="minorHAnsi"/>
        </w:rPr>
      </w:pPr>
      <w:r w:rsidRPr="006765B2">
        <w:rPr>
          <w:rFonts w:cstheme="minorHAnsi"/>
        </w:rPr>
        <w:t>Additional information?</w:t>
      </w:r>
    </w:p>
    <w:p w:rsidR="00D178E2" w:rsidRDefault="00D178E2" w:rsidP="00D178E2"/>
    <w:sectPr w:rsidR="00D178E2" w:rsidSect="00E5695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F3178"/>
    <w:multiLevelType w:val="hybridMultilevel"/>
    <w:tmpl w:val="7C368B24"/>
    <w:lvl w:ilvl="0" w:tplc="053A01D8">
      <w:start w:val="1"/>
      <w:numFmt w:val="bullet"/>
      <w:lvlText w:val=""/>
      <w:lvlJc w:val="left"/>
      <w:pPr>
        <w:tabs>
          <w:tab w:val="num" w:pos="1818"/>
        </w:tabs>
        <w:ind w:left="1818" w:firstLine="0"/>
      </w:pPr>
      <w:rPr>
        <w:rFonts w:ascii="Symbol" w:hAnsi="Symbol" w:hint="default"/>
      </w:rPr>
    </w:lvl>
    <w:lvl w:ilvl="1" w:tplc="053A01D8">
      <w:start w:val="1"/>
      <w:numFmt w:val="bullet"/>
      <w:lvlText w:val=""/>
      <w:lvlJc w:val="left"/>
      <w:pPr>
        <w:tabs>
          <w:tab w:val="num" w:pos="1764"/>
        </w:tabs>
        <w:ind w:left="1764" w:firstLine="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hint="default"/>
      </w:rPr>
    </w:lvl>
  </w:abstractNum>
  <w:abstractNum w:abstractNumId="1">
    <w:nsid w:val="7BBB07EB"/>
    <w:multiLevelType w:val="hybridMultilevel"/>
    <w:tmpl w:val="DD6C2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doNotDisplayPageBoundaries/>
  <w:proofState w:spelling="clean" w:grammar="clean"/>
  <w:defaultTabStop w:val="720"/>
  <w:characterSpacingControl w:val="doNotCompress"/>
  <w:compat/>
  <w:rsids>
    <w:rsidRoot w:val="00C331B0"/>
    <w:rsid w:val="000C6710"/>
    <w:rsid w:val="00182EC2"/>
    <w:rsid w:val="00236351"/>
    <w:rsid w:val="002B4400"/>
    <w:rsid w:val="002F521E"/>
    <w:rsid w:val="0030071B"/>
    <w:rsid w:val="006765B2"/>
    <w:rsid w:val="006D6A0D"/>
    <w:rsid w:val="00771A0C"/>
    <w:rsid w:val="00982930"/>
    <w:rsid w:val="00C331B0"/>
    <w:rsid w:val="00D178E2"/>
    <w:rsid w:val="00DD2428"/>
    <w:rsid w:val="00E56959"/>
    <w:rsid w:val="00E62030"/>
    <w:rsid w:val="00FD4E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9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671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C6710"/>
    <w:rPr>
      <w:color w:val="0000FF" w:themeColor="hyperlink"/>
      <w:u w:val="single"/>
    </w:rPr>
  </w:style>
  <w:style w:type="paragraph" w:styleId="NormalWeb">
    <w:name w:val="Normal (Web)"/>
    <w:basedOn w:val="Normal"/>
    <w:semiHidden/>
    <w:unhideWhenUsed/>
    <w:rsid w:val="000C6710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val="en-GB" w:eastAsia="ja-JP"/>
    </w:rPr>
  </w:style>
  <w:style w:type="paragraph" w:styleId="FootnoteText">
    <w:name w:val="footnote text"/>
    <w:basedOn w:val="Normal"/>
    <w:link w:val="FootnoteTextChar"/>
    <w:semiHidden/>
    <w:rsid w:val="00D17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de-DE"/>
    </w:rPr>
  </w:style>
  <w:style w:type="character" w:customStyle="1" w:styleId="FootnoteTextChar">
    <w:name w:val="Footnote Text Char"/>
    <w:basedOn w:val="DefaultParagraphFont"/>
    <w:link w:val="FootnoteText"/>
    <w:semiHidden/>
    <w:rsid w:val="00D178E2"/>
    <w:rPr>
      <w:rFonts w:ascii="Times New Roman" w:eastAsia="Times New Roman" w:hAnsi="Times New Roman" w:cs="Times New Roman"/>
      <w:sz w:val="20"/>
      <w:szCs w:val="20"/>
      <w:lang w:val="en-GB" w:eastAsia="de-DE"/>
    </w:rPr>
  </w:style>
  <w:style w:type="paragraph" w:styleId="BodyText">
    <w:name w:val="Body Text"/>
    <w:basedOn w:val="Normal"/>
    <w:link w:val="BodyTextChar"/>
    <w:rsid w:val="00D178E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GB" w:eastAsia="de-DE"/>
    </w:rPr>
  </w:style>
  <w:style w:type="character" w:customStyle="1" w:styleId="BodyTextChar">
    <w:name w:val="Body Text Char"/>
    <w:basedOn w:val="DefaultParagraphFont"/>
    <w:link w:val="BodyText"/>
    <w:rsid w:val="00D178E2"/>
    <w:rPr>
      <w:rFonts w:ascii="Times New Roman" w:eastAsia="Times New Roman" w:hAnsi="Times New Roman" w:cs="Times New Roman"/>
      <w:sz w:val="20"/>
      <w:szCs w:val="20"/>
      <w:lang w:val="en-GB" w:eastAsia="de-DE"/>
    </w:rPr>
  </w:style>
  <w:style w:type="paragraph" w:customStyle="1" w:styleId="Default">
    <w:name w:val="Default"/>
    <w:rsid w:val="006765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671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C6710"/>
    <w:rPr>
      <w:color w:val="0000FF" w:themeColor="hyperlink"/>
      <w:u w:val="single"/>
    </w:rPr>
  </w:style>
  <w:style w:type="paragraph" w:styleId="NormalWeb">
    <w:name w:val="Normal (Web)"/>
    <w:basedOn w:val="Normal"/>
    <w:semiHidden/>
    <w:unhideWhenUsed/>
    <w:rsid w:val="000C6710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val="en-GB" w:eastAsia="ja-JP"/>
    </w:rPr>
  </w:style>
  <w:style w:type="paragraph" w:styleId="FootnoteText">
    <w:name w:val="footnote text"/>
    <w:basedOn w:val="Normal"/>
    <w:link w:val="FootnoteTextChar"/>
    <w:semiHidden/>
    <w:rsid w:val="00D17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de-DE"/>
    </w:rPr>
  </w:style>
  <w:style w:type="character" w:customStyle="1" w:styleId="FootnoteTextChar">
    <w:name w:val="Footnote Text Char"/>
    <w:basedOn w:val="DefaultParagraphFont"/>
    <w:link w:val="FootnoteText"/>
    <w:semiHidden/>
    <w:rsid w:val="00D178E2"/>
    <w:rPr>
      <w:rFonts w:ascii="Times New Roman" w:eastAsia="Times New Roman" w:hAnsi="Times New Roman" w:cs="Times New Roman"/>
      <w:sz w:val="20"/>
      <w:szCs w:val="20"/>
      <w:lang w:val="en-GB" w:eastAsia="de-DE"/>
    </w:rPr>
  </w:style>
  <w:style w:type="paragraph" w:styleId="BodyText">
    <w:name w:val="Body Text"/>
    <w:basedOn w:val="Normal"/>
    <w:link w:val="BodyTextChar"/>
    <w:rsid w:val="00D178E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GB" w:eastAsia="de-DE"/>
    </w:rPr>
  </w:style>
  <w:style w:type="character" w:customStyle="1" w:styleId="BodyTextChar">
    <w:name w:val="Body Text Char"/>
    <w:basedOn w:val="DefaultParagraphFont"/>
    <w:link w:val="BodyText"/>
    <w:rsid w:val="00D178E2"/>
    <w:rPr>
      <w:rFonts w:ascii="Times New Roman" w:eastAsia="Times New Roman" w:hAnsi="Times New Roman" w:cs="Times New Roman"/>
      <w:sz w:val="20"/>
      <w:szCs w:val="20"/>
      <w:lang w:val="en-GB" w:eastAsia="de-DE"/>
    </w:rPr>
  </w:style>
  <w:style w:type="paragraph" w:customStyle="1" w:styleId="Default">
    <w:name w:val="Default"/>
    <w:rsid w:val="006765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1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codocdb.dk/doks/filedownload.aspx?fileid=3600&amp;fileurl=http://www.erodocdb.dk/Docs/doc98/official/pdf/CEPTREP032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ERO</Company>
  <LinksUpToDate>false</LinksUpToDate>
  <CharactersWithSpaces>2767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ERO</dc:creator>
  <cp:lastModifiedBy>vaughan.john</cp:lastModifiedBy>
  <cp:revision>2</cp:revision>
  <dcterms:created xsi:type="dcterms:W3CDTF">2011-11-16T12:29:00Z</dcterms:created>
  <dcterms:modified xsi:type="dcterms:W3CDTF">2011-11-16T12:29:00Z</dcterms:modified>
</cp:coreProperties>
</file>